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3C07824B"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w:t>
      </w:r>
      <w:r w:rsidR="004C7D38">
        <w:rPr>
          <w:rFonts w:ascii="Arial" w:hAnsi="Arial" w:cs="Arial"/>
          <w:b/>
          <w:bCs/>
          <w:sz w:val="24"/>
        </w:rPr>
        <w:t>106</w:t>
      </w:r>
      <w:r w:rsidR="00961063">
        <w:rPr>
          <w:rFonts w:ascii="Arial" w:hAnsi="Arial" w:cs="Arial"/>
          <w:b/>
          <w:bCs/>
          <w:sz w:val="24"/>
        </w:rPr>
        <w:t>b</w:t>
      </w:r>
      <w:r w:rsidR="00820F9F">
        <w:rPr>
          <w:rFonts w:ascii="Arial" w:hAnsi="Arial" w:cs="Arial"/>
          <w:b/>
          <w:bCs/>
          <w:sz w:val="24"/>
        </w:rPr>
        <w:t>is</w:t>
      </w:r>
      <w:r w:rsidR="000B4D3C">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091D31" w:rsidRPr="00091D31">
        <w:rPr>
          <w:rFonts w:ascii="Arial" w:hAnsi="Arial" w:cs="Arial"/>
          <w:b/>
          <w:bCs/>
          <w:sz w:val="24"/>
        </w:rPr>
        <w:t>2110110</w:t>
      </w:r>
    </w:p>
    <w:p w14:paraId="5E19A78F" w14:textId="38A8BD3B"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515396">
        <w:rPr>
          <w:rFonts w:ascii="Arial" w:hAnsi="Arial" w:cs="Arial"/>
          <w:b/>
          <w:bCs/>
          <w:sz w:val="24"/>
        </w:rPr>
        <w:t>October</w:t>
      </w:r>
      <w:r w:rsidR="001F21CB" w:rsidRPr="00734421">
        <w:rPr>
          <w:rFonts w:ascii="Arial" w:hAnsi="Arial" w:cs="Arial"/>
          <w:b/>
          <w:bCs/>
          <w:sz w:val="24"/>
        </w:rPr>
        <w:t xml:space="preserve"> </w:t>
      </w:r>
      <w:r w:rsidR="001F21CB">
        <w:rPr>
          <w:rFonts w:ascii="Arial" w:hAnsi="Arial" w:cs="Arial"/>
          <w:b/>
          <w:bCs/>
          <w:sz w:val="24"/>
        </w:rPr>
        <w:t>1</w:t>
      </w:r>
      <w:r w:rsidR="00515396">
        <w:rPr>
          <w:rFonts w:ascii="Arial" w:hAnsi="Arial" w:cs="Arial"/>
          <w:b/>
          <w:bCs/>
          <w:sz w:val="24"/>
        </w:rPr>
        <w:t>1</w:t>
      </w:r>
      <w:r w:rsidR="001F21CB" w:rsidRPr="00734421">
        <w:rPr>
          <w:rFonts w:ascii="Arial" w:hAnsi="Arial" w:cs="Arial"/>
          <w:b/>
          <w:bCs/>
          <w:sz w:val="24"/>
          <w:vertAlign w:val="superscript"/>
        </w:rPr>
        <w:t>th</w:t>
      </w:r>
      <w:r w:rsidR="001F21CB" w:rsidRPr="00734421">
        <w:rPr>
          <w:rFonts w:ascii="Arial" w:hAnsi="Arial" w:cs="Arial"/>
          <w:b/>
          <w:bCs/>
          <w:sz w:val="24"/>
        </w:rPr>
        <w:t xml:space="preserve"> </w:t>
      </w:r>
      <w:r w:rsidR="005F6DA7" w:rsidRPr="00734421">
        <w:rPr>
          <w:rFonts w:ascii="Arial" w:hAnsi="Arial" w:cs="Arial"/>
          <w:b/>
          <w:bCs/>
          <w:sz w:val="24"/>
        </w:rPr>
        <w:t>–</w:t>
      </w:r>
      <w:r w:rsidR="00D03CD7">
        <w:rPr>
          <w:rFonts w:ascii="Arial" w:hAnsi="Arial" w:cs="Arial"/>
          <w:b/>
          <w:bCs/>
          <w:sz w:val="24"/>
        </w:rPr>
        <w:t xml:space="preserve"> </w:t>
      </w:r>
      <w:r w:rsidR="00515396">
        <w:rPr>
          <w:rFonts w:ascii="Arial" w:hAnsi="Arial" w:cs="Arial"/>
          <w:b/>
          <w:bCs/>
          <w:sz w:val="24"/>
        </w:rPr>
        <w:t>19</w:t>
      </w:r>
      <w:r w:rsidR="001F21CB"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5FCC94E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E461EC">
        <w:rPr>
          <w:rFonts w:ascii="Arial" w:hAnsi="Arial" w:cs="Arial"/>
          <w:b/>
          <w:sz w:val="22"/>
        </w:rPr>
        <w:t>2</w:t>
      </w:r>
    </w:p>
    <w:p w14:paraId="7395AB72" w14:textId="12DB358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3C3F40" w:rsidRPr="003C3F40">
        <w:rPr>
          <w:rFonts w:ascii="Arial" w:hAnsi="Arial" w:cs="Arial"/>
          <w:b/>
          <w:sz w:val="22"/>
        </w:rPr>
        <w:t>PDCCH Monitoring for NR from 52.6 GHz to 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52E0D9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40A1EDC"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45FF834E" w:rsidR="00C0332E" w:rsidRDefault="009D1767"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31C4819D">
                <wp:simplePos x="0" y="0"/>
                <wp:positionH relativeFrom="margin">
                  <wp:align>right</wp:align>
                </wp:positionH>
                <wp:positionV relativeFrom="paragraph">
                  <wp:posOffset>466725</wp:posOffset>
                </wp:positionV>
                <wp:extent cx="6181090" cy="4552950"/>
                <wp:effectExtent l="0" t="0" r="1016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090" cy="4552950"/>
                        </a:xfrm>
                        <a:prstGeom prst="rect">
                          <a:avLst/>
                        </a:prstGeom>
                        <a:solidFill>
                          <a:srgbClr val="FFFFFF"/>
                        </a:solidFill>
                        <a:ln w="9525">
                          <a:solidFill>
                            <a:srgbClr val="000000"/>
                          </a:solidFill>
                          <a:miter lim="800000"/>
                          <a:headEnd/>
                          <a:tailEnd/>
                        </a:ln>
                      </wps:spPr>
                      <wps:txbx>
                        <w:txbxContent>
                          <w:p w14:paraId="12BCF91A" w14:textId="77777777" w:rsidR="00DD13F2" w:rsidRPr="001D1544" w:rsidRDefault="00DD13F2" w:rsidP="00DD13F2">
                            <w:pPr>
                              <w:rPr>
                                <w:rFonts w:eastAsia="Batang"/>
                                <w:lang w:eastAsia="ko-KR"/>
                              </w:rPr>
                            </w:pPr>
                            <w:r w:rsidRPr="001D1544">
                              <w:rPr>
                                <w:rFonts w:eastAsia="Batang"/>
                                <w:highlight w:val="green"/>
                                <w:lang w:eastAsia="ko-KR"/>
                              </w:rPr>
                              <w:t>Agreements:</w:t>
                            </w:r>
                          </w:p>
                          <w:p w14:paraId="0052252C" w14:textId="77777777" w:rsidR="00F91D33" w:rsidRPr="00EA7060" w:rsidRDefault="00F91D33" w:rsidP="00F91D33">
                            <w:pPr>
                              <w:spacing w:before="0" w:after="0"/>
                              <w:jc w:val="left"/>
                              <w:rPr>
                                <w:rFonts w:ascii="Times" w:eastAsia="Batang" w:hAnsi="Times"/>
                                <w:lang w:eastAsia="zh-CN"/>
                              </w:rPr>
                            </w:pPr>
                            <w:r w:rsidRPr="00EA7060">
                              <w:rPr>
                                <w:rFonts w:ascii="Times" w:eastAsia="Batang" w:hAnsi="Times"/>
                                <w:lang w:eastAsia="zh-CN"/>
                              </w:rPr>
                              <w:t>For reporting the multi-slot PDCCH monitoring capability, at least the following values are supported:</w:t>
                            </w:r>
                          </w:p>
                          <w:p w14:paraId="6A68B484" w14:textId="77777777" w:rsidR="00F91D33" w:rsidRPr="00EA7060" w:rsidRDefault="00F91D33" w:rsidP="00F91D33">
                            <w:pPr>
                              <w:numPr>
                                <w:ilvl w:val="0"/>
                                <w:numId w:val="35"/>
                              </w:numPr>
                              <w:snapToGrid w:val="0"/>
                              <w:spacing w:before="0" w:after="0" w:line="259" w:lineRule="auto"/>
                              <w:jc w:val="left"/>
                              <w:rPr>
                                <w:lang w:eastAsia="zh-CN"/>
                              </w:rPr>
                            </w:pPr>
                            <w:r w:rsidRPr="00EA7060">
                              <w:rPr>
                                <w:lang w:eastAsia="zh-CN"/>
                              </w:rPr>
                              <w:t>X=4 slots for SCS 480 kHz</w:t>
                            </w:r>
                          </w:p>
                          <w:p w14:paraId="4DE21A40" w14:textId="77777777" w:rsidR="00F91D33" w:rsidRPr="00EA7060" w:rsidRDefault="00F91D33" w:rsidP="00F91D33">
                            <w:pPr>
                              <w:numPr>
                                <w:ilvl w:val="0"/>
                                <w:numId w:val="35"/>
                              </w:numPr>
                              <w:snapToGrid w:val="0"/>
                              <w:spacing w:before="0" w:after="0" w:line="259" w:lineRule="auto"/>
                              <w:jc w:val="left"/>
                              <w:rPr>
                                <w:lang w:eastAsia="zh-CN"/>
                              </w:rPr>
                            </w:pPr>
                            <w:r w:rsidRPr="00EA7060">
                              <w:rPr>
                                <w:lang w:eastAsia="zh-CN"/>
                              </w:rPr>
                              <w:t>X=8 slots for SCS 960 kHz</w:t>
                            </w:r>
                          </w:p>
                          <w:p w14:paraId="1A27888D" w14:textId="77777777" w:rsidR="00F246F6" w:rsidRPr="00EA7060" w:rsidRDefault="00F246F6" w:rsidP="00F246F6">
                            <w:pPr>
                              <w:spacing w:before="0" w:after="0"/>
                              <w:jc w:val="left"/>
                              <w:rPr>
                                <w:rFonts w:ascii="Times" w:eastAsia="Batang" w:hAnsi="Times"/>
                                <w:lang w:eastAsia="x-none"/>
                              </w:rPr>
                            </w:pPr>
                            <w:r w:rsidRPr="00EA7060">
                              <w:rPr>
                                <w:rFonts w:ascii="Times" w:eastAsia="Batang" w:hAnsi="Times"/>
                                <w:highlight w:val="green"/>
                                <w:lang w:eastAsia="x-none"/>
                              </w:rPr>
                              <w:t>Agreement:</w:t>
                            </w:r>
                          </w:p>
                          <w:p w14:paraId="5CA3425C" w14:textId="77777777" w:rsidR="003652D0" w:rsidRPr="00EA7060" w:rsidRDefault="003652D0" w:rsidP="003652D0">
                            <w:pPr>
                              <w:spacing w:before="0" w:after="0"/>
                              <w:jc w:val="left"/>
                              <w:rPr>
                                <w:rFonts w:ascii="Times" w:eastAsia="Batang" w:hAnsi="Times"/>
                                <w:lang w:eastAsia="x-none"/>
                              </w:rPr>
                            </w:pPr>
                            <w:r w:rsidRPr="00EA7060">
                              <w:rPr>
                                <w:rFonts w:ascii="Times" w:eastAsia="Batang" w:hAnsi="Times"/>
                                <w:lang w:eastAsia="x-none"/>
                              </w:rPr>
                              <w:t>Revise prior agreement including modifications to Alt. 1 as follows:</w:t>
                            </w:r>
                          </w:p>
                          <w:p w14:paraId="7E35A008" w14:textId="77777777" w:rsidR="003652D0" w:rsidRPr="00EA7060" w:rsidRDefault="003652D0" w:rsidP="003652D0">
                            <w:pPr>
                              <w:numPr>
                                <w:ilvl w:val="0"/>
                                <w:numId w:val="34"/>
                              </w:numPr>
                              <w:snapToGrid w:val="0"/>
                              <w:spacing w:before="0" w:after="0" w:line="259" w:lineRule="auto"/>
                              <w:jc w:val="left"/>
                              <w:rPr>
                                <w:lang w:eastAsia="ja-JP"/>
                              </w:rPr>
                            </w:pPr>
                            <w:r w:rsidRPr="00EA7060">
                              <w:rPr>
                                <w:lang w:eastAsia="ja-JP"/>
                              </w:rPr>
                              <w:t xml:space="preserve">Alt. 1: Use a fixed pattern of slot groups as the baseline to define the new capability. </w:t>
                            </w:r>
                          </w:p>
                          <w:p w14:paraId="6A494039"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Each slot group consists of X slots</w:t>
                            </w:r>
                          </w:p>
                          <w:p w14:paraId="1731CB83"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Slot groups are consecutive and non-overlapping</w:t>
                            </w:r>
                          </w:p>
                          <w:p w14:paraId="6C591D48"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 xml:space="preserve">The capability indicates the BD/CCE budget within Y consecutive slots in each slot group </w:t>
                            </w:r>
                            <w:r w:rsidRPr="00EA7060">
                              <w:rPr>
                                <w:strike/>
                                <w:lang w:eastAsia="ja-JP"/>
                              </w:rPr>
                              <w:t>separately</w:t>
                            </w:r>
                          </w:p>
                          <w:p w14:paraId="31C531F1" w14:textId="77777777" w:rsidR="003652D0" w:rsidRPr="00EA7060" w:rsidRDefault="003652D0" w:rsidP="003652D0">
                            <w:pPr>
                              <w:numPr>
                                <w:ilvl w:val="2"/>
                                <w:numId w:val="34"/>
                              </w:numPr>
                              <w:snapToGrid w:val="0"/>
                              <w:spacing w:before="0" w:after="0" w:line="259" w:lineRule="auto"/>
                              <w:jc w:val="left"/>
                              <w:rPr>
                                <w:lang w:eastAsia="ja-JP"/>
                              </w:rPr>
                            </w:pPr>
                            <w:r w:rsidRPr="00EA7060">
                              <w:rPr>
                                <w:lang w:eastAsia="ja-JP"/>
                              </w:rPr>
                              <w:t>The location of the Y slots within the X slots is maintained across different slot groups</w:t>
                            </w:r>
                          </w:p>
                          <w:p w14:paraId="7519BBD8"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Further discuss down-selection of Y within 1&lt;=Y&lt;=X/2 (both in units of slot) when X&gt;1</w:t>
                            </w:r>
                          </w:p>
                          <w:p w14:paraId="774850BD" w14:textId="77777777" w:rsidR="003652D0" w:rsidRPr="00EA7060" w:rsidRDefault="003652D0" w:rsidP="003652D0">
                            <w:pPr>
                              <w:numPr>
                                <w:ilvl w:val="1"/>
                                <w:numId w:val="34"/>
                              </w:numPr>
                              <w:snapToGrid w:val="0"/>
                              <w:spacing w:before="0" w:after="0" w:line="259" w:lineRule="auto"/>
                              <w:jc w:val="left"/>
                              <w:rPr>
                                <w:strike/>
                                <w:lang w:eastAsia="ja-JP"/>
                              </w:rPr>
                            </w:pPr>
                            <w:r w:rsidRPr="00EA7060">
                              <w:rPr>
                                <w:strike/>
                                <w:lang w:eastAsia="ja-JP"/>
                              </w:rPr>
                              <w:t>FFS: Restrictions on location of the Y slots within a slot group, e.g. the Y slots always start at the first slot within a slot group</w:t>
                            </w:r>
                          </w:p>
                          <w:p w14:paraId="2C4E6BDB"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FFS: Further definition of capabilities</w:t>
                            </w:r>
                          </w:p>
                          <w:p w14:paraId="578C7A83" w14:textId="77777777" w:rsidR="003652D0" w:rsidRPr="00EA7060" w:rsidRDefault="003652D0" w:rsidP="003652D0">
                            <w:pPr>
                              <w:numPr>
                                <w:ilvl w:val="0"/>
                                <w:numId w:val="34"/>
                              </w:numPr>
                              <w:snapToGrid w:val="0"/>
                              <w:spacing w:before="0" w:after="0" w:line="259" w:lineRule="auto"/>
                              <w:jc w:val="left"/>
                              <w:rPr>
                                <w:lang w:eastAsia="ja-JP"/>
                              </w:rPr>
                            </w:pPr>
                            <w:r w:rsidRPr="00EA7060">
                              <w:rPr>
                                <w:lang w:eastAsia="ja-JP"/>
                              </w:rPr>
                              <w:t>FFS: The following issues for the search space configuration discussion</w:t>
                            </w:r>
                          </w:p>
                          <w:p w14:paraId="4344D825"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Whether a slot group is aligned with a slot boundary</w:t>
                            </w:r>
                          </w:p>
                          <w:p w14:paraId="4324D424"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Restrictions on location of the Y slots within a slot group, e.g. whether to restrict the location of a SS to be within the first Y slots within a slot group</w:t>
                            </w:r>
                          </w:p>
                          <w:p w14:paraId="76EB349A" w14:textId="77777777" w:rsidR="003652D0" w:rsidRPr="00EA7060" w:rsidRDefault="003652D0" w:rsidP="003652D0">
                            <w:pPr>
                              <w:numPr>
                                <w:ilvl w:val="0"/>
                                <w:numId w:val="37"/>
                              </w:numPr>
                              <w:spacing w:before="0" w:after="0"/>
                              <w:jc w:val="left"/>
                              <w:rPr>
                                <w:rFonts w:ascii="Times" w:eastAsia="Batang" w:hAnsi="Times"/>
                                <w:lang w:eastAsia="zh-CN"/>
                              </w:rPr>
                            </w:pPr>
                            <w:r w:rsidRPr="00EA7060">
                              <w:rPr>
                                <w:rFonts w:ascii="Times" w:eastAsia="Batang" w:hAnsi="Times"/>
                                <w:lang w:eastAsia="zh-CN"/>
                              </w:rPr>
                              <w:t>FFS: What the UE capability defines for monitoring within the Y slots</w:t>
                            </w:r>
                          </w:p>
                          <w:p w14:paraId="024583A9" w14:textId="3680B517" w:rsidR="0047752C" w:rsidRPr="00EA7060" w:rsidRDefault="0047752C" w:rsidP="001D1544">
                            <w:pPr>
                              <w:rPr>
                                <w:lang w:eastAsia="zh-CN"/>
                              </w:rPr>
                            </w:pPr>
                          </w:p>
                          <w:p w14:paraId="519586A5" w14:textId="77777777" w:rsidR="0047752C" w:rsidRPr="00EA7060" w:rsidRDefault="0047752C" w:rsidP="0047752C">
                            <w:pPr>
                              <w:spacing w:before="0" w:after="0"/>
                              <w:jc w:val="left"/>
                              <w:rPr>
                                <w:rFonts w:ascii="Times" w:eastAsia="Batang" w:hAnsi="Times"/>
                                <w:lang w:eastAsia="x-none"/>
                              </w:rPr>
                            </w:pPr>
                            <w:r w:rsidRPr="00EA7060">
                              <w:rPr>
                                <w:rFonts w:ascii="Times" w:eastAsia="Batang" w:hAnsi="Times"/>
                                <w:highlight w:val="green"/>
                                <w:lang w:eastAsia="x-none"/>
                              </w:rPr>
                              <w:t>Agreement:</w:t>
                            </w:r>
                          </w:p>
                          <w:p w14:paraId="705B4094" w14:textId="77777777" w:rsidR="0047752C" w:rsidRPr="00EA7060" w:rsidRDefault="0047752C" w:rsidP="0047752C">
                            <w:pPr>
                              <w:numPr>
                                <w:ilvl w:val="0"/>
                                <w:numId w:val="38"/>
                              </w:numPr>
                              <w:overflowPunct w:val="0"/>
                              <w:autoSpaceDE w:val="0"/>
                              <w:autoSpaceDN w:val="0"/>
                              <w:adjustRightInd w:val="0"/>
                              <w:spacing w:before="0" w:after="180"/>
                              <w:contextualSpacing/>
                              <w:jc w:val="left"/>
                              <w:textAlignment w:val="baseline"/>
                              <w:rPr>
                                <w:lang w:eastAsia="ja-JP"/>
                              </w:rPr>
                            </w:pPr>
                            <w:r w:rsidRPr="00EA7060">
                              <w:rPr>
                                <w:lang w:eastAsia="ja-JP"/>
                              </w:rPr>
                              <w:t>A UE supporting 480 kHz SCS supports multi-slot PDCCH monitoring for 480 kHz SCS.</w:t>
                            </w:r>
                          </w:p>
                          <w:p w14:paraId="77C96965" w14:textId="77777777" w:rsidR="0047752C" w:rsidRPr="00EA7060" w:rsidRDefault="0047752C" w:rsidP="0047752C">
                            <w:pPr>
                              <w:numPr>
                                <w:ilvl w:val="0"/>
                                <w:numId w:val="38"/>
                              </w:numPr>
                              <w:overflowPunct w:val="0"/>
                              <w:autoSpaceDE w:val="0"/>
                              <w:autoSpaceDN w:val="0"/>
                              <w:adjustRightInd w:val="0"/>
                              <w:spacing w:before="0" w:after="180"/>
                              <w:contextualSpacing/>
                              <w:jc w:val="left"/>
                              <w:textAlignment w:val="baseline"/>
                              <w:rPr>
                                <w:lang w:eastAsia="ja-JP"/>
                              </w:rPr>
                            </w:pPr>
                            <w:r w:rsidRPr="00EA7060">
                              <w:rPr>
                                <w:lang w:eastAsia="ja-JP"/>
                              </w:rPr>
                              <w:t>A UE supporting 960 kHz SCS supports multi-slot PDCCH monitoring for 960 kHz SCS.</w:t>
                            </w:r>
                          </w:p>
                          <w:p w14:paraId="04DD3CCF" w14:textId="77777777" w:rsidR="0047752C" w:rsidRPr="00EA7060" w:rsidRDefault="0047752C" w:rsidP="0047752C">
                            <w:pPr>
                              <w:numPr>
                                <w:ilvl w:val="0"/>
                                <w:numId w:val="38"/>
                              </w:numPr>
                              <w:overflowPunct w:val="0"/>
                              <w:autoSpaceDE w:val="0"/>
                              <w:autoSpaceDN w:val="0"/>
                              <w:adjustRightInd w:val="0"/>
                              <w:spacing w:before="0" w:after="180"/>
                              <w:contextualSpacing/>
                              <w:jc w:val="left"/>
                              <w:textAlignment w:val="baseline"/>
                              <w:rPr>
                                <w:lang w:eastAsia="ja-JP"/>
                              </w:rPr>
                            </w:pPr>
                            <w:r w:rsidRPr="00EA7060">
                              <w:rPr>
                                <w:lang w:eastAsia="ja-JP"/>
                              </w:rPr>
                              <w:t>FFS: whether to apply multi-slot PDCCH monitoring at all times and for all search spaces.</w:t>
                            </w:r>
                          </w:p>
                          <w:p w14:paraId="02AFFFF0" w14:textId="77777777" w:rsidR="0047752C" w:rsidRPr="0047752C" w:rsidRDefault="0047752C" w:rsidP="009D1767">
                            <w:pPr>
                              <w:ind w:left="1440" w:hanging="1440"/>
                              <w:rPr>
                                <w:lang w:eastAsia="zh-CN"/>
                              </w:rPr>
                            </w:pPr>
                          </w:p>
                          <w:p w14:paraId="13E421C7" w14:textId="77777777" w:rsidR="00DD13F2" w:rsidRPr="009D1767"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435.5pt;margin-top:36.75pt;width:486.7pt;height:35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PNJAIAAEc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">
                <v:textbox>
                  <w:txbxContent>
                    <w:p w14:paraId="12BCF91A" w14:textId="77777777" w:rsidR="00DD13F2" w:rsidRPr="001D1544" w:rsidRDefault="00DD13F2" w:rsidP="00DD13F2">
                      <w:pPr>
                        <w:rPr>
                          <w:rFonts w:eastAsia="Batang"/>
                          <w:lang w:eastAsia="ko-KR"/>
                        </w:rPr>
                      </w:pPr>
                      <w:r w:rsidRPr="001D1544">
                        <w:rPr>
                          <w:rFonts w:eastAsia="Batang"/>
                          <w:highlight w:val="green"/>
                          <w:lang w:eastAsia="ko-KR"/>
                        </w:rPr>
                        <w:t>Agreements:</w:t>
                      </w:r>
                    </w:p>
                    <w:p w14:paraId="0052252C" w14:textId="77777777" w:rsidR="00F91D33" w:rsidRPr="00EA7060" w:rsidRDefault="00F91D33" w:rsidP="00F91D33">
                      <w:pPr>
                        <w:spacing w:before="0" w:after="0"/>
                        <w:jc w:val="left"/>
                        <w:rPr>
                          <w:rFonts w:ascii="Times" w:eastAsia="Batang" w:hAnsi="Times"/>
                          <w:lang w:eastAsia="zh-CN"/>
                        </w:rPr>
                      </w:pPr>
                      <w:r w:rsidRPr="00EA7060">
                        <w:rPr>
                          <w:rFonts w:ascii="Times" w:eastAsia="Batang" w:hAnsi="Times"/>
                          <w:lang w:eastAsia="zh-CN"/>
                        </w:rPr>
                        <w:t>For reporting the multi-slot PDCCH monitoring capability, at least the following values are supported:</w:t>
                      </w:r>
                    </w:p>
                    <w:p w14:paraId="6A68B484" w14:textId="77777777" w:rsidR="00F91D33" w:rsidRPr="00EA7060" w:rsidRDefault="00F91D33" w:rsidP="00F91D33">
                      <w:pPr>
                        <w:numPr>
                          <w:ilvl w:val="0"/>
                          <w:numId w:val="35"/>
                        </w:numPr>
                        <w:snapToGrid w:val="0"/>
                        <w:spacing w:before="0" w:after="0" w:line="259" w:lineRule="auto"/>
                        <w:jc w:val="left"/>
                        <w:rPr>
                          <w:lang w:eastAsia="zh-CN"/>
                        </w:rPr>
                      </w:pPr>
                      <w:r w:rsidRPr="00EA7060">
                        <w:rPr>
                          <w:lang w:eastAsia="zh-CN"/>
                        </w:rPr>
                        <w:t>X=4 slots for SCS 480 kHz</w:t>
                      </w:r>
                    </w:p>
                    <w:p w14:paraId="4DE21A40" w14:textId="77777777" w:rsidR="00F91D33" w:rsidRPr="00EA7060" w:rsidRDefault="00F91D33" w:rsidP="00F91D33">
                      <w:pPr>
                        <w:numPr>
                          <w:ilvl w:val="0"/>
                          <w:numId w:val="35"/>
                        </w:numPr>
                        <w:snapToGrid w:val="0"/>
                        <w:spacing w:before="0" w:after="0" w:line="259" w:lineRule="auto"/>
                        <w:jc w:val="left"/>
                        <w:rPr>
                          <w:lang w:eastAsia="zh-CN"/>
                        </w:rPr>
                      </w:pPr>
                      <w:r w:rsidRPr="00EA7060">
                        <w:rPr>
                          <w:lang w:eastAsia="zh-CN"/>
                        </w:rPr>
                        <w:t>X=8 slots for SCS 960 kHz</w:t>
                      </w:r>
                    </w:p>
                    <w:p w14:paraId="1A27888D" w14:textId="77777777" w:rsidR="00F246F6" w:rsidRPr="00EA7060" w:rsidRDefault="00F246F6" w:rsidP="00F246F6">
                      <w:pPr>
                        <w:spacing w:before="0" w:after="0"/>
                        <w:jc w:val="left"/>
                        <w:rPr>
                          <w:rFonts w:ascii="Times" w:eastAsia="Batang" w:hAnsi="Times"/>
                          <w:lang w:eastAsia="x-none"/>
                        </w:rPr>
                      </w:pPr>
                      <w:r w:rsidRPr="00EA7060">
                        <w:rPr>
                          <w:rFonts w:ascii="Times" w:eastAsia="Batang" w:hAnsi="Times"/>
                          <w:highlight w:val="green"/>
                          <w:lang w:eastAsia="x-none"/>
                        </w:rPr>
                        <w:t>Agreement:</w:t>
                      </w:r>
                    </w:p>
                    <w:p w14:paraId="5CA3425C" w14:textId="77777777" w:rsidR="003652D0" w:rsidRPr="00EA7060" w:rsidRDefault="003652D0" w:rsidP="003652D0">
                      <w:pPr>
                        <w:spacing w:before="0" w:after="0"/>
                        <w:jc w:val="left"/>
                        <w:rPr>
                          <w:rFonts w:ascii="Times" w:eastAsia="Batang" w:hAnsi="Times"/>
                          <w:lang w:eastAsia="x-none"/>
                        </w:rPr>
                      </w:pPr>
                      <w:r w:rsidRPr="00EA7060">
                        <w:rPr>
                          <w:rFonts w:ascii="Times" w:eastAsia="Batang" w:hAnsi="Times"/>
                          <w:lang w:eastAsia="x-none"/>
                        </w:rPr>
                        <w:t>Revise prior agreement including modifications to Alt. 1 as follows:</w:t>
                      </w:r>
                    </w:p>
                    <w:p w14:paraId="7E35A008" w14:textId="77777777" w:rsidR="003652D0" w:rsidRPr="00EA7060" w:rsidRDefault="003652D0" w:rsidP="003652D0">
                      <w:pPr>
                        <w:numPr>
                          <w:ilvl w:val="0"/>
                          <w:numId w:val="34"/>
                        </w:numPr>
                        <w:snapToGrid w:val="0"/>
                        <w:spacing w:before="0" w:after="0" w:line="259" w:lineRule="auto"/>
                        <w:jc w:val="left"/>
                        <w:rPr>
                          <w:lang w:eastAsia="ja-JP"/>
                        </w:rPr>
                      </w:pPr>
                      <w:r w:rsidRPr="00EA7060">
                        <w:rPr>
                          <w:lang w:eastAsia="ja-JP"/>
                        </w:rPr>
                        <w:t xml:space="preserve">Alt. 1: Use a fixed pattern of slot groups as the baseline to define the new capability. </w:t>
                      </w:r>
                    </w:p>
                    <w:p w14:paraId="6A494039"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Each slot group consists of X slots</w:t>
                      </w:r>
                    </w:p>
                    <w:p w14:paraId="1731CB83"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Slot groups are consecutive and non-overlapping</w:t>
                      </w:r>
                    </w:p>
                    <w:p w14:paraId="6C591D48"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 xml:space="preserve">The capability indicates the BD/CCE budget within Y consecutive slots in each slot group </w:t>
                      </w:r>
                      <w:r w:rsidRPr="00EA7060">
                        <w:rPr>
                          <w:strike/>
                          <w:lang w:eastAsia="ja-JP"/>
                        </w:rPr>
                        <w:t>separately</w:t>
                      </w:r>
                    </w:p>
                    <w:p w14:paraId="31C531F1" w14:textId="77777777" w:rsidR="003652D0" w:rsidRPr="00EA7060" w:rsidRDefault="003652D0" w:rsidP="003652D0">
                      <w:pPr>
                        <w:numPr>
                          <w:ilvl w:val="2"/>
                          <w:numId w:val="34"/>
                        </w:numPr>
                        <w:snapToGrid w:val="0"/>
                        <w:spacing w:before="0" w:after="0" w:line="259" w:lineRule="auto"/>
                        <w:jc w:val="left"/>
                        <w:rPr>
                          <w:lang w:eastAsia="ja-JP"/>
                        </w:rPr>
                      </w:pPr>
                      <w:r w:rsidRPr="00EA7060">
                        <w:rPr>
                          <w:lang w:eastAsia="ja-JP"/>
                        </w:rPr>
                        <w:t>The location of the Y slots within the X slots is maintained across different slot groups</w:t>
                      </w:r>
                    </w:p>
                    <w:p w14:paraId="7519BBD8"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Further discuss down-selection of Y within 1&lt;=Y&lt;=X/2 (both in units of slot) when X&gt;1</w:t>
                      </w:r>
                    </w:p>
                    <w:p w14:paraId="774850BD" w14:textId="77777777" w:rsidR="003652D0" w:rsidRPr="00EA7060" w:rsidRDefault="003652D0" w:rsidP="003652D0">
                      <w:pPr>
                        <w:numPr>
                          <w:ilvl w:val="1"/>
                          <w:numId w:val="34"/>
                        </w:numPr>
                        <w:snapToGrid w:val="0"/>
                        <w:spacing w:before="0" w:after="0" w:line="259" w:lineRule="auto"/>
                        <w:jc w:val="left"/>
                        <w:rPr>
                          <w:strike/>
                          <w:lang w:eastAsia="ja-JP"/>
                        </w:rPr>
                      </w:pPr>
                      <w:r w:rsidRPr="00EA7060">
                        <w:rPr>
                          <w:strike/>
                          <w:lang w:eastAsia="ja-JP"/>
                        </w:rPr>
                        <w:t>FFS: Restrictions on location of the Y slots within a slot group, e.g. the Y slots always start at the first slot within a slot group</w:t>
                      </w:r>
                    </w:p>
                    <w:p w14:paraId="2C4E6BDB"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FFS: Further definition of capabilities</w:t>
                      </w:r>
                    </w:p>
                    <w:p w14:paraId="578C7A83" w14:textId="77777777" w:rsidR="003652D0" w:rsidRPr="00EA7060" w:rsidRDefault="003652D0" w:rsidP="003652D0">
                      <w:pPr>
                        <w:numPr>
                          <w:ilvl w:val="0"/>
                          <w:numId w:val="34"/>
                        </w:numPr>
                        <w:snapToGrid w:val="0"/>
                        <w:spacing w:before="0" w:after="0" w:line="259" w:lineRule="auto"/>
                        <w:jc w:val="left"/>
                        <w:rPr>
                          <w:lang w:eastAsia="ja-JP"/>
                        </w:rPr>
                      </w:pPr>
                      <w:r w:rsidRPr="00EA7060">
                        <w:rPr>
                          <w:lang w:eastAsia="ja-JP"/>
                        </w:rPr>
                        <w:t>FFS: The following issues for the search space configuration discussion</w:t>
                      </w:r>
                    </w:p>
                    <w:p w14:paraId="4344D825"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Whether a slot group is aligned with a slot boundary</w:t>
                      </w:r>
                    </w:p>
                    <w:p w14:paraId="4324D424" w14:textId="77777777" w:rsidR="003652D0" w:rsidRPr="00EA7060" w:rsidRDefault="003652D0" w:rsidP="003652D0">
                      <w:pPr>
                        <w:numPr>
                          <w:ilvl w:val="1"/>
                          <w:numId w:val="34"/>
                        </w:numPr>
                        <w:snapToGrid w:val="0"/>
                        <w:spacing w:before="0" w:after="0" w:line="259" w:lineRule="auto"/>
                        <w:jc w:val="left"/>
                        <w:rPr>
                          <w:lang w:eastAsia="ja-JP"/>
                        </w:rPr>
                      </w:pPr>
                      <w:r w:rsidRPr="00EA7060">
                        <w:rPr>
                          <w:lang w:eastAsia="ja-JP"/>
                        </w:rPr>
                        <w:t>Restrictions on location of the Y slots within a slot group, e.g. whether to restrict the location of a SS to be within the first Y slots within a slot group</w:t>
                      </w:r>
                    </w:p>
                    <w:p w14:paraId="76EB349A" w14:textId="77777777" w:rsidR="003652D0" w:rsidRPr="00EA7060" w:rsidRDefault="003652D0" w:rsidP="003652D0">
                      <w:pPr>
                        <w:numPr>
                          <w:ilvl w:val="0"/>
                          <w:numId w:val="37"/>
                        </w:numPr>
                        <w:spacing w:before="0" w:after="0"/>
                        <w:jc w:val="left"/>
                        <w:rPr>
                          <w:rFonts w:ascii="Times" w:eastAsia="Batang" w:hAnsi="Times"/>
                          <w:lang w:eastAsia="zh-CN"/>
                        </w:rPr>
                      </w:pPr>
                      <w:r w:rsidRPr="00EA7060">
                        <w:rPr>
                          <w:rFonts w:ascii="Times" w:eastAsia="Batang" w:hAnsi="Times"/>
                          <w:lang w:eastAsia="zh-CN"/>
                        </w:rPr>
                        <w:t>FFS: What the UE capability defines for monitoring within the Y slots</w:t>
                      </w:r>
                    </w:p>
                    <w:p w14:paraId="024583A9" w14:textId="3680B517" w:rsidR="0047752C" w:rsidRPr="00EA7060" w:rsidRDefault="0047752C" w:rsidP="001D1544">
                      <w:pPr>
                        <w:rPr>
                          <w:lang w:eastAsia="zh-CN"/>
                        </w:rPr>
                      </w:pPr>
                    </w:p>
                    <w:p w14:paraId="519586A5" w14:textId="77777777" w:rsidR="0047752C" w:rsidRPr="00EA7060" w:rsidRDefault="0047752C" w:rsidP="0047752C">
                      <w:pPr>
                        <w:spacing w:before="0" w:after="0"/>
                        <w:jc w:val="left"/>
                        <w:rPr>
                          <w:rFonts w:ascii="Times" w:eastAsia="Batang" w:hAnsi="Times"/>
                          <w:lang w:eastAsia="x-none"/>
                        </w:rPr>
                      </w:pPr>
                      <w:r w:rsidRPr="00EA7060">
                        <w:rPr>
                          <w:rFonts w:ascii="Times" w:eastAsia="Batang" w:hAnsi="Times"/>
                          <w:highlight w:val="green"/>
                          <w:lang w:eastAsia="x-none"/>
                        </w:rPr>
                        <w:t>Agreement:</w:t>
                      </w:r>
                    </w:p>
                    <w:p w14:paraId="705B4094" w14:textId="77777777" w:rsidR="0047752C" w:rsidRPr="00EA7060" w:rsidRDefault="0047752C" w:rsidP="0047752C">
                      <w:pPr>
                        <w:numPr>
                          <w:ilvl w:val="0"/>
                          <w:numId w:val="38"/>
                        </w:numPr>
                        <w:overflowPunct w:val="0"/>
                        <w:autoSpaceDE w:val="0"/>
                        <w:autoSpaceDN w:val="0"/>
                        <w:adjustRightInd w:val="0"/>
                        <w:spacing w:before="0" w:after="180"/>
                        <w:contextualSpacing/>
                        <w:jc w:val="left"/>
                        <w:textAlignment w:val="baseline"/>
                        <w:rPr>
                          <w:lang w:eastAsia="ja-JP"/>
                        </w:rPr>
                      </w:pPr>
                      <w:r w:rsidRPr="00EA7060">
                        <w:rPr>
                          <w:lang w:eastAsia="ja-JP"/>
                        </w:rPr>
                        <w:t>A UE supporting 480 kHz SCS supports multi-slot PDCCH monitoring for 480 kHz SCS.</w:t>
                      </w:r>
                    </w:p>
                    <w:p w14:paraId="77C96965" w14:textId="77777777" w:rsidR="0047752C" w:rsidRPr="00EA7060" w:rsidRDefault="0047752C" w:rsidP="0047752C">
                      <w:pPr>
                        <w:numPr>
                          <w:ilvl w:val="0"/>
                          <w:numId w:val="38"/>
                        </w:numPr>
                        <w:overflowPunct w:val="0"/>
                        <w:autoSpaceDE w:val="0"/>
                        <w:autoSpaceDN w:val="0"/>
                        <w:adjustRightInd w:val="0"/>
                        <w:spacing w:before="0" w:after="180"/>
                        <w:contextualSpacing/>
                        <w:jc w:val="left"/>
                        <w:textAlignment w:val="baseline"/>
                        <w:rPr>
                          <w:lang w:eastAsia="ja-JP"/>
                        </w:rPr>
                      </w:pPr>
                      <w:r w:rsidRPr="00EA7060">
                        <w:rPr>
                          <w:lang w:eastAsia="ja-JP"/>
                        </w:rPr>
                        <w:t>A UE supporting 960 kHz SCS supports multi-slot PDCCH monitoring for 960 kHz SCS.</w:t>
                      </w:r>
                    </w:p>
                    <w:p w14:paraId="04DD3CCF" w14:textId="77777777" w:rsidR="0047752C" w:rsidRPr="00EA7060" w:rsidRDefault="0047752C" w:rsidP="0047752C">
                      <w:pPr>
                        <w:numPr>
                          <w:ilvl w:val="0"/>
                          <w:numId w:val="38"/>
                        </w:numPr>
                        <w:overflowPunct w:val="0"/>
                        <w:autoSpaceDE w:val="0"/>
                        <w:autoSpaceDN w:val="0"/>
                        <w:adjustRightInd w:val="0"/>
                        <w:spacing w:before="0" w:after="180"/>
                        <w:contextualSpacing/>
                        <w:jc w:val="left"/>
                        <w:textAlignment w:val="baseline"/>
                        <w:rPr>
                          <w:lang w:eastAsia="ja-JP"/>
                        </w:rPr>
                      </w:pPr>
                      <w:r w:rsidRPr="00EA7060">
                        <w:rPr>
                          <w:lang w:eastAsia="ja-JP"/>
                        </w:rPr>
                        <w:t>FFS: whether to apply multi-slot PDCCH monitoring at all times and for all search spaces.</w:t>
                      </w:r>
                    </w:p>
                    <w:p w14:paraId="02AFFFF0" w14:textId="77777777" w:rsidR="0047752C" w:rsidRPr="0047752C" w:rsidRDefault="0047752C" w:rsidP="009D1767">
                      <w:pPr>
                        <w:ind w:left="1440" w:hanging="1440"/>
                        <w:rPr>
                          <w:lang w:eastAsia="zh-CN"/>
                        </w:rPr>
                      </w:pPr>
                    </w:p>
                    <w:p w14:paraId="13E421C7" w14:textId="77777777" w:rsidR="00DD13F2" w:rsidRPr="009D1767"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910370">
        <w:rPr>
          <w:rFonts w:eastAsia="Batang"/>
          <w:sz w:val="22"/>
          <w:szCs w:val="22"/>
          <w:lang w:eastAsia="ko-KR"/>
        </w:rPr>
        <w:t>6</w:t>
      </w:r>
      <w:r w:rsidR="00542B3F">
        <w:rPr>
          <w:rFonts w:eastAsia="Batang"/>
          <w:sz w:val="22"/>
          <w:szCs w:val="22"/>
          <w:lang w:eastAsia="ko-KR"/>
        </w:rPr>
        <w:t>-</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C5591F">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6B31A5F0" w14:textId="24195833"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PDCCH design</w:t>
      </w:r>
      <w:r w:rsidR="00484D84" w:rsidRPr="0091515D">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860EDB2" w:rsidR="00C70E00" w:rsidRDefault="005A7F54" w:rsidP="00C70E00">
      <w:pPr>
        <w:pStyle w:val="Heading1"/>
      </w:pPr>
      <w:r>
        <w:rPr>
          <w:lang w:eastAsia="zh-CN"/>
        </w:rPr>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2D59B76D" w14:textId="023F6A44" w:rsidR="00FA7B7C"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r w:rsidR="00622647">
        <w:rPr>
          <w:bCs/>
          <w:iCs/>
          <w:sz w:val="22"/>
          <w:szCs w:val="22"/>
        </w:rPr>
        <w:t xml:space="preserve"> </w:t>
      </w:r>
      <w:r w:rsidR="0034495B" w:rsidRPr="0091515D">
        <w:rPr>
          <w:bCs/>
          <w:iCs/>
          <w:sz w:val="22"/>
          <w:szCs w:val="22"/>
        </w:rPr>
        <w:t xml:space="preserve">To support NR </w:t>
      </w:r>
      <w:r w:rsidR="005D6061" w:rsidRPr="0091515D">
        <w:rPr>
          <w:bCs/>
          <w:iCs/>
          <w:sz w:val="22"/>
          <w:szCs w:val="22"/>
        </w:rPr>
        <w:t xml:space="preserve">from </w:t>
      </w:r>
      <w:r w:rsidR="0034495B"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0034495B" w:rsidRPr="0091515D">
        <w:rPr>
          <w:bCs/>
          <w:iCs/>
          <w:sz w:val="22"/>
          <w:szCs w:val="22"/>
        </w:rPr>
        <w:t>71 GHz,</w:t>
      </w:r>
      <w:r w:rsidR="00FA7B7C" w:rsidRPr="0091515D">
        <w:rPr>
          <w:bCs/>
          <w:iCs/>
          <w:sz w:val="22"/>
          <w:szCs w:val="22"/>
        </w:rPr>
        <w:t xml:space="preserve"> </w:t>
      </w:r>
      <w:r w:rsidR="0034495B"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0034495B"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0034495B"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0034495B" w:rsidRPr="0091515D">
        <w:rPr>
          <w:bCs/>
          <w:iCs/>
          <w:sz w:val="22"/>
          <w:szCs w:val="22"/>
        </w:rPr>
        <w:t>wide</w:t>
      </w:r>
      <w:r w:rsidR="000E639C" w:rsidRPr="0091515D">
        <w:rPr>
          <w:bCs/>
          <w:iCs/>
          <w:sz w:val="22"/>
          <w:szCs w:val="22"/>
        </w:rPr>
        <w:t>-</w:t>
      </w:r>
      <w:r w:rsidR="000E639C" w:rsidRPr="0091515D">
        <w:rPr>
          <w:bCs/>
          <w:iCs/>
          <w:sz w:val="22"/>
          <w:szCs w:val="22"/>
        </w:rPr>
        <w:lastRenderedPageBreak/>
        <w:t>bandwidth</w:t>
      </w:r>
      <w:r w:rsidR="0034495B"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0034495B"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1B9AB4CE" w14:textId="48C056E4"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F848DC">
        <w:rPr>
          <w:bCs/>
          <w:iCs/>
          <w:sz w:val="22"/>
          <w:szCs w:val="22"/>
        </w:rPr>
        <w:t>has been agree</w:t>
      </w:r>
      <w:r w:rsidR="00AD2BCF">
        <w:rPr>
          <w:bCs/>
          <w:iCs/>
          <w:sz w:val="22"/>
          <w:szCs w:val="22"/>
        </w:rPr>
        <w:t>d</w:t>
      </w:r>
      <w:r w:rsidR="00C27CC0" w:rsidRPr="0091515D">
        <w:rPr>
          <w:bCs/>
          <w:iCs/>
          <w:sz w:val="22"/>
          <w:szCs w:val="22"/>
        </w:rPr>
        <w:t xml:space="preserve">. </w:t>
      </w:r>
      <w:r w:rsidR="00D116AB">
        <w:rPr>
          <w:bCs/>
          <w:iCs/>
          <w:sz w:val="22"/>
          <w:szCs w:val="22"/>
        </w:rPr>
        <w:t xml:space="preserve"> </w:t>
      </w:r>
      <w:r w:rsidR="00B740FF" w:rsidRPr="00B740FF">
        <w:rPr>
          <w:bCs/>
          <w:iCs/>
          <w:sz w:val="22"/>
          <w:szCs w:val="22"/>
        </w:rPr>
        <w:t>When the larger SCSs/numerologies are introduced, the duration of slot in a subframe will be decreased accordingly. Due to the limited PDCCH processing capability, the number of monitored PDCCH candidates and the number of non-overlapped CCE per slot are expected to be decreased for the higher SCSs/numerologies (e.g.</w:t>
      </w:r>
      <w:r w:rsidR="00941EF8">
        <w:rPr>
          <w:bCs/>
          <w:iCs/>
          <w:sz w:val="22"/>
          <w:szCs w:val="22"/>
        </w:rPr>
        <w:t>,</w:t>
      </w:r>
      <w:r w:rsidR="00B740FF" w:rsidRPr="00B740FF">
        <w:rPr>
          <w:bCs/>
          <w:iCs/>
          <w:sz w:val="22"/>
          <w:szCs w:val="22"/>
        </w:rPr>
        <w:t xml:space="preserve"> </w:t>
      </w:r>
      <w:r w:rsidR="00024834">
        <w:rPr>
          <w:bCs/>
          <w:iCs/>
          <w:sz w:val="22"/>
          <w:szCs w:val="22"/>
        </w:rPr>
        <w:t xml:space="preserve">SCS = </w:t>
      </w:r>
      <w:r w:rsidR="00B740FF" w:rsidRPr="00B740FF">
        <w:rPr>
          <w:bCs/>
          <w:iCs/>
          <w:sz w:val="22"/>
          <w:szCs w:val="22"/>
        </w:rPr>
        <w:t xml:space="preserve">480 KHz, 960 KHz, etc.) scenarios in frequency range greater than 52.6 GHz. Therefore,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 Besides, link budget reduces roughly by 3dB when the subcarrier spacing doubles. Therefore, PDCCH coverage is degraded when the higher SCSs/numerologies are introduced for NR 52.6 GHz and above. </w:t>
      </w:r>
      <w:r w:rsidR="00C72E00" w:rsidRPr="0091515D">
        <w:rPr>
          <w:bCs/>
          <w:iCs/>
          <w:sz w:val="22"/>
          <w:szCs w:val="22"/>
        </w:rPr>
        <w:t xml:space="preserve"> </w:t>
      </w:r>
      <w:r w:rsidR="00483E94" w:rsidRPr="0091515D">
        <w:rPr>
          <w:bCs/>
          <w:iCs/>
          <w:sz w:val="22"/>
          <w:szCs w:val="22"/>
        </w:rPr>
        <w:t xml:space="preserve"> </w:t>
      </w:r>
    </w:p>
    <w:p w14:paraId="5DC25EB9" w14:textId="77A4653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PDCCH monitoring</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B6D2D51" w14:textId="1635C7A9" w:rsidR="000D3A2F" w:rsidRDefault="000D3A2F" w:rsidP="00B65DAB">
      <w:pPr>
        <w:pStyle w:val="Heading2"/>
        <w:numPr>
          <w:ilvl w:val="1"/>
          <w:numId w:val="8"/>
        </w:numPr>
        <w:ind w:left="0" w:firstLine="0"/>
      </w:pPr>
      <w:r>
        <w:t xml:space="preserve">PDCCH monitoring </w:t>
      </w:r>
      <w:r w:rsidR="00DA003A">
        <w:t xml:space="preserve">consideration </w:t>
      </w:r>
      <w:r>
        <w:t>for NR form 52.6 GHz to 71 GHz</w:t>
      </w:r>
    </w:p>
    <w:p w14:paraId="6DE67313" w14:textId="5C782C3C" w:rsidR="00175895" w:rsidRPr="000A27BF" w:rsidRDefault="00175895" w:rsidP="00FB3D48">
      <w:pPr>
        <w:spacing w:line="276" w:lineRule="auto"/>
        <w:rPr>
          <w:sz w:val="22"/>
          <w:szCs w:val="22"/>
        </w:rPr>
      </w:pPr>
      <w:r w:rsidRPr="000A27BF">
        <w:rPr>
          <w:sz w:val="22"/>
          <w:szCs w:val="22"/>
        </w:rPr>
        <w:t>Due to the limited PDCCH processing capability, the number of monitored PDCCH candidates and the number of non-overlapped CCE per slot are expected to be decreased for the higher SCSs/numerologies (e.g.</w:t>
      </w:r>
      <w:r w:rsidR="00310E39">
        <w:rPr>
          <w:sz w:val="22"/>
          <w:szCs w:val="22"/>
        </w:rPr>
        <w:t>,</w:t>
      </w:r>
      <w:r w:rsidRPr="000A27BF">
        <w:rPr>
          <w:sz w:val="22"/>
          <w:szCs w:val="22"/>
        </w:rPr>
        <w:t xml:space="preserve"> SCS = 960 KHz). To meet the scheduling requirement as the lower SCSs/numerologies, </w:t>
      </w:r>
      <w:r w:rsidR="009C4F49" w:rsidRPr="000A27BF">
        <w:rPr>
          <w:sz w:val="22"/>
          <w:szCs w:val="22"/>
        </w:rPr>
        <w:t>one approach is to monitor PDCCH in every slot like Rel-15/16</w:t>
      </w:r>
      <w:r w:rsidR="00A43DDF" w:rsidRPr="000A27BF">
        <w:rPr>
          <w:sz w:val="22"/>
          <w:szCs w:val="22"/>
        </w:rPr>
        <w:t>.</w:t>
      </w:r>
      <w:r w:rsidRPr="000A27BF">
        <w:rPr>
          <w:sz w:val="22"/>
          <w:szCs w:val="22"/>
        </w:rPr>
        <w:t xml:space="preserve"> However, this kind of configuration may consume lots of power for a UE especially with the higher SCSs/numerologies</w:t>
      </w:r>
      <w:r w:rsidR="00CA5AE0" w:rsidRPr="000A27BF">
        <w:rPr>
          <w:sz w:val="22"/>
          <w:szCs w:val="22"/>
        </w:rPr>
        <w:t xml:space="preserve"> for NR from 52.6 GHz to 71 GHz</w:t>
      </w:r>
      <w:r w:rsidRPr="000A27BF">
        <w:rPr>
          <w:sz w:val="22"/>
          <w:szCs w:val="22"/>
        </w:rPr>
        <w:t xml:space="preserve">. </w:t>
      </w:r>
    </w:p>
    <w:p w14:paraId="74E15D93" w14:textId="5F590D07" w:rsidR="00100204" w:rsidRDefault="00175895" w:rsidP="00FB3D48">
      <w:pPr>
        <w:spacing w:line="276" w:lineRule="auto"/>
        <w:rPr>
          <w:sz w:val="22"/>
          <w:szCs w:val="22"/>
        </w:rPr>
      </w:pPr>
      <w:r w:rsidRPr="000A27BF">
        <w:rPr>
          <w:sz w:val="22"/>
          <w:szCs w:val="22"/>
        </w:rPr>
        <w:t xml:space="preserve">Like Rel-16 URLLC PDCCH monitoring span (X, Y) definition, it can be extended to the mobile broadband (EMBB) service for NR from 52.6 GHz and above with few modifications. </w:t>
      </w:r>
      <w:r w:rsidR="00984505">
        <w:rPr>
          <w:sz w:val="22"/>
          <w:szCs w:val="22"/>
        </w:rPr>
        <w:t>T</w:t>
      </w:r>
      <w:r w:rsidRPr="000A27BF">
        <w:rPr>
          <w:sz w:val="22"/>
          <w:szCs w:val="22"/>
        </w:rPr>
        <w:t xml:space="preserve">he PDCCH monitoring span (X, Y) </w:t>
      </w:r>
      <w:r w:rsidR="003777C7">
        <w:rPr>
          <w:sz w:val="22"/>
          <w:szCs w:val="22"/>
        </w:rPr>
        <w:t xml:space="preserve">has been agreed in </w:t>
      </w:r>
      <w:r w:rsidR="003777C7" w:rsidRPr="003777C7">
        <w:rPr>
          <w:sz w:val="22"/>
          <w:szCs w:val="22"/>
        </w:rPr>
        <w:t xml:space="preserve">RAN 1 meeting #106-e </w:t>
      </w:r>
      <w:r w:rsidRPr="000A27BF">
        <w:rPr>
          <w:sz w:val="22"/>
          <w:szCs w:val="22"/>
        </w:rPr>
        <w:t>for higher SCS/numerology (e.g.</w:t>
      </w:r>
      <w:r w:rsidR="00A55F8A">
        <w:rPr>
          <w:sz w:val="22"/>
          <w:szCs w:val="22"/>
        </w:rPr>
        <w:t>,</w:t>
      </w:r>
      <w:r w:rsidRPr="000A27BF">
        <w:rPr>
          <w:sz w:val="22"/>
          <w:szCs w:val="22"/>
        </w:rPr>
        <w:t xml:space="preserve"> SCS </w:t>
      </w:r>
      <w:r w:rsidR="00310E39">
        <w:rPr>
          <w:sz w:val="22"/>
          <w:szCs w:val="22"/>
        </w:rPr>
        <w:t xml:space="preserve">480KHz, </w:t>
      </w:r>
      <w:r w:rsidRPr="000A27BF">
        <w:rPr>
          <w:sz w:val="22"/>
          <w:szCs w:val="22"/>
        </w:rPr>
        <w:t>960 kHz) where the first number X is the number of slots between the beginning of two consecutive monitoring occasions, the second number Y is the number of slots or symbols needs to be monitored in a monitoring occasion</w:t>
      </w:r>
      <w:r w:rsidR="003777C7" w:rsidRPr="000A27BF">
        <w:rPr>
          <w:sz w:val="22"/>
          <w:szCs w:val="22"/>
        </w:rPr>
        <w:t xml:space="preserve">. </w:t>
      </w:r>
      <w:r w:rsidRPr="000A27BF">
        <w:rPr>
          <w:sz w:val="22"/>
          <w:szCs w:val="22"/>
        </w:rPr>
        <w:t xml:space="preserve">For NR from 52.6 GHz and above, the duration per span </w:t>
      </w:r>
      <w:r w:rsidR="00321645">
        <w:rPr>
          <w:sz w:val="22"/>
          <w:szCs w:val="22"/>
        </w:rPr>
        <w:t>is</w:t>
      </w:r>
      <w:r w:rsidRPr="000A27BF">
        <w:rPr>
          <w:sz w:val="22"/>
          <w:szCs w:val="22"/>
        </w:rPr>
        <w:t xml:space="preserve"> across several slots to meet the scheduling requirement due to the number of PDCCH candidate and nonoverlapping CCEs being reduced per slot. </w:t>
      </w:r>
    </w:p>
    <w:p w14:paraId="74CFF8E1" w14:textId="4ABDC388" w:rsidR="00E243F1" w:rsidRDefault="00020271" w:rsidP="00E243F1">
      <w:pPr>
        <w:spacing w:line="276" w:lineRule="auto"/>
        <w:rPr>
          <w:sz w:val="22"/>
          <w:szCs w:val="22"/>
        </w:rPr>
      </w:pPr>
      <w:r w:rsidRPr="00020271">
        <w:rPr>
          <w:sz w:val="22"/>
          <w:szCs w:val="22"/>
        </w:rPr>
        <w:t>PDCCH span length X is preconfigured based on the subcarrier spacing (</w:t>
      </w:r>
      <w:r w:rsidR="00A202BB">
        <w:rPr>
          <w:sz w:val="22"/>
          <w:szCs w:val="22"/>
        </w:rPr>
        <w:t xml:space="preserve">e.g. </w:t>
      </w:r>
      <w:r w:rsidRPr="00020271">
        <w:rPr>
          <w:sz w:val="22"/>
          <w:szCs w:val="22"/>
        </w:rPr>
        <w:t xml:space="preserve">X=8 for SCS = 960 KHz) </w:t>
      </w:r>
      <w:r w:rsidR="00B93CEA">
        <w:rPr>
          <w:sz w:val="22"/>
          <w:szCs w:val="22"/>
        </w:rPr>
        <w:t>thus</w:t>
      </w:r>
      <w:r w:rsidRPr="00020271">
        <w:rPr>
          <w:sz w:val="22"/>
          <w:szCs w:val="22"/>
        </w:rPr>
        <w:t xml:space="preserve"> the PDCCH monitoring span X </w:t>
      </w:r>
      <w:r w:rsidR="00E7468F">
        <w:rPr>
          <w:sz w:val="22"/>
          <w:szCs w:val="22"/>
        </w:rPr>
        <w:t>may</w:t>
      </w:r>
      <w:r w:rsidRPr="00020271">
        <w:rPr>
          <w:sz w:val="22"/>
          <w:szCs w:val="22"/>
        </w:rPr>
        <w:t xml:space="preserve"> not need to be signalled by the higher layer. </w:t>
      </w:r>
      <w:r w:rsidR="003543FB">
        <w:rPr>
          <w:sz w:val="22"/>
          <w:szCs w:val="22"/>
        </w:rPr>
        <w:t xml:space="preserve">To simplify the </w:t>
      </w:r>
      <w:r w:rsidR="00B70699">
        <w:rPr>
          <w:sz w:val="22"/>
          <w:szCs w:val="22"/>
        </w:rPr>
        <w:t>design, it suggests that the slot group</w:t>
      </w:r>
      <w:r w:rsidR="00222481">
        <w:rPr>
          <w:sz w:val="22"/>
          <w:szCs w:val="22"/>
        </w:rPr>
        <w:t xml:space="preserve"> (or each PDCCH monitoring span)</w:t>
      </w:r>
      <w:r w:rsidR="00B70699">
        <w:rPr>
          <w:sz w:val="22"/>
          <w:szCs w:val="22"/>
        </w:rPr>
        <w:t xml:space="preserve"> is aligned with the slot boundary. </w:t>
      </w:r>
      <w:r w:rsidR="00E243F1" w:rsidRPr="005C1961">
        <w:rPr>
          <w:sz w:val="22"/>
          <w:szCs w:val="22"/>
        </w:rPr>
        <w:t>An example of a PDCCH monitoring span shown in</w:t>
      </w:r>
      <w:r w:rsidR="00E243F1">
        <w:rPr>
          <w:sz w:val="22"/>
          <w:szCs w:val="22"/>
        </w:rPr>
        <w:t xml:space="preserve"> </w:t>
      </w:r>
      <w:r w:rsidR="00E243F1" w:rsidRPr="00614FB7">
        <w:rPr>
          <w:sz w:val="22"/>
          <w:szCs w:val="22"/>
        </w:rPr>
        <w:fldChar w:fldCharType="begin"/>
      </w:r>
      <w:r w:rsidR="00E243F1" w:rsidRPr="00614FB7">
        <w:rPr>
          <w:sz w:val="22"/>
          <w:szCs w:val="22"/>
        </w:rPr>
        <w:instrText xml:space="preserve"> REF _Ref61628068 \h  \* MERGEFORMAT </w:instrText>
      </w:r>
      <w:r w:rsidR="00E243F1" w:rsidRPr="00614FB7">
        <w:rPr>
          <w:sz w:val="22"/>
          <w:szCs w:val="22"/>
        </w:rPr>
      </w:r>
      <w:r w:rsidR="00E243F1" w:rsidRPr="00614FB7">
        <w:rPr>
          <w:sz w:val="22"/>
          <w:szCs w:val="22"/>
        </w:rPr>
        <w:fldChar w:fldCharType="separate"/>
      </w:r>
      <w:r w:rsidR="00E243F1" w:rsidRPr="007A2036">
        <w:rPr>
          <w:iCs/>
          <w:sz w:val="22"/>
          <w:szCs w:val="22"/>
        </w:rPr>
        <w:t xml:space="preserve">Figure </w:t>
      </w:r>
      <w:r w:rsidR="00E243F1" w:rsidRPr="007A2036">
        <w:rPr>
          <w:iCs/>
          <w:noProof/>
          <w:sz w:val="22"/>
          <w:szCs w:val="22"/>
        </w:rPr>
        <w:t>1</w:t>
      </w:r>
      <w:r w:rsidR="00E243F1" w:rsidRPr="00614FB7">
        <w:rPr>
          <w:sz w:val="22"/>
          <w:szCs w:val="22"/>
        </w:rPr>
        <w:fldChar w:fldCharType="end"/>
      </w:r>
      <w:r w:rsidR="00E243F1" w:rsidRPr="005C1961">
        <w:rPr>
          <w:sz w:val="22"/>
          <w:szCs w:val="22"/>
        </w:rPr>
        <w:t xml:space="preserve">. In </w:t>
      </w:r>
      <w:r w:rsidR="00E243F1" w:rsidRPr="00614FB7">
        <w:rPr>
          <w:sz w:val="22"/>
          <w:szCs w:val="22"/>
        </w:rPr>
        <w:fldChar w:fldCharType="begin"/>
      </w:r>
      <w:r w:rsidR="00E243F1" w:rsidRPr="00614FB7">
        <w:rPr>
          <w:sz w:val="22"/>
          <w:szCs w:val="22"/>
        </w:rPr>
        <w:instrText xml:space="preserve"> REF _Ref61628068 \h  \* MERGEFORMAT </w:instrText>
      </w:r>
      <w:r w:rsidR="00E243F1" w:rsidRPr="00614FB7">
        <w:rPr>
          <w:sz w:val="22"/>
          <w:szCs w:val="22"/>
        </w:rPr>
      </w:r>
      <w:r w:rsidR="00E243F1" w:rsidRPr="00614FB7">
        <w:rPr>
          <w:sz w:val="22"/>
          <w:szCs w:val="22"/>
        </w:rPr>
        <w:fldChar w:fldCharType="separate"/>
      </w:r>
      <w:r w:rsidR="00E243F1" w:rsidRPr="007A2036">
        <w:rPr>
          <w:iCs/>
          <w:sz w:val="22"/>
          <w:szCs w:val="22"/>
        </w:rPr>
        <w:t xml:space="preserve">Figure </w:t>
      </w:r>
      <w:r w:rsidR="00E243F1" w:rsidRPr="007A2036">
        <w:rPr>
          <w:iCs/>
          <w:noProof/>
          <w:sz w:val="22"/>
          <w:szCs w:val="22"/>
        </w:rPr>
        <w:t>1</w:t>
      </w:r>
      <w:r w:rsidR="00E243F1" w:rsidRPr="00614FB7">
        <w:rPr>
          <w:sz w:val="22"/>
          <w:szCs w:val="22"/>
        </w:rPr>
        <w:fldChar w:fldCharType="end"/>
      </w:r>
      <w:r w:rsidR="00E243F1" w:rsidRPr="005C1961">
        <w:rPr>
          <w:sz w:val="22"/>
          <w:szCs w:val="22"/>
        </w:rPr>
        <w:t xml:space="preserve">, we assume </w:t>
      </w:r>
      <w:r w:rsidR="00E243F1">
        <w:rPr>
          <w:sz w:val="22"/>
          <w:szCs w:val="22"/>
        </w:rPr>
        <w:t>a</w:t>
      </w:r>
      <w:r w:rsidR="00E243F1" w:rsidRPr="005C1961">
        <w:rPr>
          <w:sz w:val="22"/>
          <w:szCs w:val="22"/>
        </w:rPr>
        <w:t xml:space="preserve"> configuration of PDCCH monitoring span for SCS = 960 KHz.</w:t>
      </w:r>
      <w:r w:rsidR="00E243F1">
        <w:rPr>
          <w:sz w:val="22"/>
          <w:szCs w:val="22"/>
        </w:rPr>
        <w:t xml:space="preserve"> For this example</w:t>
      </w:r>
      <w:r w:rsidR="00E243F1" w:rsidRPr="005C1961">
        <w:rPr>
          <w:sz w:val="22"/>
          <w:szCs w:val="22"/>
        </w:rPr>
        <w:t xml:space="preserve">, </w:t>
      </w:r>
      <w:r w:rsidR="00E243F1">
        <w:rPr>
          <w:sz w:val="22"/>
          <w:szCs w:val="22"/>
        </w:rPr>
        <w:t xml:space="preserve">let a span </w:t>
      </w:r>
      <w:r w:rsidR="00E243F1" w:rsidRPr="005C1961">
        <w:rPr>
          <w:sz w:val="22"/>
          <w:szCs w:val="22"/>
        </w:rPr>
        <w:t>(X=</w:t>
      </w:r>
      <w:r w:rsidR="00E243F1">
        <w:rPr>
          <w:sz w:val="22"/>
          <w:szCs w:val="22"/>
        </w:rPr>
        <w:t>8</w:t>
      </w:r>
      <w:r w:rsidR="00E243F1" w:rsidRPr="005C1961">
        <w:rPr>
          <w:sz w:val="22"/>
          <w:szCs w:val="22"/>
        </w:rPr>
        <w:t>, Y=</w:t>
      </w:r>
      <w:r w:rsidR="00E243F1">
        <w:rPr>
          <w:sz w:val="22"/>
          <w:szCs w:val="22"/>
        </w:rPr>
        <w:t>4</w:t>
      </w:r>
      <w:r w:rsidR="00E243F1" w:rsidRPr="005C1961">
        <w:rPr>
          <w:sz w:val="22"/>
          <w:szCs w:val="22"/>
        </w:rPr>
        <w:t xml:space="preserve">) is configured, note the unit for X and Y </w:t>
      </w:r>
      <w:r w:rsidR="00E243F1">
        <w:rPr>
          <w:sz w:val="22"/>
          <w:szCs w:val="22"/>
        </w:rPr>
        <w:t>can be either</w:t>
      </w:r>
      <w:r w:rsidR="00E243F1" w:rsidRPr="005C1961">
        <w:rPr>
          <w:sz w:val="22"/>
          <w:szCs w:val="22"/>
        </w:rPr>
        <w:t xml:space="preserve"> based on </w:t>
      </w:r>
      <w:r w:rsidR="00E243F1">
        <w:rPr>
          <w:sz w:val="22"/>
          <w:szCs w:val="22"/>
        </w:rPr>
        <w:t xml:space="preserve">number of </w:t>
      </w:r>
      <w:r w:rsidR="00E243F1" w:rsidRPr="005C1961">
        <w:rPr>
          <w:sz w:val="22"/>
          <w:szCs w:val="22"/>
        </w:rPr>
        <w:t>slot</w:t>
      </w:r>
      <w:r w:rsidR="00E243F1">
        <w:rPr>
          <w:sz w:val="22"/>
          <w:szCs w:val="22"/>
        </w:rPr>
        <w:t>s or symbols</w:t>
      </w:r>
      <w:r w:rsidR="00FC59B5">
        <w:rPr>
          <w:sz w:val="22"/>
          <w:szCs w:val="22"/>
        </w:rPr>
        <w:t xml:space="preserve"> and the slot group (a span) is aligned with slot boundary</w:t>
      </w:r>
      <w:r w:rsidR="00E243F1" w:rsidRPr="005C1961">
        <w:rPr>
          <w:sz w:val="22"/>
          <w:szCs w:val="22"/>
        </w:rPr>
        <w:t>.</w:t>
      </w:r>
    </w:p>
    <w:p w14:paraId="480FFB00" w14:textId="429ACEB3" w:rsidR="00E243F1" w:rsidRDefault="007A7E4E" w:rsidP="001D1544">
      <w:pPr>
        <w:spacing w:line="276" w:lineRule="auto"/>
        <w:jc w:val="center"/>
        <w:rPr>
          <w:sz w:val="22"/>
          <w:szCs w:val="22"/>
        </w:rPr>
      </w:pPr>
      <w:r>
        <w:object w:dxaOrig="9465" w:dyaOrig="2836" w14:anchorId="4EA1D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120.2pt" o:ole="">
            <v:imagedata r:id="rId11" o:title=""/>
          </v:shape>
          <o:OLEObject Type="Embed" ProgID="Visio.Drawing.15" ShapeID="_x0000_i1025" DrawAspect="Content" ObjectID="_1694636347" r:id="rId12"/>
        </w:object>
      </w:r>
    </w:p>
    <w:p w14:paraId="4197AEA7" w14:textId="65410E5F" w:rsidR="00C872F0" w:rsidRDefault="00C872F0" w:rsidP="00C872F0">
      <w:pPr>
        <w:tabs>
          <w:tab w:val="left" w:pos="7406"/>
        </w:tabs>
        <w:spacing w:line="360" w:lineRule="auto"/>
        <w:jc w:val="center"/>
        <w:rPr>
          <w:bCs/>
          <w:iCs/>
          <w:sz w:val="22"/>
          <w:szCs w:val="22"/>
        </w:rPr>
      </w:pPr>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r w:rsidRPr="004409D8">
        <w:rPr>
          <w:bCs/>
          <w:iCs/>
          <w:sz w:val="22"/>
          <w:szCs w:val="22"/>
        </w:rPr>
        <w:t xml:space="preserve">: </w:t>
      </w:r>
      <w:r w:rsidR="000F427C">
        <w:rPr>
          <w:bCs/>
          <w:iCs/>
          <w:sz w:val="22"/>
          <w:szCs w:val="22"/>
        </w:rPr>
        <w:t>Slot group</w:t>
      </w:r>
      <w:r w:rsidRPr="008F1420">
        <w:rPr>
          <w:bCs/>
          <w:iCs/>
          <w:sz w:val="22"/>
          <w:szCs w:val="22"/>
        </w:rPr>
        <w:t xml:space="preserve"> for NR </w:t>
      </w:r>
      <w:r>
        <w:rPr>
          <w:bCs/>
          <w:iCs/>
          <w:sz w:val="22"/>
          <w:szCs w:val="22"/>
        </w:rPr>
        <w:t xml:space="preserve">SCS = 960 KHz </w:t>
      </w:r>
      <w:r w:rsidR="001D1CD9">
        <w:rPr>
          <w:bCs/>
          <w:iCs/>
          <w:sz w:val="22"/>
          <w:szCs w:val="22"/>
        </w:rPr>
        <w:t xml:space="preserve">and </w:t>
      </w:r>
      <w:r w:rsidR="002078A9">
        <w:rPr>
          <w:bCs/>
          <w:iCs/>
          <w:sz w:val="22"/>
          <w:szCs w:val="22"/>
        </w:rPr>
        <w:t xml:space="preserve">is </w:t>
      </w:r>
      <w:r w:rsidR="001D1CD9">
        <w:rPr>
          <w:bCs/>
          <w:iCs/>
          <w:sz w:val="22"/>
          <w:szCs w:val="22"/>
        </w:rPr>
        <w:t>align</w:t>
      </w:r>
      <w:r w:rsidR="002078A9">
        <w:rPr>
          <w:bCs/>
          <w:iCs/>
          <w:sz w:val="22"/>
          <w:szCs w:val="22"/>
        </w:rPr>
        <w:t>ed</w:t>
      </w:r>
      <w:r w:rsidR="001D1CD9">
        <w:rPr>
          <w:bCs/>
          <w:iCs/>
          <w:sz w:val="22"/>
          <w:szCs w:val="22"/>
        </w:rPr>
        <w:t xml:space="preserve"> with </w:t>
      </w:r>
      <w:r w:rsidR="004A6E0E">
        <w:rPr>
          <w:bCs/>
          <w:iCs/>
          <w:sz w:val="22"/>
          <w:szCs w:val="22"/>
        </w:rPr>
        <w:t>a</w:t>
      </w:r>
      <w:r w:rsidR="001D1CD9">
        <w:rPr>
          <w:bCs/>
          <w:iCs/>
          <w:sz w:val="22"/>
          <w:szCs w:val="22"/>
        </w:rPr>
        <w:t xml:space="preserve"> slot boundary</w:t>
      </w:r>
      <w:r w:rsidRPr="004409D8">
        <w:rPr>
          <w:bCs/>
          <w:iCs/>
          <w:sz w:val="22"/>
          <w:szCs w:val="22"/>
        </w:rPr>
        <w:t>.</w:t>
      </w:r>
    </w:p>
    <w:p w14:paraId="006AE5C7" w14:textId="2DD87CD3" w:rsidR="00E243F1" w:rsidRPr="001D1544" w:rsidRDefault="00FB1196" w:rsidP="001D1544">
      <w:pPr>
        <w:spacing w:after="0" w:line="360" w:lineRule="auto"/>
        <w:rPr>
          <w:b/>
          <w:i/>
          <w:sz w:val="22"/>
          <w:szCs w:val="22"/>
          <w:lang w:eastAsia="zh-CN"/>
        </w:rPr>
      </w:pPr>
      <w:r w:rsidRPr="0091303F">
        <w:rPr>
          <w:b/>
          <w:i/>
          <w:sz w:val="22"/>
          <w:szCs w:val="22"/>
        </w:rPr>
        <w:t xml:space="preserve">Proposal </w:t>
      </w:r>
      <w:r>
        <w:rPr>
          <w:b/>
          <w:i/>
          <w:sz w:val="22"/>
          <w:szCs w:val="22"/>
        </w:rPr>
        <w:t>1</w:t>
      </w:r>
      <w:r w:rsidRPr="0091303F">
        <w:rPr>
          <w:b/>
          <w:i/>
          <w:sz w:val="22"/>
          <w:szCs w:val="22"/>
          <w:lang w:eastAsia="zh-CN"/>
        </w:rPr>
        <w:t xml:space="preserve">. </w:t>
      </w:r>
      <w:r>
        <w:rPr>
          <w:b/>
          <w:i/>
          <w:sz w:val="22"/>
          <w:szCs w:val="22"/>
          <w:lang w:eastAsia="zh-CN"/>
        </w:rPr>
        <w:t xml:space="preserve">Slot group for PDCCH monitoring span can be aligned with slot boundary </w:t>
      </w:r>
      <w:r w:rsidRPr="0091303F">
        <w:rPr>
          <w:b/>
          <w:i/>
          <w:sz w:val="22"/>
          <w:szCs w:val="22"/>
          <w:lang w:eastAsia="zh-CN"/>
        </w:rPr>
        <w:t>for NR from 52.6 to 71 GHz.</w:t>
      </w:r>
    </w:p>
    <w:p w14:paraId="6BCA64D7" w14:textId="653968D7" w:rsidR="00C66B5F" w:rsidRDefault="009D3AB3" w:rsidP="00FB3D48">
      <w:pPr>
        <w:spacing w:line="276" w:lineRule="auto"/>
        <w:rPr>
          <w:sz w:val="22"/>
          <w:szCs w:val="22"/>
        </w:rPr>
      </w:pPr>
      <w:r>
        <w:rPr>
          <w:sz w:val="22"/>
          <w:szCs w:val="22"/>
        </w:rPr>
        <w:lastRenderedPageBreak/>
        <w:t>S</w:t>
      </w:r>
      <w:r w:rsidRPr="00020271">
        <w:rPr>
          <w:sz w:val="22"/>
          <w:szCs w:val="22"/>
        </w:rPr>
        <w:t>ince common CORESET configuration and search space are shared by multiple UEs in a serving cell, so accordingly, network need to take care alignment with all UEs for this configuration like PDCCH control region for RAR/paging</w:t>
      </w:r>
      <w:r>
        <w:rPr>
          <w:sz w:val="22"/>
          <w:szCs w:val="22"/>
        </w:rPr>
        <w:t xml:space="preserve"> </w:t>
      </w:r>
      <w:r w:rsidRPr="00020271">
        <w:rPr>
          <w:sz w:val="22"/>
          <w:szCs w:val="22"/>
        </w:rPr>
        <w:t>system information.</w:t>
      </w:r>
      <w:r>
        <w:rPr>
          <w:sz w:val="22"/>
          <w:szCs w:val="22"/>
        </w:rPr>
        <w:t xml:space="preserve"> </w:t>
      </w:r>
      <w:r w:rsidR="003543FB">
        <w:rPr>
          <w:sz w:val="22"/>
          <w:szCs w:val="22"/>
        </w:rPr>
        <w:t>To support more flexible scheduling</w:t>
      </w:r>
      <w:r w:rsidR="00A20585">
        <w:rPr>
          <w:sz w:val="22"/>
          <w:szCs w:val="22"/>
        </w:rPr>
        <w:t xml:space="preserve"> for single DCI scheduling multi-PDSCH</w:t>
      </w:r>
      <w:r w:rsidR="003543FB">
        <w:rPr>
          <w:sz w:val="22"/>
          <w:szCs w:val="22"/>
        </w:rPr>
        <w:t xml:space="preserve">, </w:t>
      </w:r>
      <w:r w:rsidR="00017A15">
        <w:rPr>
          <w:sz w:val="22"/>
          <w:szCs w:val="22"/>
        </w:rPr>
        <w:t>the start</w:t>
      </w:r>
      <w:r w:rsidR="009C2D98">
        <w:rPr>
          <w:sz w:val="22"/>
          <w:szCs w:val="22"/>
        </w:rPr>
        <w:t>ing location (</w:t>
      </w:r>
      <w:r w:rsidR="00073CB3">
        <w:rPr>
          <w:sz w:val="22"/>
          <w:szCs w:val="22"/>
        </w:rPr>
        <w:t>or</w:t>
      </w:r>
      <w:r w:rsidR="009C2D98">
        <w:rPr>
          <w:sz w:val="22"/>
          <w:szCs w:val="22"/>
        </w:rPr>
        <w:t xml:space="preserve"> slot</w:t>
      </w:r>
      <w:r w:rsidR="00F717DA">
        <w:rPr>
          <w:sz w:val="22"/>
          <w:szCs w:val="22"/>
        </w:rPr>
        <w:t xml:space="preserve"> offset</w:t>
      </w:r>
      <w:r w:rsidR="009C2D98">
        <w:rPr>
          <w:sz w:val="22"/>
          <w:szCs w:val="22"/>
        </w:rPr>
        <w:t xml:space="preserve">) for slot </w:t>
      </w:r>
      <w:r w:rsidR="00017A15">
        <w:rPr>
          <w:sz w:val="22"/>
          <w:szCs w:val="22"/>
        </w:rPr>
        <w:t>group</w:t>
      </w:r>
      <w:r w:rsidR="00140595">
        <w:rPr>
          <w:sz w:val="22"/>
          <w:szCs w:val="22"/>
        </w:rPr>
        <w:t xml:space="preserve"> </w:t>
      </w:r>
      <w:r w:rsidR="00C56761">
        <w:rPr>
          <w:sz w:val="22"/>
          <w:szCs w:val="22"/>
        </w:rPr>
        <w:t xml:space="preserve">in a frame </w:t>
      </w:r>
      <w:r w:rsidR="009C2D98">
        <w:rPr>
          <w:sz w:val="22"/>
          <w:szCs w:val="22"/>
        </w:rPr>
        <w:t>may need to be studied</w:t>
      </w:r>
      <w:r w:rsidR="00845CA7">
        <w:rPr>
          <w:sz w:val="22"/>
          <w:szCs w:val="22"/>
        </w:rPr>
        <w:t>.</w:t>
      </w:r>
      <w:r w:rsidR="00F717DA">
        <w:rPr>
          <w:sz w:val="22"/>
          <w:szCs w:val="22"/>
        </w:rPr>
        <w:t xml:space="preserve"> For example,</w:t>
      </w:r>
      <w:r w:rsidR="00C56761">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frame</m:t>
            </m:r>
            <m:r>
              <w:rPr>
                <w:rFonts w:ascii="Cambria Math" w:hAnsi="Cambria Math"/>
                <w:sz w:val="22"/>
                <w:szCs w:val="22"/>
              </w:rPr>
              <m:t>,μ</m:t>
            </m:r>
          </m:sup>
        </m:sSubSup>
      </m:oMath>
      <w:r w:rsidR="00B2758B">
        <w:rPr>
          <w:sz w:val="22"/>
          <w:szCs w:val="22"/>
        </w:rPr>
        <w:t xml:space="preserve"> is equal to 640</w:t>
      </w:r>
      <w:r w:rsidR="007F3919">
        <w:rPr>
          <w:sz w:val="22"/>
          <w:szCs w:val="22"/>
        </w:rPr>
        <w:t xml:space="preserve"> for SCS = 960 KHz. </w:t>
      </w:r>
      <w:r w:rsidR="00EE6355">
        <w:rPr>
          <w:sz w:val="22"/>
          <w:szCs w:val="22"/>
        </w:rPr>
        <w:t>For this case</w:t>
      </w:r>
      <w:r w:rsidR="007F3919">
        <w:rPr>
          <w:sz w:val="22"/>
          <w:szCs w:val="22"/>
        </w:rPr>
        <w:t xml:space="preserve">, it </w:t>
      </w:r>
      <w:r w:rsidR="00A04CDF">
        <w:rPr>
          <w:sz w:val="22"/>
          <w:szCs w:val="22"/>
        </w:rPr>
        <w:t>can have</w:t>
      </w:r>
      <w:r w:rsidR="007F3919">
        <w:rPr>
          <w:sz w:val="22"/>
          <w:szCs w:val="22"/>
        </w:rPr>
        <w:t xml:space="preserve"> </w:t>
      </w:r>
      <w:r w:rsidR="0018571B">
        <w:rPr>
          <w:sz w:val="22"/>
          <w:szCs w:val="22"/>
        </w:rPr>
        <w:t>8</w:t>
      </w:r>
      <w:r w:rsidR="007F3919">
        <w:rPr>
          <w:sz w:val="22"/>
          <w:szCs w:val="22"/>
        </w:rPr>
        <w:t xml:space="preserve"> (mod 8) </w:t>
      </w:r>
      <w:r w:rsidR="005F27E3">
        <w:rPr>
          <w:sz w:val="22"/>
          <w:szCs w:val="22"/>
        </w:rPr>
        <w:t xml:space="preserve">different </w:t>
      </w:r>
      <w:r w:rsidR="007F3919">
        <w:rPr>
          <w:sz w:val="22"/>
          <w:szCs w:val="22"/>
        </w:rPr>
        <w:t xml:space="preserve">possible </w:t>
      </w:r>
      <w:r w:rsidR="00655DB8">
        <w:rPr>
          <w:sz w:val="22"/>
          <w:szCs w:val="22"/>
        </w:rPr>
        <w:t>(</w:t>
      </w:r>
      <w:r w:rsidR="0037064E">
        <w:rPr>
          <w:sz w:val="22"/>
          <w:szCs w:val="22"/>
        </w:rPr>
        <w:t>slot</w:t>
      </w:r>
      <w:r w:rsidR="00655DB8">
        <w:rPr>
          <w:sz w:val="22"/>
          <w:szCs w:val="22"/>
        </w:rPr>
        <w:t>)</w:t>
      </w:r>
      <w:r w:rsidR="007F3919">
        <w:rPr>
          <w:sz w:val="22"/>
          <w:szCs w:val="22"/>
        </w:rPr>
        <w:t xml:space="preserve"> offset</w:t>
      </w:r>
      <w:r w:rsidR="00D35465">
        <w:rPr>
          <w:sz w:val="22"/>
          <w:szCs w:val="22"/>
        </w:rPr>
        <w:t xml:space="preserve"> for slot group</w:t>
      </w:r>
      <w:r w:rsidR="007F3919">
        <w:rPr>
          <w:sz w:val="22"/>
          <w:szCs w:val="22"/>
        </w:rPr>
        <w:t xml:space="preserve"> in a frame </w:t>
      </w:r>
      <w:r w:rsidR="00541F11">
        <w:rPr>
          <w:sz w:val="22"/>
          <w:szCs w:val="22"/>
        </w:rPr>
        <w:t xml:space="preserve">as </w:t>
      </w:r>
      <w:r w:rsidR="00486B54">
        <w:rPr>
          <w:sz w:val="22"/>
          <w:szCs w:val="22"/>
        </w:rPr>
        <w:t>shown</w:t>
      </w:r>
      <w:r w:rsidR="00541F11">
        <w:rPr>
          <w:sz w:val="22"/>
          <w:szCs w:val="22"/>
        </w:rPr>
        <w:t xml:space="preserve"> in </w:t>
      </w:r>
      <w:r w:rsidR="00541F11" w:rsidRPr="00486B54">
        <w:rPr>
          <w:sz w:val="22"/>
          <w:szCs w:val="22"/>
        </w:rPr>
        <w:fldChar w:fldCharType="begin"/>
      </w:r>
      <w:r w:rsidR="00541F11" w:rsidRPr="00486B54">
        <w:rPr>
          <w:sz w:val="22"/>
          <w:szCs w:val="22"/>
        </w:rPr>
        <w:instrText xml:space="preserve"> REF _Ref83933743 \h </w:instrText>
      </w:r>
      <w:r w:rsidR="00486B54" w:rsidRPr="001D1544">
        <w:rPr>
          <w:sz w:val="22"/>
          <w:szCs w:val="22"/>
        </w:rPr>
        <w:instrText xml:space="preserve"> \* MERGEFORMAT </w:instrText>
      </w:r>
      <w:r w:rsidR="00541F11" w:rsidRPr="00486B54">
        <w:rPr>
          <w:sz w:val="22"/>
          <w:szCs w:val="22"/>
        </w:rPr>
      </w:r>
      <w:r w:rsidR="00541F11" w:rsidRPr="00486B54">
        <w:rPr>
          <w:sz w:val="22"/>
          <w:szCs w:val="22"/>
        </w:rPr>
        <w:fldChar w:fldCharType="separate"/>
      </w:r>
      <w:r w:rsidR="00541F11" w:rsidRPr="001D1544">
        <w:rPr>
          <w:iCs/>
          <w:sz w:val="22"/>
          <w:szCs w:val="22"/>
        </w:rPr>
        <w:t xml:space="preserve">Figure </w:t>
      </w:r>
      <w:r w:rsidR="00541F11" w:rsidRPr="001D1544">
        <w:rPr>
          <w:iCs/>
          <w:noProof/>
          <w:sz w:val="22"/>
          <w:szCs w:val="22"/>
        </w:rPr>
        <w:t>2</w:t>
      </w:r>
      <w:r w:rsidR="00541F11" w:rsidRPr="00486B54">
        <w:rPr>
          <w:sz w:val="22"/>
          <w:szCs w:val="22"/>
        </w:rPr>
        <w:fldChar w:fldCharType="end"/>
      </w:r>
      <w:r w:rsidR="007F3919">
        <w:rPr>
          <w:sz w:val="22"/>
          <w:szCs w:val="22"/>
        </w:rPr>
        <w:t xml:space="preserve">. </w:t>
      </w:r>
    </w:p>
    <w:p w14:paraId="2A17D040" w14:textId="6677F72A" w:rsidR="004860FB" w:rsidRDefault="001270B1" w:rsidP="001D1544">
      <w:pPr>
        <w:spacing w:line="276" w:lineRule="auto"/>
        <w:jc w:val="center"/>
        <w:rPr>
          <w:sz w:val="22"/>
          <w:szCs w:val="22"/>
        </w:rPr>
      </w:pPr>
      <w:r w:rsidRPr="001270B1">
        <w:t xml:space="preserve"> </w:t>
      </w:r>
      <w:r>
        <w:object w:dxaOrig="10861" w:dyaOrig="9061" w14:anchorId="45595131">
          <v:shape id="_x0000_i1026" type="#_x0000_t75" style="width:444.5pt;height:371.25pt" o:ole="">
            <v:imagedata r:id="rId13" o:title=""/>
          </v:shape>
          <o:OLEObject Type="Embed" ProgID="Visio.Drawing.15" ShapeID="_x0000_i1026" DrawAspect="Content" ObjectID="_1694636348" r:id="rId14"/>
        </w:object>
      </w:r>
    </w:p>
    <w:p w14:paraId="3F880300" w14:textId="2351F827" w:rsidR="00C66B5F" w:rsidRPr="00E66DF8" w:rsidRDefault="009B634E" w:rsidP="001D1544">
      <w:pPr>
        <w:tabs>
          <w:tab w:val="left" w:pos="7406"/>
        </w:tabs>
        <w:spacing w:line="360" w:lineRule="auto"/>
        <w:jc w:val="center"/>
        <w:rPr>
          <w:bCs/>
          <w:iCs/>
          <w:sz w:val="22"/>
          <w:szCs w:val="22"/>
        </w:rPr>
      </w:pPr>
      <w:bookmarkStart w:id="0" w:name="_Ref83933743"/>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Pr>
          <w:b/>
          <w:iCs/>
          <w:noProof/>
          <w:sz w:val="22"/>
          <w:szCs w:val="22"/>
        </w:rPr>
        <w:t>2</w:t>
      </w:r>
      <w:r w:rsidRPr="004409D8">
        <w:rPr>
          <w:b/>
          <w:iCs/>
          <w:sz w:val="22"/>
          <w:szCs w:val="22"/>
        </w:rPr>
        <w:fldChar w:fldCharType="end"/>
      </w:r>
      <w:bookmarkEnd w:id="0"/>
      <w:r w:rsidRPr="004409D8">
        <w:rPr>
          <w:bCs/>
          <w:iCs/>
          <w:sz w:val="22"/>
          <w:szCs w:val="22"/>
        </w:rPr>
        <w:t xml:space="preserve">: </w:t>
      </w:r>
      <w:r w:rsidR="000225D6">
        <w:rPr>
          <w:bCs/>
          <w:iCs/>
          <w:sz w:val="22"/>
          <w:szCs w:val="22"/>
        </w:rPr>
        <w:t>Different</w:t>
      </w:r>
      <w:r w:rsidR="00725F26">
        <w:rPr>
          <w:bCs/>
          <w:iCs/>
          <w:sz w:val="22"/>
          <w:szCs w:val="22"/>
        </w:rPr>
        <w:t xml:space="preserve"> staring slot</w:t>
      </w:r>
      <w:r w:rsidR="004860FB">
        <w:rPr>
          <w:bCs/>
          <w:iCs/>
          <w:sz w:val="22"/>
          <w:szCs w:val="22"/>
        </w:rPr>
        <w:t>(s)</w:t>
      </w:r>
      <w:r w:rsidR="00725F26">
        <w:rPr>
          <w:bCs/>
          <w:iCs/>
          <w:sz w:val="22"/>
          <w:szCs w:val="22"/>
        </w:rPr>
        <w:t xml:space="preserve"> for slot group</w:t>
      </w:r>
      <w:r w:rsidRPr="008F1420">
        <w:rPr>
          <w:bCs/>
          <w:iCs/>
          <w:sz w:val="22"/>
          <w:szCs w:val="22"/>
        </w:rPr>
        <w:t xml:space="preserve"> </w:t>
      </w:r>
      <w:r w:rsidR="00213491">
        <w:rPr>
          <w:bCs/>
          <w:iCs/>
          <w:sz w:val="22"/>
          <w:szCs w:val="22"/>
        </w:rPr>
        <w:t>with</w:t>
      </w:r>
      <w:r w:rsidRPr="008F1420">
        <w:rPr>
          <w:bCs/>
          <w:iCs/>
          <w:sz w:val="22"/>
          <w:szCs w:val="22"/>
        </w:rPr>
        <w:t xml:space="preserve"> </w:t>
      </w:r>
      <w:r>
        <w:rPr>
          <w:bCs/>
          <w:iCs/>
          <w:sz w:val="22"/>
          <w:szCs w:val="22"/>
        </w:rPr>
        <w:t xml:space="preserve">SCS = 960 KHz and </w:t>
      </w:r>
      <w:r w:rsidR="000A55C3">
        <w:rPr>
          <w:bCs/>
          <w:iCs/>
          <w:sz w:val="22"/>
          <w:szCs w:val="22"/>
        </w:rPr>
        <w:t xml:space="preserve">the slot group is </w:t>
      </w:r>
      <w:r>
        <w:rPr>
          <w:bCs/>
          <w:iCs/>
          <w:sz w:val="22"/>
          <w:szCs w:val="22"/>
        </w:rPr>
        <w:t>align</w:t>
      </w:r>
      <w:r w:rsidR="00C23B79">
        <w:rPr>
          <w:bCs/>
          <w:iCs/>
          <w:sz w:val="22"/>
          <w:szCs w:val="22"/>
        </w:rPr>
        <w:t>ed</w:t>
      </w:r>
      <w:r>
        <w:rPr>
          <w:bCs/>
          <w:iCs/>
          <w:sz w:val="22"/>
          <w:szCs w:val="22"/>
        </w:rPr>
        <w:t xml:space="preserve"> with </w:t>
      </w:r>
      <w:r w:rsidR="00015B02">
        <w:rPr>
          <w:bCs/>
          <w:iCs/>
          <w:sz w:val="22"/>
          <w:szCs w:val="22"/>
        </w:rPr>
        <w:t>the</w:t>
      </w:r>
      <w:r>
        <w:rPr>
          <w:bCs/>
          <w:iCs/>
          <w:sz w:val="22"/>
          <w:szCs w:val="22"/>
        </w:rPr>
        <w:t xml:space="preserve"> slot boundary</w:t>
      </w:r>
      <w:r w:rsidRPr="004409D8">
        <w:rPr>
          <w:bCs/>
          <w:iCs/>
          <w:sz w:val="22"/>
          <w:szCs w:val="22"/>
        </w:rPr>
        <w:t>.</w:t>
      </w:r>
    </w:p>
    <w:p w14:paraId="6B0E05B5" w14:textId="5EF0AF9E" w:rsidR="00535660" w:rsidRDefault="00535660" w:rsidP="00535660">
      <w:pPr>
        <w:spacing w:after="0" w:line="360" w:lineRule="auto"/>
        <w:rPr>
          <w:b/>
          <w:i/>
          <w:sz w:val="22"/>
          <w:szCs w:val="22"/>
          <w:lang w:eastAsia="zh-CN"/>
        </w:rPr>
      </w:pPr>
      <w:r w:rsidRPr="0091303F">
        <w:rPr>
          <w:b/>
          <w:i/>
          <w:sz w:val="22"/>
          <w:szCs w:val="22"/>
        </w:rPr>
        <w:t xml:space="preserve">Proposal </w:t>
      </w:r>
      <w:r>
        <w:rPr>
          <w:b/>
          <w:i/>
          <w:sz w:val="22"/>
          <w:szCs w:val="22"/>
        </w:rPr>
        <w:t>2</w:t>
      </w:r>
      <w:r w:rsidRPr="0091303F">
        <w:rPr>
          <w:b/>
          <w:i/>
          <w:sz w:val="22"/>
          <w:szCs w:val="22"/>
          <w:lang w:eastAsia="zh-CN"/>
        </w:rPr>
        <w:t xml:space="preserve">. </w:t>
      </w:r>
      <w:r w:rsidR="00023368" w:rsidRPr="00023368">
        <w:rPr>
          <w:b/>
          <w:i/>
          <w:sz w:val="22"/>
          <w:szCs w:val="22"/>
          <w:lang w:eastAsia="zh-CN"/>
        </w:rPr>
        <w:t>To support more flexible scheduling for single DCI scheduling multi-PDSCH</w:t>
      </w:r>
      <w:r w:rsidR="00023368">
        <w:rPr>
          <w:b/>
          <w:i/>
          <w:sz w:val="22"/>
          <w:szCs w:val="22"/>
          <w:lang w:eastAsia="zh-CN"/>
        </w:rPr>
        <w:t>,</w:t>
      </w:r>
      <w:r w:rsidR="00023368" w:rsidRPr="00023368">
        <w:rPr>
          <w:b/>
          <w:i/>
          <w:sz w:val="22"/>
          <w:szCs w:val="22"/>
          <w:lang w:eastAsia="zh-CN"/>
        </w:rPr>
        <w:t xml:space="preserve"> </w:t>
      </w:r>
      <w:r w:rsidR="00023368">
        <w:rPr>
          <w:b/>
          <w:i/>
          <w:sz w:val="22"/>
          <w:szCs w:val="22"/>
          <w:lang w:eastAsia="zh-CN"/>
        </w:rPr>
        <w:t xml:space="preserve">the starting </w:t>
      </w:r>
      <w:r w:rsidR="003272A2">
        <w:rPr>
          <w:b/>
          <w:i/>
          <w:sz w:val="22"/>
          <w:szCs w:val="22"/>
          <w:lang w:eastAsia="zh-CN"/>
        </w:rPr>
        <w:t xml:space="preserve">slot </w:t>
      </w:r>
      <w:r w:rsidR="00023368">
        <w:rPr>
          <w:b/>
          <w:i/>
          <w:sz w:val="22"/>
          <w:szCs w:val="22"/>
          <w:lang w:eastAsia="zh-CN"/>
        </w:rPr>
        <w:t xml:space="preserve">location </w:t>
      </w:r>
      <w:r w:rsidR="003272A2">
        <w:rPr>
          <w:b/>
          <w:i/>
          <w:sz w:val="22"/>
          <w:szCs w:val="22"/>
          <w:lang w:eastAsia="zh-CN"/>
        </w:rPr>
        <w:t xml:space="preserve">in a frame </w:t>
      </w:r>
      <w:r w:rsidR="00023368">
        <w:rPr>
          <w:b/>
          <w:i/>
          <w:sz w:val="22"/>
          <w:szCs w:val="22"/>
          <w:lang w:eastAsia="zh-CN"/>
        </w:rPr>
        <w:t>for s</w:t>
      </w:r>
      <w:r>
        <w:rPr>
          <w:b/>
          <w:i/>
          <w:sz w:val="22"/>
          <w:szCs w:val="22"/>
          <w:lang w:eastAsia="zh-CN"/>
        </w:rPr>
        <w:t xml:space="preserve">lot group can be </w:t>
      </w:r>
      <w:r w:rsidR="001B2BB5">
        <w:rPr>
          <w:b/>
          <w:i/>
          <w:sz w:val="22"/>
          <w:szCs w:val="22"/>
          <w:lang w:eastAsia="zh-CN"/>
        </w:rPr>
        <w:t>studied</w:t>
      </w:r>
      <w:r>
        <w:rPr>
          <w:b/>
          <w:i/>
          <w:sz w:val="22"/>
          <w:szCs w:val="22"/>
          <w:lang w:eastAsia="zh-CN"/>
        </w:rPr>
        <w:t xml:space="preserve"> </w:t>
      </w:r>
      <w:r w:rsidRPr="0091303F">
        <w:rPr>
          <w:b/>
          <w:i/>
          <w:sz w:val="22"/>
          <w:szCs w:val="22"/>
          <w:lang w:eastAsia="zh-CN"/>
        </w:rPr>
        <w:t xml:space="preserve">for NR from 52.6 to 71 GHz. </w:t>
      </w:r>
    </w:p>
    <w:p w14:paraId="64387894" w14:textId="6053F79F" w:rsidR="00BE0194" w:rsidRPr="001D1544" w:rsidRDefault="00DE5DCA" w:rsidP="00075849">
      <w:pPr>
        <w:spacing w:line="276" w:lineRule="auto"/>
        <w:rPr>
          <w:sz w:val="22"/>
          <w:szCs w:val="22"/>
        </w:rPr>
      </w:pPr>
      <w:r w:rsidRPr="001D1544">
        <w:rPr>
          <w:sz w:val="22"/>
          <w:szCs w:val="22"/>
        </w:rPr>
        <w:t>The UE can be configured by the gNB to monitor PDCCH for the maximum number of PDCCH candidates (</w:t>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max,span,</m:t>
            </m:r>
            <m:r>
              <w:rPr>
                <w:rFonts w:ascii="Cambria Math" w:hAnsi="Cambria Math"/>
                <w:sz w:val="22"/>
                <w:szCs w:val="22"/>
              </w:rPr>
              <m:t>μ</m:t>
            </m:r>
          </m:sup>
        </m:sSubSup>
      </m:oMath>
      <w:r w:rsidRPr="001D1544">
        <w:rPr>
          <w:sz w:val="22"/>
          <w:szCs w:val="22"/>
        </w:rPr>
        <w:t>) and nonoverlapping CCEs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PDCCH</m:t>
            </m:r>
          </m:sub>
          <m:sup>
            <m:r>
              <m:rPr>
                <m:sty m:val="p"/>
              </m:rPr>
              <w:rPr>
                <w:rFonts w:ascii="Cambria Math" w:hAnsi="Cambria Math"/>
                <w:sz w:val="22"/>
                <w:szCs w:val="22"/>
              </w:rPr>
              <m:t>max,span,</m:t>
            </m:r>
            <m:r>
              <w:rPr>
                <w:rFonts w:ascii="Cambria Math" w:hAnsi="Cambria Math"/>
                <w:sz w:val="22"/>
                <w:szCs w:val="22"/>
              </w:rPr>
              <m:t>μ</m:t>
            </m:r>
          </m:sup>
        </m:sSubSup>
      </m:oMath>
      <w:r w:rsidRPr="001D1544">
        <w:rPr>
          <w:sz w:val="22"/>
          <w:szCs w:val="22"/>
        </w:rPr>
        <w:t xml:space="preserve">) defined per span like in Rel-16. In each PDCCH monitoring span, the number of </w:t>
      </w:r>
      <w:r w:rsidR="008E150C" w:rsidRPr="001D1544">
        <w:rPr>
          <w:sz w:val="22"/>
          <w:szCs w:val="22"/>
        </w:rPr>
        <w:t>PDCCH candidates and nonoverlapping CCE</w:t>
      </w:r>
      <w:r w:rsidR="008842A2" w:rsidRPr="001D1544">
        <w:rPr>
          <w:sz w:val="22"/>
          <w:szCs w:val="22"/>
        </w:rPr>
        <w:t xml:space="preserve"> cannot exceed the UE </w:t>
      </w:r>
      <w:r w:rsidR="00CC7321" w:rsidRPr="001D2AA2">
        <w:rPr>
          <w:sz w:val="22"/>
          <w:szCs w:val="22"/>
        </w:rPr>
        <w:t>capability</w:t>
      </w:r>
      <w:r w:rsidR="008E150C" w:rsidRPr="001D1544">
        <w:rPr>
          <w:sz w:val="22"/>
          <w:szCs w:val="22"/>
        </w:rPr>
        <w:t xml:space="preserve">. </w:t>
      </w:r>
      <w:r w:rsidR="0018439F" w:rsidRPr="001D1544">
        <w:rPr>
          <w:sz w:val="22"/>
          <w:szCs w:val="22"/>
        </w:rPr>
        <w:t>Therefore,</w:t>
      </w:r>
      <w:r w:rsidR="00A14D32" w:rsidRPr="001D1544">
        <w:rPr>
          <w:sz w:val="22"/>
          <w:szCs w:val="22"/>
        </w:rPr>
        <w:t xml:space="preserve"> </w:t>
      </w:r>
      <w:r w:rsidR="0018439F" w:rsidRPr="001D1544">
        <w:rPr>
          <w:sz w:val="22"/>
          <w:szCs w:val="22"/>
        </w:rPr>
        <w:t xml:space="preserve">UE behavior can be </w:t>
      </w:r>
      <w:r w:rsidR="00D02173" w:rsidRPr="001D1544">
        <w:rPr>
          <w:sz w:val="22"/>
          <w:szCs w:val="22"/>
        </w:rPr>
        <w:t>like</w:t>
      </w:r>
      <w:r w:rsidR="0018439F" w:rsidRPr="001D1544">
        <w:rPr>
          <w:sz w:val="22"/>
          <w:szCs w:val="22"/>
        </w:rPr>
        <w:t xml:space="preserve"> legacy NR </w:t>
      </w:r>
      <w:r w:rsidR="005F760F" w:rsidRPr="001D1544">
        <w:rPr>
          <w:sz w:val="22"/>
          <w:szCs w:val="22"/>
        </w:rPr>
        <w:t>specification</w:t>
      </w:r>
      <w:r w:rsidR="0018439F" w:rsidRPr="001D1544">
        <w:rPr>
          <w:sz w:val="22"/>
          <w:szCs w:val="22"/>
        </w:rPr>
        <w:t xml:space="preserve"> when there is </w:t>
      </w:r>
      <w:r w:rsidR="00D27FBA" w:rsidRPr="001D1544">
        <w:rPr>
          <w:sz w:val="22"/>
          <w:szCs w:val="22"/>
        </w:rPr>
        <w:t>an</w:t>
      </w:r>
      <w:r w:rsidR="0018439F" w:rsidRPr="001D1544">
        <w:rPr>
          <w:sz w:val="22"/>
          <w:szCs w:val="22"/>
        </w:rPr>
        <w:t xml:space="preserve"> overbooking. </w:t>
      </w:r>
      <w:r w:rsidR="00D3311D" w:rsidRPr="001D1544">
        <w:rPr>
          <w:sz w:val="22"/>
          <w:szCs w:val="22"/>
        </w:rPr>
        <w:t xml:space="preserve">For example, </w:t>
      </w:r>
      <w:r w:rsidR="007C10E8" w:rsidRPr="001D1544">
        <w:rPr>
          <w:sz w:val="22"/>
          <w:szCs w:val="22"/>
        </w:rPr>
        <w:t xml:space="preserve">the UE and gNB can map PDCCH candidates in each </w:t>
      </w:r>
      <w:r w:rsidR="00486201" w:rsidRPr="001D1544">
        <w:rPr>
          <w:sz w:val="22"/>
          <w:szCs w:val="22"/>
        </w:rPr>
        <w:t xml:space="preserve">PDCCH monitoring </w:t>
      </w:r>
      <w:r w:rsidR="007C10E8" w:rsidRPr="001D1544">
        <w:rPr>
          <w:sz w:val="22"/>
          <w:szCs w:val="22"/>
        </w:rPr>
        <w:t xml:space="preserve">span </w:t>
      </w:r>
      <w:r w:rsidR="00127E0D" w:rsidRPr="001D1544">
        <w:rPr>
          <w:sz w:val="22"/>
          <w:szCs w:val="22"/>
        </w:rPr>
        <w:t xml:space="preserve">as </w:t>
      </w:r>
      <w:r w:rsidR="00ED784A" w:rsidRPr="001D1544">
        <w:rPr>
          <w:sz w:val="22"/>
          <w:szCs w:val="22"/>
        </w:rPr>
        <w:t xml:space="preserve">the following </w:t>
      </w:r>
      <w:r w:rsidR="007C10E8" w:rsidRPr="001D1544">
        <w:rPr>
          <w:sz w:val="22"/>
          <w:szCs w:val="22"/>
        </w:rPr>
        <w:t>mapping rules</w:t>
      </w:r>
      <w:r w:rsidR="00ED784A" w:rsidRPr="001D1544">
        <w:rPr>
          <w:sz w:val="22"/>
          <w:szCs w:val="22"/>
        </w:rPr>
        <w:t xml:space="preserve"> in legacy NR specification:</w:t>
      </w:r>
      <w:r w:rsidR="007C10E8" w:rsidRPr="001D1544">
        <w:rPr>
          <w:sz w:val="22"/>
          <w:szCs w:val="22"/>
        </w:rPr>
        <w:t xml:space="preserve"> </w:t>
      </w:r>
      <w:r w:rsidR="000F2A57" w:rsidRPr="001D1544">
        <w:rPr>
          <w:sz w:val="22"/>
          <w:szCs w:val="22"/>
        </w:rPr>
        <w:t xml:space="preserve">(1) </w:t>
      </w:r>
      <w:r w:rsidR="007C10E8" w:rsidRPr="001D1544">
        <w:rPr>
          <w:sz w:val="22"/>
          <w:szCs w:val="22"/>
        </w:rPr>
        <w:t>CSS sets</w:t>
      </w:r>
      <w:r w:rsidR="00486201" w:rsidRPr="001D1544">
        <w:rPr>
          <w:sz w:val="22"/>
          <w:szCs w:val="22"/>
        </w:rPr>
        <w:t xml:space="preserve"> </w:t>
      </w:r>
      <w:r w:rsidR="007C10E8" w:rsidRPr="001D1544">
        <w:rPr>
          <w:sz w:val="22"/>
          <w:szCs w:val="22"/>
        </w:rPr>
        <w:t>are mapped before USS sets</w:t>
      </w:r>
      <w:r w:rsidR="000F2A57" w:rsidRPr="001D1544">
        <w:rPr>
          <w:sz w:val="22"/>
          <w:szCs w:val="22"/>
        </w:rPr>
        <w:t>; (2)</w:t>
      </w:r>
      <w:r w:rsidR="00486201" w:rsidRPr="001D1544">
        <w:rPr>
          <w:sz w:val="22"/>
          <w:szCs w:val="22"/>
        </w:rPr>
        <w:t xml:space="preserve"> </w:t>
      </w:r>
      <w:r w:rsidR="0003579E" w:rsidRPr="001D1544">
        <w:rPr>
          <w:sz w:val="22"/>
          <w:szCs w:val="22"/>
        </w:rPr>
        <w:t>USS sets are mapped in ascending order of the SS set indices, and if the number of PDCCH candidates/CCEs exceeds either of the UE processing limits</w:t>
      </w:r>
      <w:r w:rsidR="00486201" w:rsidRPr="001D1544">
        <w:rPr>
          <w:sz w:val="22"/>
          <w:szCs w:val="22"/>
        </w:rPr>
        <w:t>, etc.</w:t>
      </w:r>
    </w:p>
    <w:p w14:paraId="4378C48B" w14:textId="66053E93" w:rsidR="00FB7B29" w:rsidRDefault="00147CB8" w:rsidP="00C54926">
      <w:pPr>
        <w:rPr>
          <w:b/>
          <w:i/>
        </w:rPr>
      </w:pPr>
      <w:r w:rsidRPr="0091303F">
        <w:rPr>
          <w:b/>
          <w:i/>
          <w:sz w:val="22"/>
          <w:szCs w:val="22"/>
        </w:rPr>
        <w:t xml:space="preserve">Proposal </w:t>
      </w:r>
      <w:r>
        <w:rPr>
          <w:b/>
          <w:i/>
          <w:sz w:val="22"/>
          <w:szCs w:val="22"/>
        </w:rPr>
        <w:t>3</w:t>
      </w:r>
      <w:r w:rsidRPr="0091303F">
        <w:rPr>
          <w:b/>
          <w:i/>
          <w:sz w:val="22"/>
          <w:szCs w:val="22"/>
          <w:lang w:eastAsia="zh-CN"/>
        </w:rPr>
        <w:t xml:space="preserve">. </w:t>
      </w:r>
      <w:r w:rsidR="00C367E1" w:rsidRPr="00C367E1">
        <w:rPr>
          <w:b/>
          <w:i/>
          <w:sz w:val="22"/>
          <w:szCs w:val="22"/>
          <w:lang w:eastAsia="zh-CN"/>
        </w:rPr>
        <w:t xml:space="preserve">UE </w:t>
      </w:r>
      <w:r w:rsidR="00CE3313" w:rsidRPr="00CE3313">
        <w:rPr>
          <w:b/>
          <w:i/>
          <w:sz w:val="22"/>
          <w:szCs w:val="22"/>
          <w:lang w:eastAsia="zh-CN"/>
        </w:rPr>
        <w:t xml:space="preserve">behavior </w:t>
      </w:r>
      <w:r w:rsidR="00C367E1" w:rsidRPr="00C367E1">
        <w:rPr>
          <w:b/>
          <w:i/>
          <w:sz w:val="22"/>
          <w:szCs w:val="22"/>
          <w:lang w:eastAsia="zh-CN"/>
        </w:rPr>
        <w:t xml:space="preserve">can be </w:t>
      </w:r>
      <w:r w:rsidR="002A0356" w:rsidRPr="00C367E1">
        <w:rPr>
          <w:b/>
          <w:i/>
          <w:sz w:val="22"/>
          <w:szCs w:val="22"/>
          <w:lang w:eastAsia="zh-CN"/>
        </w:rPr>
        <w:t>like</w:t>
      </w:r>
      <w:r w:rsidR="00C367E1" w:rsidRPr="00C367E1">
        <w:rPr>
          <w:b/>
          <w:i/>
          <w:sz w:val="22"/>
          <w:szCs w:val="22"/>
          <w:lang w:eastAsia="zh-CN"/>
        </w:rPr>
        <w:t xml:space="preserve"> legacy NR specification when there is an overbooking</w:t>
      </w:r>
      <w:r w:rsidR="00B76F0D">
        <w:rPr>
          <w:b/>
          <w:i/>
          <w:sz w:val="22"/>
          <w:szCs w:val="22"/>
          <w:lang w:eastAsia="zh-CN"/>
        </w:rPr>
        <w:t xml:space="preserve"> for single DCI scheduling multi-PDSCHs</w:t>
      </w:r>
      <w:r w:rsidRPr="0091303F">
        <w:rPr>
          <w:b/>
          <w:i/>
          <w:sz w:val="22"/>
          <w:szCs w:val="22"/>
          <w:lang w:eastAsia="zh-CN"/>
        </w:rPr>
        <w:t xml:space="preserve">. </w:t>
      </w:r>
    </w:p>
    <w:p w14:paraId="5C10EE21" w14:textId="136EB147" w:rsidR="00065F7D" w:rsidRDefault="005D20F1" w:rsidP="000D6FAC">
      <w:pPr>
        <w:pStyle w:val="Heading1"/>
        <w:spacing w:before="0" w:after="120"/>
      </w:pPr>
      <w:r w:rsidRPr="000D37D3">
        <w:lastRenderedPageBreak/>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2A6E474C" w14:textId="11A0803B" w:rsidR="00812351" w:rsidRDefault="00812351" w:rsidP="00812351">
      <w:pPr>
        <w:spacing w:after="0" w:line="360" w:lineRule="auto"/>
        <w:rPr>
          <w:b/>
          <w:i/>
          <w:sz w:val="22"/>
          <w:szCs w:val="22"/>
          <w:lang w:eastAsia="zh-CN"/>
        </w:rPr>
      </w:pPr>
      <w:r w:rsidRPr="0091303F">
        <w:rPr>
          <w:b/>
          <w:i/>
          <w:sz w:val="22"/>
          <w:szCs w:val="22"/>
        </w:rPr>
        <w:t xml:space="preserve">Proposal </w:t>
      </w:r>
      <w:r>
        <w:rPr>
          <w:b/>
          <w:i/>
          <w:sz w:val="22"/>
          <w:szCs w:val="22"/>
        </w:rPr>
        <w:t>1</w:t>
      </w:r>
      <w:r w:rsidRPr="0091303F">
        <w:rPr>
          <w:b/>
          <w:i/>
          <w:sz w:val="22"/>
          <w:szCs w:val="22"/>
          <w:lang w:eastAsia="zh-CN"/>
        </w:rPr>
        <w:t xml:space="preserve">. </w:t>
      </w:r>
      <w:r>
        <w:rPr>
          <w:b/>
          <w:i/>
          <w:sz w:val="22"/>
          <w:szCs w:val="22"/>
          <w:lang w:eastAsia="zh-CN"/>
        </w:rPr>
        <w:t xml:space="preserve">Slot group for PDCCH monitoring span can be aligned with slot boundary </w:t>
      </w:r>
      <w:r w:rsidRPr="0091303F">
        <w:rPr>
          <w:b/>
          <w:i/>
          <w:sz w:val="22"/>
          <w:szCs w:val="22"/>
          <w:lang w:eastAsia="zh-CN"/>
        </w:rPr>
        <w:t>for NR from 52.6 to 71 GHz.</w:t>
      </w:r>
    </w:p>
    <w:p w14:paraId="0ECB2711" w14:textId="29E02984" w:rsidR="00215228" w:rsidRPr="00E85748" w:rsidRDefault="008C387F" w:rsidP="007A096F">
      <w:pPr>
        <w:spacing w:after="0" w:line="360" w:lineRule="auto"/>
        <w:rPr>
          <w:b/>
          <w:i/>
          <w:sz w:val="22"/>
          <w:szCs w:val="22"/>
          <w:lang w:eastAsia="zh-CN"/>
        </w:rPr>
      </w:pPr>
      <w:r w:rsidRPr="0091303F">
        <w:rPr>
          <w:b/>
          <w:i/>
          <w:sz w:val="22"/>
          <w:szCs w:val="22"/>
        </w:rPr>
        <w:t xml:space="preserve">Proposal </w:t>
      </w:r>
      <w:r>
        <w:rPr>
          <w:b/>
          <w:i/>
          <w:sz w:val="22"/>
          <w:szCs w:val="22"/>
        </w:rPr>
        <w:t>2</w:t>
      </w:r>
      <w:r w:rsidRPr="0091303F">
        <w:rPr>
          <w:b/>
          <w:i/>
          <w:sz w:val="22"/>
          <w:szCs w:val="22"/>
          <w:lang w:eastAsia="zh-CN"/>
        </w:rPr>
        <w:t xml:space="preserve">. </w:t>
      </w:r>
      <w:r w:rsidR="0067522D" w:rsidRPr="00023368">
        <w:rPr>
          <w:b/>
          <w:i/>
          <w:sz w:val="22"/>
          <w:szCs w:val="22"/>
          <w:lang w:eastAsia="zh-CN"/>
        </w:rPr>
        <w:t>To support more flexible scheduling for single DCI scheduling multi-PDSCH</w:t>
      </w:r>
      <w:r w:rsidR="0067522D">
        <w:rPr>
          <w:b/>
          <w:i/>
          <w:sz w:val="22"/>
          <w:szCs w:val="22"/>
          <w:lang w:eastAsia="zh-CN"/>
        </w:rPr>
        <w:t>,</w:t>
      </w:r>
      <w:r w:rsidR="0067522D" w:rsidRPr="00023368">
        <w:rPr>
          <w:b/>
          <w:i/>
          <w:sz w:val="22"/>
          <w:szCs w:val="22"/>
          <w:lang w:eastAsia="zh-CN"/>
        </w:rPr>
        <w:t xml:space="preserve"> </w:t>
      </w:r>
      <w:r w:rsidR="0067522D">
        <w:rPr>
          <w:b/>
          <w:i/>
          <w:sz w:val="22"/>
          <w:szCs w:val="22"/>
          <w:lang w:eastAsia="zh-CN"/>
        </w:rPr>
        <w:t xml:space="preserve">the starting slot location </w:t>
      </w:r>
      <w:r w:rsidR="0043443A">
        <w:rPr>
          <w:b/>
          <w:i/>
          <w:sz w:val="22"/>
          <w:szCs w:val="22"/>
          <w:lang w:eastAsia="zh-CN"/>
        </w:rPr>
        <w:t xml:space="preserve">for slot group </w:t>
      </w:r>
      <w:r w:rsidR="0067522D">
        <w:rPr>
          <w:b/>
          <w:i/>
          <w:sz w:val="22"/>
          <w:szCs w:val="22"/>
          <w:lang w:eastAsia="zh-CN"/>
        </w:rPr>
        <w:t xml:space="preserve">in a frame can be studied </w:t>
      </w:r>
      <w:r w:rsidR="0067522D" w:rsidRPr="0091303F">
        <w:rPr>
          <w:b/>
          <w:i/>
          <w:sz w:val="22"/>
          <w:szCs w:val="22"/>
          <w:lang w:eastAsia="zh-CN"/>
        </w:rPr>
        <w:t>for NR from 52.6 to 71 GHz</w:t>
      </w:r>
      <w:r w:rsidRPr="0091303F">
        <w:rPr>
          <w:b/>
          <w:i/>
          <w:sz w:val="22"/>
          <w:szCs w:val="22"/>
          <w:lang w:eastAsia="zh-CN"/>
        </w:rPr>
        <w:t xml:space="preserve">. </w:t>
      </w:r>
    </w:p>
    <w:p w14:paraId="7D3B1B62" w14:textId="63E26F74" w:rsidR="00A65582" w:rsidRPr="008768C5" w:rsidRDefault="00A65582" w:rsidP="00A65582">
      <w:pPr>
        <w:spacing w:after="0" w:line="360" w:lineRule="auto"/>
        <w:rPr>
          <w:b/>
          <w:i/>
          <w:sz w:val="22"/>
          <w:szCs w:val="22"/>
          <w:lang w:eastAsia="zh-CN"/>
        </w:rPr>
      </w:pPr>
      <w:r w:rsidRPr="0091303F">
        <w:rPr>
          <w:b/>
          <w:i/>
          <w:sz w:val="22"/>
          <w:szCs w:val="22"/>
        </w:rPr>
        <w:t xml:space="preserve">Proposal </w:t>
      </w:r>
      <w:r>
        <w:rPr>
          <w:b/>
          <w:i/>
          <w:sz w:val="22"/>
          <w:szCs w:val="22"/>
        </w:rPr>
        <w:t>3</w:t>
      </w:r>
      <w:r w:rsidRPr="0091303F">
        <w:rPr>
          <w:b/>
          <w:i/>
          <w:sz w:val="22"/>
          <w:szCs w:val="22"/>
          <w:lang w:eastAsia="zh-CN"/>
        </w:rPr>
        <w:t xml:space="preserve">. </w:t>
      </w:r>
      <w:r w:rsidRPr="00C367E1">
        <w:rPr>
          <w:b/>
          <w:i/>
          <w:sz w:val="22"/>
          <w:szCs w:val="22"/>
          <w:lang w:eastAsia="zh-CN"/>
        </w:rPr>
        <w:t xml:space="preserve">UE </w:t>
      </w:r>
      <w:r w:rsidRPr="00CE3313">
        <w:rPr>
          <w:b/>
          <w:i/>
          <w:sz w:val="22"/>
          <w:szCs w:val="22"/>
          <w:lang w:eastAsia="zh-CN"/>
        </w:rPr>
        <w:t xml:space="preserve">behavior </w:t>
      </w:r>
      <w:r w:rsidRPr="00C367E1">
        <w:rPr>
          <w:b/>
          <w:i/>
          <w:sz w:val="22"/>
          <w:szCs w:val="22"/>
          <w:lang w:eastAsia="zh-CN"/>
        </w:rPr>
        <w:t xml:space="preserve">can be </w:t>
      </w:r>
      <w:r w:rsidR="002A0356" w:rsidRPr="00C367E1">
        <w:rPr>
          <w:b/>
          <w:i/>
          <w:sz w:val="22"/>
          <w:szCs w:val="22"/>
          <w:lang w:eastAsia="zh-CN"/>
        </w:rPr>
        <w:t>like</w:t>
      </w:r>
      <w:r w:rsidRPr="00C367E1">
        <w:rPr>
          <w:b/>
          <w:i/>
          <w:sz w:val="22"/>
          <w:szCs w:val="22"/>
          <w:lang w:eastAsia="zh-CN"/>
        </w:rPr>
        <w:t xml:space="preserve"> legacy NR specification when there is an overbooking</w:t>
      </w:r>
      <w:r>
        <w:rPr>
          <w:b/>
          <w:i/>
          <w:sz w:val="22"/>
          <w:szCs w:val="22"/>
          <w:lang w:eastAsia="zh-CN"/>
        </w:rPr>
        <w:t xml:space="preserve"> for single DCI scheduling multi-PDSCHs</w:t>
      </w:r>
      <w:r w:rsidRPr="0091303F">
        <w:rPr>
          <w:b/>
          <w:i/>
          <w:sz w:val="22"/>
          <w:szCs w:val="22"/>
          <w:lang w:eastAsia="zh-CN"/>
        </w:rPr>
        <w:t xml:space="preserve">. </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0CE5CE84" w14:textId="25BAD4E5" w:rsidR="003F1842" w:rsidRPr="003F1842" w:rsidRDefault="003F1842" w:rsidP="003F1842">
      <w:pPr>
        <w:pStyle w:val="iReference"/>
        <w:numPr>
          <w:ilvl w:val="0"/>
          <w:numId w:val="5"/>
        </w:numPr>
        <w:spacing w:after="120"/>
        <w:rPr>
          <w:rFonts w:ascii="Times New Roman" w:eastAsia="PMingLiU" w:hAnsi="Times New Roman" w:cs="Times New Roman"/>
          <w:color w:val="000000" w:themeColor="text1"/>
          <w:sz w:val="22"/>
        </w:rPr>
      </w:pPr>
      <w:bookmarkStart w:id="1" w:name="_Ref79058645"/>
      <w:bookmarkStart w:id="2" w:name="_Ref53644681"/>
      <w:bookmarkStart w:id="3" w:name="_Ref61518755"/>
      <w:bookmarkStart w:id="4" w:name="_Ref40398575"/>
      <w:bookmarkStart w:id="5" w:name="_Ref79058682"/>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August</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16</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27</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bookmarkEnd w:id="1"/>
      <w:bookmarkEnd w:id="2"/>
      <w:bookmarkEnd w:id="3"/>
      <w:bookmarkEnd w:id="4"/>
    </w:p>
    <w:p w14:paraId="43C5147A" w14:textId="3BF3A3F5" w:rsidR="00092AF1" w:rsidRPr="003E25AF" w:rsidRDefault="008E6865" w:rsidP="003E25AF">
      <w:pPr>
        <w:pStyle w:val="ListParagraph"/>
        <w:numPr>
          <w:ilvl w:val="0"/>
          <w:numId w:val="5"/>
        </w:numPr>
        <w:rPr>
          <w:rFonts w:eastAsia="PMingLiU" w:cs="Times New Roman"/>
          <w:color w:val="000000" w:themeColor="text1"/>
          <w:sz w:val="22"/>
          <w:lang w:eastAsia="en-US"/>
        </w:rPr>
      </w:pPr>
      <w:r w:rsidRPr="00734421">
        <w:rPr>
          <w:rFonts w:eastAsia="PMingLiU" w:cs="Times New Roman"/>
          <w:color w:val="000000" w:themeColor="text1"/>
          <w:sz w:val="22"/>
        </w:rPr>
        <w:t>Chairman Notes, RAN1 #10</w:t>
      </w:r>
      <w:r>
        <w:rPr>
          <w:rFonts w:eastAsia="PMingLiU" w:cs="Times New Roman"/>
          <w:color w:val="000000" w:themeColor="text1"/>
          <w:sz w:val="22"/>
        </w:rPr>
        <w:t>4bis</w:t>
      </w:r>
      <w:r w:rsidRPr="00734421">
        <w:rPr>
          <w:rFonts w:eastAsia="PMingLiU" w:cs="Times New Roman"/>
          <w:color w:val="000000" w:themeColor="text1"/>
          <w:sz w:val="22"/>
        </w:rPr>
        <w:t xml:space="preserve">-e, </w:t>
      </w:r>
      <w:r>
        <w:rPr>
          <w:rFonts w:eastAsia="PMingLiU" w:cs="Times New Roman"/>
          <w:color w:val="000000" w:themeColor="text1"/>
          <w:sz w:val="22"/>
        </w:rPr>
        <w:t>April</w:t>
      </w:r>
      <w:r w:rsidRPr="003B4B9A">
        <w:rPr>
          <w:rFonts w:eastAsia="PMingLiU" w:cs="Times New Roman"/>
          <w:color w:val="000000" w:themeColor="text1"/>
          <w:sz w:val="22"/>
        </w:rPr>
        <w:t xml:space="preserve"> </w:t>
      </w:r>
      <w:r>
        <w:rPr>
          <w:rFonts w:eastAsia="PMingLiU" w:cs="Times New Roman"/>
          <w:color w:val="000000" w:themeColor="text1"/>
          <w:sz w:val="22"/>
        </w:rPr>
        <w:t>12</w:t>
      </w:r>
      <w:r w:rsidRPr="00E44B3F">
        <w:rPr>
          <w:rFonts w:eastAsia="PMingLiU" w:cs="Times New Roman"/>
          <w:color w:val="000000" w:themeColor="text1"/>
          <w:sz w:val="22"/>
          <w:vertAlign w:val="superscript"/>
        </w:rPr>
        <w:t>th</w:t>
      </w:r>
      <w:r w:rsidRPr="003B4B9A">
        <w:rPr>
          <w:rFonts w:eastAsia="PMingLiU" w:cs="Times New Roman"/>
          <w:color w:val="000000" w:themeColor="text1"/>
          <w:sz w:val="22"/>
        </w:rPr>
        <w:t xml:space="preserve"> –</w:t>
      </w:r>
      <w:r w:rsidR="0018229C">
        <w:rPr>
          <w:rFonts w:eastAsia="PMingLiU" w:cs="Times New Roman"/>
          <w:color w:val="000000" w:themeColor="text1"/>
          <w:sz w:val="22"/>
        </w:rPr>
        <w:t xml:space="preserve"> </w:t>
      </w:r>
      <w:r>
        <w:rPr>
          <w:rFonts w:eastAsia="PMingLiU" w:cs="Times New Roman"/>
          <w:color w:val="000000" w:themeColor="text1"/>
          <w:sz w:val="22"/>
        </w:rPr>
        <w:t>20</w:t>
      </w:r>
      <w:r w:rsidRPr="00E44B3F">
        <w:rPr>
          <w:rFonts w:eastAsia="PMingLiU" w:cs="Times New Roman"/>
          <w:color w:val="000000" w:themeColor="text1"/>
          <w:sz w:val="22"/>
          <w:vertAlign w:val="superscript"/>
        </w:rPr>
        <w:t>th</w:t>
      </w:r>
      <w:r w:rsidRPr="003B4B9A">
        <w:rPr>
          <w:rFonts w:eastAsia="PMingLiU" w:cs="Times New Roman"/>
          <w:color w:val="000000" w:themeColor="text1"/>
          <w:sz w:val="22"/>
        </w:rPr>
        <w:t>, 202</w:t>
      </w:r>
      <w:r>
        <w:rPr>
          <w:rFonts w:eastAsia="PMingLiU" w:cs="Times New Roman"/>
          <w:color w:val="000000" w:themeColor="text1"/>
          <w:sz w:val="22"/>
        </w:rPr>
        <w:t>1</w:t>
      </w:r>
      <w:bookmarkEnd w:id="5"/>
      <w:r w:rsidR="00801684">
        <w:rPr>
          <w:rFonts w:eastAsia="PMingLiU" w:cs="Times New Roman"/>
          <w:color w:val="000000" w:themeColor="text1"/>
          <w:sz w:val="22"/>
          <w:lang w:eastAsia="en-US"/>
        </w:rPr>
        <w:t>.</w:t>
      </w:r>
    </w:p>
    <w:sectPr w:rsidR="00092AF1" w:rsidRPr="003E25AF">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C4F9" w14:textId="77777777" w:rsidR="00A81A8F" w:rsidRDefault="00A81A8F">
      <w:r>
        <w:separator/>
      </w:r>
    </w:p>
  </w:endnote>
  <w:endnote w:type="continuationSeparator" w:id="0">
    <w:p w14:paraId="6DC6A3C2" w14:textId="77777777" w:rsidR="00A81A8F" w:rsidRDefault="00A8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F51A" w14:textId="77777777" w:rsidR="00A81A8F" w:rsidRDefault="00A81A8F">
      <w:r>
        <w:separator/>
      </w:r>
    </w:p>
  </w:footnote>
  <w:footnote w:type="continuationSeparator" w:id="0">
    <w:p w14:paraId="1FF540D8" w14:textId="77777777" w:rsidR="00A81A8F" w:rsidRDefault="00A81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8"/>
  </w:num>
  <w:num w:numId="4">
    <w:abstractNumId w:val="6"/>
  </w:num>
  <w:num w:numId="5">
    <w:abstractNumId w:val="0"/>
  </w:num>
  <w:num w:numId="6">
    <w:abstractNumId w:val="13"/>
  </w:num>
  <w:num w:numId="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2"/>
  </w:num>
  <w:num w:numId="10">
    <w:abstractNumId w:val="20"/>
  </w:num>
  <w:num w:numId="11">
    <w:abstractNumId w:val="15"/>
  </w:num>
  <w:num w:numId="12">
    <w:abstractNumId w:val="7"/>
  </w:num>
  <w:num w:numId="13">
    <w:abstractNumId w:val="27"/>
  </w:num>
  <w:num w:numId="14">
    <w:abstractNumId w:val="34"/>
  </w:num>
  <w:num w:numId="15">
    <w:abstractNumId w:val="12"/>
  </w:num>
  <w:num w:numId="16">
    <w:abstractNumId w:val="31"/>
  </w:num>
  <w:num w:numId="17">
    <w:abstractNumId w:val="24"/>
  </w:num>
  <w:num w:numId="18">
    <w:abstractNumId w:val="13"/>
  </w:num>
  <w:num w:numId="19">
    <w:abstractNumId w:val="29"/>
  </w:num>
  <w:num w:numId="20">
    <w:abstractNumId w:val="19"/>
  </w:num>
  <w:num w:numId="21">
    <w:abstractNumId w:val="11"/>
  </w:num>
  <w:num w:numId="22">
    <w:abstractNumId w:val="33"/>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6"/>
  </w:num>
  <w:num w:numId="28">
    <w:abstractNumId w:val="13"/>
  </w:num>
  <w:num w:numId="29">
    <w:abstractNumId w:val="25"/>
  </w:num>
  <w:num w:numId="30">
    <w:abstractNumId w:val="22"/>
  </w:num>
  <w:num w:numId="31">
    <w:abstractNumId w:val="30"/>
  </w:num>
  <w:num w:numId="32">
    <w:abstractNumId w:val="8"/>
  </w:num>
  <w:num w:numId="33">
    <w:abstractNumId w:val="10"/>
  </w:num>
  <w:num w:numId="34">
    <w:abstractNumId w:val="21"/>
  </w:num>
  <w:num w:numId="35">
    <w:abstractNumId w:val="26"/>
  </w:num>
  <w:num w:numId="36">
    <w:abstractNumId w:val="3"/>
  </w:num>
  <w:num w:numId="37">
    <w:abstractNumId w:val="2"/>
  </w:num>
  <w:num w:numId="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07CC"/>
    <w:rsid w:val="0001250B"/>
    <w:rsid w:val="000146B8"/>
    <w:rsid w:val="000154B1"/>
    <w:rsid w:val="00015897"/>
    <w:rsid w:val="00015B02"/>
    <w:rsid w:val="00016303"/>
    <w:rsid w:val="00016B27"/>
    <w:rsid w:val="00017089"/>
    <w:rsid w:val="00017A15"/>
    <w:rsid w:val="00020271"/>
    <w:rsid w:val="0002055C"/>
    <w:rsid w:val="00020A23"/>
    <w:rsid w:val="00020FEA"/>
    <w:rsid w:val="00021047"/>
    <w:rsid w:val="0002195D"/>
    <w:rsid w:val="000225D6"/>
    <w:rsid w:val="00022E5D"/>
    <w:rsid w:val="000232DF"/>
    <w:rsid w:val="00023368"/>
    <w:rsid w:val="0002347A"/>
    <w:rsid w:val="00023E37"/>
    <w:rsid w:val="00024834"/>
    <w:rsid w:val="00024B1D"/>
    <w:rsid w:val="000258D9"/>
    <w:rsid w:val="00025F13"/>
    <w:rsid w:val="00026407"/>
    <w:rsid w:val="00027FA4"/>
    <w:rsid w:val="0003025B"/>
    <w:rsid w:val="000314E8"/>
    <w:rsid w:val="000319FD"/>
    <w:rsid w:val="00032BAB"/>
    <w:rsid w:val="0003358B"/>
    <w:rsid w:val="0003567F"/>
    <w:rsid w:val="0003579E"/>
    <w:rsid w:val="00036338"/>
    <w:rsid w:val="000368AD"/>
    <w:rsid w:val="00036C24"/>
    <w:rsid w:val="0003758B"/>
    <w:rsid w:val="00037ED1"/>
    <w:rsid w:val="0004009F"/>
    <w:rsid w:val="00040139"/>
    <w:rsid w:val="00040B6B"/>
    <w:rsid w:val="00040EED"/>
    <w:rsid w:val="000411F7"/>
    <w:rsid w:val="00041D14"/>
    <w:rsid w:val="0004388B"/>
    <w:rsid w:val="00044018"/>
    <w:rsid w:val="000449E2"/>
    <w:rsid w:val="00044D87"/>
    <w:rsid w:val="0005037F"/>
    <w:rsid w:val="0005112B"/>
    <w:rsid w:val="00051F4B"/>
    <w:rsid w:val="00052050"/>
    <w:rsid w:val="00052691"/>
    <w:rsid w:val="00053E0E"/>
    <w:rsid w:val="00054019"/>
    <w:rsid w:val="000550E1"/>
    <w:rsid w:val="00055244"/>
    <w:rsid w:val="00055399"/>
    <w:rsid w:val="00055B68"/>
    <w:rsid w:val="00056D23"/>
    <w:rsid w:val="00056E7C"/>
    <w:rsid w:val="00060659"/>
    <w:rsid w:val="0006095E"/>
    <w:rsid w:val="00060EA9"/>
    <w:rsid w:val="00061116"/>
    <w:rsid w:val="00062DF5"/>
    <w:rsid w:val="00063D8A"/>
    <w:rsid w:val="00065F7D"/>
    <w:rsid w:val="0006613F"/>
    <w:rsid w:val="000674FE"/>
    <w:rsid w:val="00067786"/>
    <w:rsid w:val="00071B8E"/>
    <w:rsid w:val="00072DCE"/>
    <w:rsid w:val="00072FE2"/>
    <w:rsid w:val="00073CB3"/>
    <w:rsid w:val="00073DFE"/>
    <w:rsid w:val="00073F85"/>
    <w:rsid w:val="0007572C"/>
    <w:rsid w:val="00075849"/>
    <w:rsid w:val="00077788"/>
    <w:rsid w:val="00077A26"/>
    <w:rsid w:val="000813DE"/>
    <w:rsid w:val="0008236D"/>
    <w:rsid w:val="00083522"/>
    <w:rsid w:val="000838E1"/>
    <w:rsid w:val="00083978"/>
    <w:rsid w:val="0008397C"/>
    <w:rsid w:val="00084551"/>
    <w:rsid w:val="000856B5"/>
    <w:rsid w:val="00085787"/>
    <w:rsid w:val="0008618C"/>
    <w:rsid w:val="00086522"/>
    <w:rsid w:val="00086B8F"/>
    <w:rsid w:val="000874FD"/>
    <w:rsid w:val="0008754B"/>
    <w:rsid w:val="00087CF9"/>
    <w:rsid w:val="00090800"/>
    <w:rsid w:val="000917C8"/>
    <w:rsid w:val="00091D31"/>
    <w:rsid w:val="00092660"/>
    <w:rsid w:val="00092AD2"/>
    <w:rsid w:val="00092AF1"/>
    <w:rsid w:val="000950C5"/>
    <w:rsid w:val="00095298"/>
    <w:rsid w:val="000955F8"/>
    <w:rsid w:val="000A0986"/>
    <w:rsid w:val="000A1CE3"/>
    <w:rsid w:val="000A26C4"/>
    <w:rsid w:val="000A27BF"/>
    <w:rsid w:val="000A2C75"/>
    <w:rsid w:val="000A33E6"/>
    <w:rsid w:val="000A4A9E"/>
    <w:rsid w:val="000A55C3"/>
    <w:rsid w:val="000A5883"/>
    <w:rsid w:val="000A71D9"/>
    <w:rsid w:val="000A7250"/>
    <w:rsid w:val="000A73E3"/>
    <w:rsid w:val="000B037A"/>
    <w:rsid w:val="000B061E"/>
    <w:rsid w:val="000B202E"/>
    <w:rsid w:val="000B2E61"/>
    <w:rsid w:val="000B4D3C"/>
    <w:rsid w:val="000B5D47"/>
    <w:rsid w:val="000B6177"/>
    <w:rsid w:val="000B6D7A"/>
    <w:rsid w:val="000B73DB"/>
    <w:rsid w:val="000B7CA6"/>
    <w:rsid w:val="000B7FB2"/>
    <w:rsid w:val="000C1AAA"/>
    <w:rsid w:val="000C40EF"/>
    <w:rsid w:val="000C4695"/>
    <w:rsid w:val="000C4C6B"/>
    <w:rsid w:val="000C5B22"/>
    <w:rsid w:val="000C6899"/>
    <w:rsid w:val="000C7103"/>
    <w:rsid w:val="000C74BD"/>
    <w:rsid w:val="000C7ED7"/>
    <w:rsid w:val="000D00F4"/>
    <w:rsid w:val="000D0BAC"/>
    <w:rsid w:val="000D1229"/>
    <w:rsid w:val="000D27A6"/>
    <w:rsid w:val="000D33EC"/>
    <w:rsid w:val="000D37D3"/>
    <w:rsid w:val="000D3A03"/>
    <w:rsid w:val="000D3A2F"/>
    <w:rsid w:val="000D53B6"/>
    <w:rsid w:val="000D54D4"/>
    <w:rsid w:val="000D6537"/>
    <w:rsid w:val="000D6FAC"/>
    <w:rsid w:val="000D6FF5"/>
    <w:rsid w:val="000D76D6"/>
    <w:rsid w:val="000E0359"/>
    <w:rsid w:val="000E071E"/>
    <w:rsid w:val="000E0B16"/>
    <w:rsid w:val="000E1922"/>
    <w:rsid w:val="000E2AD1"/>
    <w:rsid w:val="000E317A"/>
    <w:rsid w:val="000E32F9"/>
    <w:rsid w:val="000E35EC"/>
    <w:rsid w:val="000E440E"/>
    <w:rsid w:val="000E4BEB"/>
    <w:rsid w:val="000E5029"/>
    <w:rsid w:val="000E565D"/>
    <w:rsid w:val="000E639C"/>
    <w:rsid w:val="000E6DB8"/>
    <w:rsid w:val="000F1176"/>
    <w:rsid w:val="000F124B"/>
    <w:rsid w:val="000F24BA"/>
    <w:rsid w:val="000F2A57"/>
    <w:rsid w:val="000F2AFF"/>
    <w:rsid w:val="000F2B66"/>
    <w:rsid w:val="000F3414"/>
    <w:rsid w:val="000F421F"/>
    <w:rsid w:val="000F427C"/>
    <w:rsid w:val="000F4B38"/>
    <w:rsid w:val="00100204"/>
    <w:rsid w:val="0010147E"/>
    <w:rsid w:val="00101EF9"/>
    <w:rsid w:val="00102489"/>
    <w:rsid w:val="00103461"/>
    <w:rsid w:val="00104861"/>
    <w:rsid w:val="001052F3"/>
    <w:rsid w:val="0010605A"/>
    <w:rsid w:val="00106CE5"/>
    <w:rsid w:val="00110379"/>
    <w:rsid w:val="00111482"/>
    <w:rsid w:val="00112AC6"/>
    <w:rsid w:val="00114B65"/>
    <w:rsid w:val="00114DB9"/>
    <w:rsid w:val="00115088"/>
    <w:rsid w:val="00115A0A"/>
    <w:rsid w:val="001164C5"/>
    <w:rsid w:val="00117A09"/>
    <w:rsid w:val="00120E9D"/>
    <w:rsid w:val="00121B0B"/>
    <w:rsid w:val="00121FBF"/>
    <w:rsid w:val="001223A5"/>
    <w:rsid w:val="001230FF"/>
    <w:rsid w:val="001270B1"/>
    <w:rsid w:val="00127E0D"/>
    <w:rsid w:val="00131B39"/>
    <w:rsid w:val="00133059"/>
    <w:rsid w:val="00135280"/>
    <w:rsid w:val="001358C0"/>
    <w:rsid w:val="00136768"/>
    <w:rsid w:val="00137699"/>
    <w:rsid w:val="00137DDF"/>
    <w:rsid w:val="00140595"/>
    <w:rsid w:val="00140681"/>
    <w:rsid w:val="00141505"/>
    <w:rsid w:val="00142ED6"/>
    <w:rsid w:val="00143310"/>
    <w:rsid w:val="00143BE0"/>
    <w:rsid w:val="00143F6B"/>
    <w:rsid w:val="001447A7"/>
    <w:rsid w:val="001449C3"/>
    <w:rsid w:val="0014528C"/>
    <w:rsid w:val="00146B9B"/>
    <w:rsid w:val="00147CB8"/>
    <w:rsid w:val="00150A7D"/>
    <w:rsid w:val="00151707"/>
    <w:rsid w:val="00153720"/>
    <w:rsid w:val="00153B57"/>
    <w:rsid w:val="001547C8"/>
    <w:rsid w:val="00154D00"/>
    <w:rsid w:val="001554D1"/>
    <w:rsid w:val="0015653D"/>
    <w:rsid w:val="00157E92"/>
    <w:rsid w:val="00160964"/>
    <w:rsid w:val="00160FAE"/>
    <w:rsid w:val="0016300A"/>
    <w:rsid w:val="001647A7"/>
    <w:rsid w:val="001648DC"/>
    <w:rsid w:val="001669AF"/>
    <w:rsid w:val="00167063"/>
    <w:rsid w:val="00167816"/>
    <w:rsid w:val="00167BA0"/>
    <w:rsid w:val="00170310"/>
    <w:rsid w:val="00171D56"/>
    <w:rsid w:val="00172677"/>
    <w:rsid w:val="00172C4D"/>
    <w:rsid w:val="00173A9E"/>
    <w:rsid w:val="00173C1F"/>
    <w:rsid w:val="00175895"/>
    <w:rsid w:val="00176812"/>
    <w:rsid w:val="00180012"/>
    <w:rsid w:val="001802A0"/>
    <w:rsid w:val="00180A00"/>
    <w:rsid w:val="0018156F"/>
    <w:rsid w:val="00181D8F"/>
    <w:rsid w:val="0018217F"/>
    <w:rsid w:val="0018229C"/>
    <w:rsid w:val="001828B7"/>
    <w:rsid w:val="00182ACD"/>
    <w:rsid w:val="00183418"/>
    <w:rsid w:val="00183759"/>
    <w:rsid w:val="0018439F"/>
    <w:rsid w:val="00184D12"/>
    <w:rsid w:val="00185133"/>
    <w:rsid w:val="0018571B"/>
    <w:rsid w:val="00186EBA"/>
    <w:rsid w:val="00187149"/>
    <w:rsid w:val="00187541"/>
    <w:rsid w:val="00192B43"/>
    <w:rsid w:val="00192E6B"/>
    <w:rsid w:val="00192E93"/>
    <w:rsid w:val="00193586"/>
    <w:rsid w:val="00193789"/>
    <w:rsid w:val="00194D88"/>
    <w:rsid w:val="00197BBF"/>
    <w:rsid w:val="00197D68"/>
    <w:rsid w:val="001A00B6"/>
    <w:rsid w:val="001A0892"/>
    <w:rsid w:val="001A211F"/>
    <w:rsid w:val="001A2C84"/>
    <w:rsid w:val="001A33D3"/>
    <w:rsid w:val="001A36E9"/>
    <w:rsid w:val="001A3AD4"/>
    <w:rsid w:val="001A3CA0"/>
    <w:rsid w:val="001A41A1"/>
    <w:rsid w:val="001A4297"/>
    <w:rsid w:val="001A45A3"/>
    <w:rsid w:val="001A47CA"/>
    <w:rsid w:val="001A5849"/>
    <w:rsid w:val="001A5BE4"/>
    <w:rsid w:val="001A5D31"/>
    <w:rsid w:val="001A63C8"/>
    <w:rsid w:val="001A7090"/>
    <w:rsid w:val="001A79C0"/>
    <w:rsid w:val="001A7B37"/>
    <w:rsid w:val="001A7DFA"/>
    <w:rsid w:val="001B03EA"/>
    <w:rsid w:val="001B06EA"/>
    <w:rsid w:val="001B11DC"/>
    <w:rsid w:val="001B1670"/>
    <w:rsid w:val="001B22F7"/>
    <w:rsid w:val="001B2309"/>
    <w:rsid w:val="001B2925"/>
    <w:rsid w:val="001B2BB5"/>
    <w:rsid w:val="001B2BF3"/>
    <w:rsid w:val="001B2C52"/>
    <w:rsid w:val="001B304F"/>
    <w:rsid w:val="001B3571"/>
    <w:rsid w:val="001B3AF1"/>
    <w:rsid w:val="001B3D57"/>
    <w:rsid w:val="001B4933"/>
    <w:rsid w:val="001C0674"/>
    <w:rsid w:val="001C0D9C"/>
    <w:rsid w:val="001C1280"/>
    <w:rsid w:val="001C225C"/>
    <w:rsid w:val="001C2E80"/>
    <w:rsid w:val="001C3217"/>
    <w:rsid w:val="001C324F"/>
    <w:rsid w:val="001C4B20"/>
    <w:rsid w:val="001C5442"/>
    <w:rsid w:val="001C5499"/>
    <w:rsid w:val="001C5945"/>
    <w:rsid w:val="001C681F"/>
    <w:rsid w:val="001C6E9D"/>
    <w:rsid w:val="001C7268"/>
    <w:rsid w:val="001D11AB"/>
    <w:rsid w:val="001D1544"/>
    <w:rsid w:val="001D1CD9"/>
    <w:rsid w:val="001D2AA2"/>
    <w:rsid w:val="001D2BB7"/>
    <w:rsid w:val="001D358E"/>
    <w:rsid w:val="001D3869"/>
    <w:rsid w:val="001D3A15"/>
    <w:rsid w:val="001D57E3"/>
    <w:rsid w:val="001D57F1"/>
    <w:rsid w:val="001D5895"/>
    <w:rsid w:val="001D6C8D"/>
    <w:rsid w:val="001D723F"/>
    <w:rsid w:val="001D751F"/>
    <w:rsid w:val="001E0573"/>
    <w:rsid w:val="001E12EE"/>
    <w:rsid w:val="001E18D6"/>
    <w:rsid w:val="001E3155"/>
    <w:rsid w:val="001E3A05"/>
    <w:rsid w:val="001E3B88"/>
    <w:rsid w:val="001E43A6"/>
    <w:rsid w:val="001E5393"/>
    <w:rsid w:val="001E5421"/>
    <w:rsid w:val="001E6119"/>
    <w:rsid w:val="001E6275"/>
    <w:rsid w:val="001E798B"/>
    <w:rsid w:val="001F0D92"/>
    <w:rsid w:val="001F21CB"/>
    <w:rsid w:val="001F272B"/>
    <w:rsid w:val="001F2B1B"/>
    <w:rsid w:val="001F30E7"/>
    <w:rsid w:val="001F4117"/>
    <w:rsid w:val="001F5284"/>
    <w:rsid w:val="001F6413"/>
    <w:rsid w:val="001F76F0"/>
    <w:rsid w:val="00200E11"/>
    <w:rsid w:val="00201CA3"/>
    <w:rsid w:val="002027B3"/>
    <w:rsid w:val="002035CD"/>
    <w:rsid w:val="00203EFC"/>
    <w:rsid w:val="00205008"/>
    <w:rsid w:val="0020534E"/>
    <w:rsid w:val="00205AF5"/>
    <w:rsid w:val="00206607"/>
    <w:rsid w:val="00206B36"/>
    <w:rsid w:val="00206FA1"/>
    <w:rsid w:val="002073C1"/>
    <w:rsid w:val="002078A9"/>
    <w:rsid w:val="00210B69"/>
    <w:rsid w:val="0021195A"/>
    <w:rsid w:val="00211976"/>
    <w:rsid w:val="002119E3"/>
    <w:rsid w:val="00212A80"/>
    <w:rsid w:val="00213491"/>
    <w:rsid w:val="00213566"/>
    <w:rsid w:val="00214406"/>
    <w:rsid w:val="00214FB9"/>
    <w:rsid w:val="00215228"/>
    <w:rsid w:val="00215377"/>
    <w:rsid w:val="0021549E"/>
    <w:rsid w:val="00215E4F"/>
    <w:rsid w:val="00221280"/>
    <w:rsid w:val="00221359"/>
    <w:rsid w:val="002213A1"/>
    <w:rsid w:val="002222B5"/>
    <w:rsid w:val="00222481"/>
    <w:rsid w:val="00222B33"/>
    <w:rsid w:val="00223447"/>
    <w:rsid w:val="00223FB6"/>
    <w:rsid w:val="002240C8"/>
    <w:rsid w:val="00230F9A"/>
    <w:rsid w:val="00231627"/>
    <w:rsid w:val="00231AEA"/>
    <w:rsid w:val="00231B9D"/>
    <w:rsid w:val="00231E42"/>
    <w:rsid w:val="00232C5E"/>
    <w:rsid w:val="00233C1E"/>
    <w:rsid w:val="00234033"/>
    <w:rsid w:val="0023435D"/>
    <w:rsid w:val="002358D4"/>
    <w:rsid w:val="00235C5C"/>
    <w:rsid w:val="00236552"/>
    <w:rsid w:val="002372D7"/>
    <w:rsid w:val="00237AA9"/>
    <w:rsid w:val="00237B5A"/>
    <w:rsid w:val="00237D50"/>
    <w:rsid w:val="00237D5A"/>
    <w:rsid w:val="002401BF"/>
    <w:rsid w:val="002409F4"/>
    <w:rsid w:val="00240C91"/>
    <w:rsid w:val="002428F9"/>
    <w:rsid w:val="00242995"/>
    <w:rsid w:val="00244588"/>
    <w:rsid w:val="002462A5"/>
    <w:rsid w:val="00246FB2"/>
    <w:rsid w:val="0024709A"/>
    <w:rsid w:val="0024793D"/>
    <w:rsid w:val="002508D4"/>
    <w:rsid w:val="002508F1"/>
    <w:rsid w:val="0025169B"/>
    <w:rsid w:val="00252218"/>
    <w:rsid w:val="002525D0"/>
    <w:rsid w:val="00252AFD"/>
    <w:rsid w:val="0025363F"/>
    <w:rsid w:val="00253D48"/>
    <w:rsid w:val="0025464A"/>
    <w:rsid w:val="00254E36"/>
    <w:rsid w:val="00255E38"/>
    <w:rsid w:val="002609A6"/>
    <w:rsid w:val="00262788"/>
    <w:rsid w:val="00263E95"/>
    <w:rsid w:val="00263F48"/>
    <w:rsid w:val="002658B8"/>
    <w:rsid w:val="002659B0"/>
    <w:rsid w:val="00266C98"/>
    <w:rsid w:val="00267C3C"/>
    <w:rsid w:val="00271D9E"/>
    <w:rsid w:val="00275141"/>
    <w:rsid w:val="002751FF"/>
    <w:rsid w:val="002774D5"/>
    <w:rsid w:val="0027793D"/>
    <w:rsid w:val="00282603"/>
    <w:rsid w:val="00282C2A"/>
    <w:rsid w:val="00282C47"/>
    <w:rsid w:val="00282D0C"/>
    <w:rsid w:val="0028444B"/>
    <w:rsid w:val="0028486C"/>
    <w:rsid w:val="002848A6"/>
    <w:rsid w:val="00287B4C"/>
    <w:rsid w:val="002909ED"/>
    <w:rsid w:val="00290AD0"/>
    <w:rsid w:val="0029175A"/>
    <w:rsid w:val="00292914"/>
    <w:rsid w:val="00293892"/>
    <w:rsid w:val="00296D8F"/>
    <w:rsid w:val="002A0356"/>
    <w:rsid w:val="002A1F7E"/>
    <w:rsid w:val="002A42C6"/>
    <w:rsid w:val="002A458B"/>
    <w:rsid w:val="002A46F5"/>
    <w:rsid w:val="002A4DB3"/>
    <w:rsid w:val="002A56D3"/>
    <w:rsid w:val="002A62EA"/>
    <w:rsid w:val="002A68C0"/>
    <w:rsid w:val="002A6A81"/>
    <w:rsid w:val="002A7310"/>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C58"/>
    <w:rsid w:val="002D32BE"/>
    <w:rsid w:val="002D363A"/>
    <w:rsid w:val="002D3A62"/>
    <w:rsid w:val="002D3B3C"/>
    <w:rsid w:val="002D40B7"/>
    <w:rsid w:val="002D40BC"/>
    <w:rsid w:val="002D49E1"/>
    <w:rsid w:val="002D50D8"/>
    <w:rsid w:val="002D6A02"/>
    <w:rsid w:val="002E0922"/>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C1"/>
    <w:rsid w:val="002F5622"/>
    <w:rsid w:val="002F6C35"/>
    <w:rsid w:val="002F6C65"/>
    <w:rsid w:val="002F71FE"/>
    <w:rsid w:val="00300E4B"/>
    <w:rsid w:val="00304B21"/>
    <w:rsid w:val="00305A54"/>
    <w:rsid w:val="00306288"/>
    <w:rsid w:val="00307111"/>
    <w:rsid w:val="00307939"/>
    <w:rsid w:val="00307EEE"/>
    <w:rsid w:val="003104D9"/>
    <w:rsid w:val="00310AC7"/>
    <w:rsid w:val="00310E39"/>
    <w:rsid w:val="00311110"/>
    <w:rsid w:val="003118DA"/>
    <w:rsid w:val="0031208A"/>
    <w:rsid w:val="00315276"/>
    <w:rsid w:val="003153C7"/>
    <w:rsid w:val="0031577A"/>
    <w:rsid w:val="00315A27"/>
    <w:rsid w:val="00316079"/>
    <w:rsid w:val="003162F8"/>
    <w:rsid w:val="00317EC9"/>
    <w:rsid w:val="003201E7"/>
    <w:rsid w:val="00320FB9"/>
    <w:rsid w:val="0032123A"/>
    <w:rsid w:val="00321428"/>
    <w:rsid w:val="00321645"/>
    <w:rsid w:val="00322338"/>
    <w:rsid w:val="00323072"/>
    <w:rsid w:val="0032366B"/>
    <w:rsid w:val="0032410F"/>
    <w:rsid w:val="00324E47"/>
    <w:rsid w:val="003252F1"/>
    <w:rsid w:val="003252FD"/>
    <w:rsid w:val="00325B17"/>
    <w:rsid w:val="00325FF5"/>
    <w:rsid w:val="003263C3"/>
    <w:rsid w:val="00326BAE"/>
    <w:rsid w:val="003272A2"/>
    <w:rsid w:val="00327B5B"/>
    <w:rsid w:val="003313E8"/>
    <w:rsid w:val="00331975"/>
    <w:rsid w:val="00331EF9"/>
    <w:rsid w:val="003323C8"/>
    <w:rsid w:val="003323EA"/>
    <w:rsid w:val="00332C60"/>
    <w:rsid w:val="00333C2B"/>
    <w:rsid w:val="00335002"/>
    <w:rsid w:val="003353A2"/>
    <w:rsid w:val="00335638"/>
    <w:rsid w:val="00336823"/>
    <w:rsid w:val="00336D62"/>
    <w:rsid w:val="00341063"/>
    <w:rsid w:val="00342A22"/>
    <w:rsid w:val="00342E01"/>
    <w:rsid w:val="00343641"/>
    <w:rsid w:val="00343D7A"/>
    <w:rsid w:val="00343E5C"/>
    <w:rsid w:val="003443A5"/>
    <w:rsid w:val="0034495B"/>
    <w:rsid w:val="003452BE"/>
    <w:rsid w:val="00345C43"/>
    <w:rsid w:val="0034698C"/>
    <w:rsid w:val="00347F93"/>
    <w:rsid w:val="00350B4E"/>
    <w:rsid w:val="0035184E"/>
    <w:rsid w:val="00352982"/>
    <w:rsid w:val="003539A6"/>
    <w:rsid w:val="003542ED"/>
    <w:rsid w:val="003543FB"/>
    <w:rsid w:val="00355BAA"/>
    <w:rsid w:val="0035643E"/>
    <w:rsid w:val="003567E2"/>
    <w:rsid w:val="00357A51"/>
    <w:rsid w:val="003602F1"/>
    <w:rsid w:val="003604AA"/>
    <w:rsid w:val="00362324"/>
    <w:rsid w:val="00362DB1"/>
    <w:rsid w:val="00364E43"/>
    <w:rsid w:val="00365288"/>
    <w:rsid w:val="003652D0"/>
    <w:rsid w:val="0036593F"/>
    <w:rsid w:val="00365A3F"/>
    <w:rsid w:val="00365EE8"/>
    <w:rsid w:val="0036657A"/>
    <w:rsid w:val="00366F3D"/>
    <w:rsid w:val="003673C1"/>
    <w:rsid w:val="003675C4"/>
    <w:rsid w:val="00367991"/>
    <w:rsid w:val="0037064E"/>
    <w:rsid w:val="003722E4"/>
    <w:rsid w:val="00372E07"/>
    <w:rsid w:val="0037327C"/>
    <w:rsid w:val="0037356B"/>
    <w:rsid w:val="003741FD"/>
    <w:rsid w:val="0037504A"/>
    <w:rsid w:val="00375387"/>
    <w:rsid w:val="00376092"/>
    <w:rsid w:val="00376391"/>
    <w:rsid w:val="00377439"/>
    <w:rsid w:val="00377629"/>
    <w:rsid w:val="003777C7"/>
    <w:rsid w:val="00380F50"/>
    <w:rsid w:val="00381A89"/>
    <w:rsid w:val="00382B27"/>
    <w:rsid w:val="00382EAB"/>
    <w:rsid w:val="00383AF9"/>
    <w:rsid w:val="00383DD9"/>
    <w:rsid w:val="00385507"/>
    <w:rsid w:val="003863E6"/>
    <w:rsid w:val="00386636"/>
    <w:rsid w:val="00386B0F"/>
    <w:rsid w:val="00387551"/>
    <w:rsid w:val="003876A6"/>
    <w:rsid w:val="00391A41"/>
    <w:rsid w:val="0039225F"/>
    <w:rsid w:val="003929F1"/>
    <w:rsid w:val="00392EBF"/>
    <w:rsid w:val="00393CA7"/>
    <w:rsid w:val="00396F61"/>
    <w:rsid w:val="00397878"/>
    <w:rsid w:val="003A0958"/>
    <w:rsid w:val="003A1168"/>
    <w:rsid w:val="003A2CF2"/>
    <w:rsid w:val="003A675E"/>
    <w:rsid w:val="003A6EC9"/>
    <w:rsid w:val="003A7BFE"/>
    <w:rsid w:val="003A7DBB"/>
    <w:rsid w:val="003B03E0"/>
    <w:rsid w:val="003B0AB7"/>
    <w:rsid w:val="003B1A01"/>
    <w:rsid w:val="003B1D66"/>
    <w:rsid w:val="003B1D7D"/>
    <w:rsid w:val="003B2FDA"/>
    <w:rsid w:val="003B3B0F"/>
    <w:rsid w:val="003B45F3"/>
    <w:rsid w:val="003B58AC"/>
    <w:rsid w:val="003B7553"/>
    <w:rsid w:val="003B7FEE"/>
    <w:rsid w:val="003C00D0"/>
    <w:rsid w:val="003C04ED"/>
    <w:rsid w:val="003C08F3"/>
    <w:rsid w:val="003C1332"/>
    <w:rsid w:val="003C2E9F"/>
    <w:rsid w:val="003C3F40"/>
    <w:rsid w:val="003C45BC"/>
    <w:rsid w:val="003C53E5"/>
    <w:rsid w:val="003C55B9"/>
    <w:rsid w:val="003C5F5E"/>
    <w:rsid w:val="003C5F8D"/>
    <w:rsid w:val="003C6333"/>
    <w:rsid w:val="003C6CD9"/>
    <w:rsid w:val="003C7D57"/>
    <w:rsid w:val="003D074C"/>
    <w:rsid w:val="003D1435"/>
    <w:rsid w:val="003D1997"/>
    <w:rsid w:val="003D1AE0"/>
    <w:rsid w:val="003D25FB"/>
    <w:rsid w:val="003D2F13"/>
    <w:rsid w:val="003D302E"/>
    <w:rsid w:val="003D3371"/>
    <w:rsid w:val="003D4878"/>
    <w:rsid w:val="003D4C0E"/>
    <w:rsid w:val="003D5815"/>
    <w:rsid w:val="003D5A78"/>
    <w:rsid w:val="003D5B78"/>
    <w:rsid w:val="003D62D4"/>
    <w:rsid w:val="003D6F37"/>
    <w:rsid w:val="003D77C4"/>
    <w:rsid w:val="003E179C"/>
    <w:rsid w:val="003E1C7C"/>
    <w:rsid w:val="003E1E9B"/>
    <w:rsid w:val="003E202B"/>
    <w:rsid w:val="003E2457"/>
    <w:rsid w:val="003E25AF"/>
    <w:rsid w:val="003E2908"/>
    <w:rsid w:val="003E2ECE"/>
    <w:rsid w:val="003E30D3"/>
    <w:rsid w:val="003E3C09"/>
    <w:rsid w:val="003E54D6"/>
    <w:rsid w:val="003E57F8"/>
    <w:rsid w:val="003E6639"/>
    <w:rsid w:val="003F1842"/>
    <w:rsid w:val="003F2578"/>
    <w:rsid w:val="003F482D"/>
    <w:rsid w:val="003F4847"/>
    <w:rsid w:val="003F4EE2"/>
    <w:rsid w:val="003F53FC"/>
    <w:rsid w:val="003F7E31"/>
    <w:rsid w:val="003F7FB6"/>
    <w:rsid w:val="00400D86"/>
    <w:rsid w:val="00400F30"/>
    <w:rsid w:val="00401AD7"/>
    <w:rsid w:val="004034FF"/>
    <w:rsid w:val="004039A0"/>
    <w:rsid w:val="004042B9"/>
    <w:rsid w:val="00404493"/>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3D0E"/>
    <w:rsid w:val="00423E2B"/>
    <w:rsid w:val="004249F3"/>
    <w:rsid w:val="00424E3F"/>
    <w:rsid w:val="00424F5E"/>
    <w:rsid w:val="00425CB4"/>
    <w:rsid w:val="00425EC2"/>
    <w:rsid w:val="0042624C"/>
    <w:rsid w:val="00427556"/>
    <w:rsid w:val="0042774E"/>
    <w:rsid w:val="00427F95"/>
    <w:rsid w:val="0043064D"/>
    <w:rsid w:val="00430CFA"/>
    <w:rsid w:val="00430DEB"/>
    <w:rsid w:val="0043126A"/>
    <w:rsid w:val="00431779"/>
    <w:rsid w:val="0043276F"/>
    <w:rsid w:val="00432A62"/>
    <w:rsid w:val="0043443A"/>
    <w:rsid w:val="00434876"/>
    <w:rsid w:val="00435296"/>
    <w:rsid w:val="004355B5"/>
    <w:rsid w:val="0043616E"/>
    <w:rsid w:val="00437B4F"/>
    <w:rsid w:val="004409D8"/>
    <w:rsid w:val="004415D7"/>
    <w:rsid w:val="004417C6"/>
    <w:rsid w:val="00441D84"/>
    <w:rsid w:val="00443953"/>
    <w:rsid w:val="004452D4"/>
    <w:rsid w:val="004453C1"/>
    <w:rsid w:val="00445579"/>
    <w:rsid w:val="00446ACE"/>
    <w:rsid w:val="00446E65"/>
    <w:rsid w:val="00447234"/>
    <w:rsid w:val="004475F2"/>
    <w:rsid w:val="00447607"/>
    <w:rsid w:val="00447864"/>
    <w:rsid w:val="00447DE7"/>
    <w:rsid w:val="00450C3D"/>
    <w:rsid w:val="004510E9"/>
    <w:rsid w:val="004529F9"/>
    <w:rsid w:val="00455DD1"/>
    <w:rsid w:val="00456AD9"/>
    <w:rsid w:val="00460074"/>
    <w:rsid w:val="004607C3"/>
    <w:rsid w:val="00461276"/>
    <w:rsid w:val="00461C38"/>
    <w:rsid w:val="0046350D"/>
    <w:rsid w:val="00463801"/>
    <w:rsid w:val="00463A51"/>
    <w:rsid w:val="00463E45"/>
    <w:rsid w:val="00464181"/>
    <w:rsid w:val="00464453"/>
    <w:rsid w:val="00464625"/>
    <w:rsid w:val="00464ED5"/>
    <w:rsid w:val="00464F03"/>
    <w:rsid w:val="00465197"/>
    <w:rsid w:val="00465C5B"/>
    <w:rsid w:val="00466DEE"/>
    <w:rsid w:val="00466E62"/>
    <w:rsid w:val="00467491"/>
    <w:rsid w:val="0047077B"/>
    <w:rsid w:val="00470A82"/>
    <w:rsid w:val="00471324"/>
    <w:rsid w:val="004717EA"/>
    <w:rsid w:val="00472066"/>
    <w:rsid w:val="00472114"/>
    <w:rsid w:val="00474D20"/>
    <w:rsid w:val="004753D4"/>
    <w:rsid w:val="0047658A"/>
    <w:rsid w:val="00476CAD"/>
    <w:rsid w:val="0047752C"/>
    <w:rsid w:val="004778AF"/>
    <w:rsid w:val="00480134"/>
    <w:rsid w:val="00481910"/>
    <w:rsid w:val="00481B87"/>
    <w:rsid w:val="00483A74"/>
    <w:rsid w:val="00483E94"/>
    <w:rsid w:val="00484D44"/>
    <w:rsid w:val="00484D84"/>
    <w:rsid w:val="00485C27"/>
    <w:rsid w:val="004860FB"/>
    <w:rsid w:val="00486201"/>
    <w:rsid w:val="00486B54"/>
    <w:rsid w:val="00487D4D"/>
    <w:rsid w:val="004907C9"/>
    <w:rsid w:val="00490C89"/>
    <w:rsid w:val="00490F40"/>
    <w:rsid w:val="00491E32"/>
    <w:rsid w:val="004927DB"/>
    <w:rsid w:val="00492803"/>
    <w:rsid w:val="00492F2C"/>
    <w:rsid w:val="0049355A"/>
    <w:rsid w:val="0049449A"/>
    <w:rsid w:val="00495125"/>
    <w:rsid w:val="00495432"/>
    <w:rsid w:val="0049597E"/>
    <w:rsid w:val="004A200D"/>
    <w:rsid w:val="004A2C15"/>
    <w:rsid w:val="004A3217"/>
    <w:rsid w:val="004A335E"/>
    <w:rsid w:val="004A3FAE"/>
    <w:rsid w:val="004A4A03"/>
    <w:rsid w:val="004A52F9"/>
    <w:rsid w:val="004A5F79"/>
    <w:rsid w:val="004A6090"/>
    <w:rsid w:val="004A6BBB"/>
    <w:rsid w:val="004A6E0E"/>
    <w:rsid w:val="004A71E2"/>
    <w:rsid w:val="004A79F8"/>
    <w:rsid w:val="004A7BB0"/>
    <w:rsid w:val="004B1D2D"/>
    <w:rsid w:val="004B329C"/>
    <w:rsid w:val="004B3C67"/>
    <w:rsid w:val="004B4BB3"/>
    <w:rsid w:val="004B547B"/>
    <w:rsid w:val="004B573A"/>
    <w:rsid w:val="004B5C52"/>
    <w:rsid w:val="004C01CC"/>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C7D38"/>
    <w:rsid w:val="004D0F03"/>
    <w:rsid w:val="004D2297"/>
    <w:rsid w:val="004D29B6"/>
    <w:rsid w:val="004D52FF"/>
    <w:rsid w:val="004D6749"/>
    <w:rsid w:val="004D7818"/>
    <w:rsid w:val="004D7A69"/>
    <w:rsid w:val="004D7DA3"/>
    <w:rsid w:val="004E0067"/>
    <w:rsid w:val="004E08F5"/>
    <w:rsid w:val="004E1985"/>
    <w:rsid w:val="004E257E"/>
    <w:rsid w:val="004E2EEE"/>
    <w:rsid w:val="004E3319"/>
    <w:rsid w:val="004E3DE6"/>
    <w:rsid w:val="004E437D"/>
    <w:rsid w:val="004E4724"/>
    <w:rsid w:val="004E5D0A"/>
    <w:rsid w:val="004E617B"/>
    <w:rsid w:val="004E622E"/>
    <w:rsid w:val="004F0320"/>
    <w:rsid w:val="004F1E7D"/>
    <w:rsid w:val="004F2178"/>
    <w:rsid w:val="004F245C"/>
    <w:rsid w:val="004F302C"/>
    <w:rsid w:val="004F5536"/>
    <w:rsid w:val="004F5608"/>
    <w:rsid w:val="004F6F51"/>
    <w:rsid w:val="0050028E"/>
    <w:rsid w:val="005003B4"/>
    <w:rsid w:val="005015E7"/>
    <w:rsid w:val="00501C82"/>
    <w:rsid w:val="00502080"/>
    <w:rsid w:val="00502AFF"/>
    <w:rsid w:val="00505059"/>
    <w:rsid w:val="005060ED"/>
    <w:rsid w:val="00506C72"/>
    <w:rsid w:val="00507120"/>
    <w:rsid w:val="005072FC"/>
    <w:rsid w:val="005079EB"/>
    <w:rsid w:val="00510AB4"/>
    <w:rsid w:val="00513EEB"/>
    <w:rsid w:val="0051415F"/>
    <w:rsid w:val="00515396"/>
    <w:rsid w:val="0051600E"/>
    <w:rsid w:val="00516771"/>
    <w:rsid w:val="005172DB"/>
    <w:rsid w:val="00517C14"/>
    <w:rsid w:val="00521D95"/>
    <w:rsid w:val="00522058"/>
    <w:rsid w:val="00525188"/>
    <w:rsid w:val="00525471"/>
    <w:rsid w:val="005266E4"/>
    <w:rsid w:val="0053070B"/>
    <w:rsid w:val="0053076A"/>
    <w:rsid w:val="005311D2"/>
    <w:rsid w:val="00532CCA"/>
    <w:rsid w:val="00532D83"/>
    <w:rsid w:val="00532F9A"/>
    <w:rsid w:val="0053361B"/>
    <w:rsid w:val="00535660"/>
    <w:rsid w:val="005359DC"/>
    <w:rsid w:val="00536034"/>
    <w:rsid w:val="0053719A"/>
    <w:rsid w:val="005377EB"/>
    <w:rsid w:val="00537F31"/>
    <w:rsid w:val="00541F11"/>
    <w:rsid w:val="00542B3F"/>
    <w:rsid w:val="00545523"/>
    <w:rsid w:val="005457DD"/>
    <w:rsid w:val="00545A2E"/>
    <w:rsid w:val="00545D63"/>
    <w:rsid w:val="00545ECD"/>
    <w:rsid w:val="0054615E"/>
    <w:rsid w:val="005466C3"/>
    <w:rsid w:val="00546B64"/>
    <w:rsid w:val="005506CE"/>
    <w:rsid w:val="00550A71"/>
    <w:rsid w:val="00550FF9"/>
    <w:rsid w:val="005512C9"/>
    <w:rsid w:val="0055275A"/>
    <w:rsid w:val="00552B28"/>
    <w:rsid w:val="00552BAB"/>
    <w:rsid w:val="00554B2E"/>
    <w:rsid w:val="00554E84"/>
    <w:rsid w:val="0055504F"/>
    <w:rsid w:val="0055506E"/>
    <w:rsid w:val="0055574A"/>
    <w:rsid w:val="005561C3"/>
    <w:rsid w:val="00556D1E"/>
    <w:rsid w:val="00557B02"/>
    <w:rsid w:val="0056242D"/>
    <w:rsid w:val="00562791"/>
    <w:rsid w:val="0056293B"/>
    <w:rsid w:val="00562AA7"/>
    <w:rsid w:val="00562FAB"/>
    <w:rsid w:val="00563A34"/>
    <w:rsid w:val="005658B2"/>
    <w:rsid w:val="00565C05"/>
    <w:rsid w:val="0056610C"/>
    <w:rsid w:val="00566B53"/>
    <w:rsid w:val="00566F0C"/>
    <w:rsid w:val="0057002A"/>
    <w:rsid w:val="005720CB"/>
    <w:rsid w:val="00574C9E"/>
    <w:rsid w:val="005751C2"/>
    <w:rsid w:val="00575CA3"/>
    <w:rsid w:val="00575F20"/>
    <w:rsid w:val="00580B85"/>
    <w:rsid w:val="005817CB"/>
    <w:rsid w:val="00582BAC"/>
    <w:rsid w:val="005835ED"/>
    <w:rsid w:val="005853F0"/>
    <w:rsid w:val="00585553"/>
    <w:rsid w:val="0058590E"/>
    <w:rsid w:val="005859CB"/>
    <w:rsid w:val="00585A34"/>
    <w:rsid w:val="00586B92"/>
    <w:rsid w:val="00586D90"/>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2E1F"/>
    <w:rsid w:val="005A32C2"/>
    <w:rsid w:val="005A376E"/>
    <w:rsid w:val="005A393D"/>
    <w:rsid w:val="005A3F2B"/>
    <w:rsid w:val="005A5139"/>
    <w:rsid w:val="005A5927"/>
    <w:rsid w:val="005A7F54"/>
    <w:rsid w:val="005B04BF"/>
    <w:rsid w:val="005B05DD"/>
    <w:rsid w:val="005B12D4"/>
    <w:rsid w:val="005B1C08"/>
    <w:rsid w:val="005B2076"/>
    <w:rsid w:val="005B215D"/>
    <w:rsid w:val="005B2DEC"/>
    <w:rsid w:val="005B3707"/>
    <w:rsid w:val="005B4701"/>
    <w:rsid w:val="005B513D"/>
    <w:rsid w:val="005B601E"/>
    <w:rsid w:val="005B7033"/>
    <w:rsid w:val="005B7C1C"/>
    <w:rsid w:val="005C0F6F"/>
    <w:rsid w:val="005C1107"/>
    <w:rsid w:val="005C1961"/>
    <w:rsid w:val="005C3384"/>
    <w:rsid w:val="005C3A9B"/>
    <w:rsid w:val="005C3D8D"/>
    <w:rsid w:val="005C3EB4"/>
    <w:rsid w:val="005C49A0"/>
    <w:rsid w:val="005C50C7"/>
    <w:rsid w:val="005C5532"/>
    <w:rsid w:val="005C5FC1"/>
    <w:rsid w:val="005C6098"/>
    <w:rsid w:val="005D09B1"/>
    <w:rsid w:val="005D0F36"/>
    <w:rsid w:val="005D20F1"/>
    <w:rsid w:val="005D23C8"/>
    <w:rsid w:val="005D25ED"/>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0447"/>
    <w:rsid w:val="005F1B05"/>
    <w:rsid w:val="005F2599"/>
    <w:rsid w:val="005F27E3"/>
    <w:rsid w:val="005F2BB5"/>
    <w:rsid w:val="005F2CEC"/>
    <w:rsid w:val="005F318B"/>
    <w:rsid w:val="005F3505"/>
    <w:rsid w:val="005F3594"/>
    <w:rsid w:val="005F4386"/>
    <w:rsid w:val="005F4481"/>
    <w:rsid w:val="005F44EC"/>
    <w:rsid w:val="005F4570"/>
    <w:rsid w:val="005F6115"/>
    <w:rsid w:val="005F69FC"/>
    <w:rsid w:val="005F6DA7"/>
    <w:rsid w:val="005F760F"/>
    <w:rsid w:val="005F7FDF"/>
    <w:rsid w:val="00600805"/>
    <w:rsid w:val="006008E6"/>
    <w:rsid w:val="00601118"/>
    <w:rsid w:val="00601BBB"/>
    <w:rsid w:val="00602D46"/>
    <w:rsid w:val="00602F21"/>
    <w:rsid w:val="00603EFA"/>
    <w:rsid w:val="006043A1"/>
    <w:rsid w:val="006045F6"/>
    <w:rsid w:val="0060581A"/>
    <w:rsid w:val="00607022"/>
    <w:rsid w:val="00607A65"/>
    <w:rsid w:val="0061227F"/>
    <w:rsid w:val="00612BE4"/>
    <w:rsid w:val="0061417F"/>
    <w:rsid w:val="00614D21"/>
    <w:rsid w:val="00614F59"/>
    <w:rsid w:val="00614FB7"/>
    <w:rsid w:val="00616350"/>
    <w:rsid w:val="0061780E"/>
    <w:rsid w:val="00617A7A"/>
    <w:rsid w:val="00617E9E"/>
    <w:rsid w:val="006200D4"/>
    <w:rsid w:val="006202E2"/>
    <w:rsid w:val="006204C2"/>
    <w:rsid w:val="00620E1B"/>
    <w:rsid w:val="00620E89"/>
    <w:rsid w:val="00620FE1"/>
    <w:rsid w:val="00622339"/>
    <w:rsid w:val="00622647"/>
    <w:rsid w:val="0062327A"/>
    <w:rsid w:val="0062449A"/>
    <w:rsid w:val="0062521E"/>
    <w:rsid w:val="0062522B"/>
    <w:rsid w:val="00626063"/>
    <w:rsid w:val="00630F3A"/>
    <w:rsid w:val="00631159"/>
    <w:rsid w:val="00631498"/>
    <w:rsid w:val="00632AE7"/>
    <w:rsid w:val="00632B2E"/>
    <w:rsid w:val="00632C84"/>
    <w:rsid w:val="0063400B"/>
    <w:rsid w:val="00634154"/>
    <w:rsid w:val="00636040"/>
    <w:rsid w:val="006363ED"/>
    <w:rsid w:val="00637A30"/>
    <w:rsid w:val="00641689"/>
    <w:rsid w:val="00641A9E"/>
    <w:rsid w:val="00642135"/>
    <w:rsid w:val="00643017"/>
    <w:rsid w:val="0064318F"/>
    <w:rsid w:val="006443B8"/>
    <w:rsid w:val="00644645"/>
    <w:rsid w:val="00645760"/>
    <w:rsid w:val="00645A3D"/>
    <w:rsid w:val="00645B0A"/>
    <w:rsid w:val="0064615E"/>
    <w:rsid w:val="0064726F"/>
    <w:rsid w:val="00652082"/>
    <w:rsid w:val="00652DF7"/>
    <w:rsid w:val="006535EC"/>
    <w:rsid w:val="00653728"/>
    <w:rsid w:val="00654A39"/>
    <w:rsid w:val="00654A67"/>
    <w:rsid w:val="0065514D"/>
    <w:rsid w:val="0065523B"/>
    <w:rsid w:val="0065551B"/>
    <w:rsid w:val="00655DB8"/>
    <w:rsid w:val="0065651D"/>
    <w:rsid w:val="00656E08"/>
    <w:rsid w:val="00656F88"/>
    <w:rsid w:val="00657BE5"/>
    <w:rsid w:val="006616F6"/>
    <w:rsid w:val="0066207D"/>
    <w:rsid w:val="00663C18"/>
    <w:rsid w:val="00664455"/>
    <w:rsid w:val="0066449D"/>
    <w:rsid w:val="006651CE"/>
    <w:rsid w:val="0066542A"/>
    <w:rsid w:val="00665941"/>
    <w:rsid w:val="006665A1"/>
    <w:rsid w:val="0066678A"/>
    <w:rsid w:val="00666EC9"/>
    <w:rsid w:val="006672D1"/>
    <w:rsid w:val="00670219"/>
    <w:rsid w:val="00670D21"/>
    <w:rsid w:val="006731BD"/>
    <w:rsid w:val="006733DB"/>
    <w:rsid w:val="00673860"/>
    <w:rsid w:val="00673874"/>
    <w:rsid w:val="0067438E"/>
    <w:rsid w:val="00675062"/>
    <w:rsid w:val="0067522D"/>
    <w:rsid w:val="006758DE"/>
    <w:rsid w:val="00676A52"/>
    <w:rsid w:val="00676B8B"/>
    <w:rsid w:val="00677A39"/>
    <w:rsid w:val="00677CE4"/>
    <w:rsid w:val="00680A6E"/>
    <w:rsid w:val="00681B63"/>
    <w:rsid w:val="00681B66"/>
    <w:rsid w:val="00682F72"/>
    <w:rsid w:val="00683074"/>
    <w:rsid w:val="00683DB7"/>
    <w:rsid w:val="00686A1E"/>
    <w:rsid w:val="006877AD"/>
    <w:rsid w:val="00687F23"/>
    <w:rsid w:val="006904FC"/>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8BC"/>
    <w:rsid w:val="006B2C44"/>
    <w:rsid w:val="006B4D52"/>
    <w:rsid w:val="006B51E4"/>
    <w:rsid w:val="006B57E6"/>
    <w:rsid w:val="006B68C0"/>
    <w:rsid w:val="006B6D77"/>
    <w:rsid w:val="006C179E"/>
    <w:rsid w:val="006C1EE6"/>
    <w:rsid w:val="006C329F"/>
    <w:rsid w:val="006C3714"/>
    <w:rsid w:val="006C6FB1"/>
    <w:rsid w:val="006D00C8"/>
    <w:rsid w:val="006D0163"/>
    <w:rsid w:val="006D0630"/>
    <w:rsid w:val="006D0D7B"/>
    <w:rsid w:val="006D2472"/>
    <w:rsid w:val="006D2A5A"/>
    <w:rsid w:val="006D5D29"/>
    <w:rsid w:val="006D5F86"/>
    <w:rsid w:val="006D6CAD"/>
    <w:rsid w:val="006D7746"/>
    <w:rsid w:val="006D7F8A"/>
    <w:rsid w:val="006E01B4"/>
    <w:rsid w:val="006E088F"/>
    <w:rsid w:val="006E112C"/>
    <w:rsid w:val="006E1F1F"/>
    <w:rsid w:val="006E26DF"/>
    <w:rsid w:val="006E3BF0"/>
    <w:rsid w:val="006E4061"/>
    <w:rsid w:val="006E4459"/>
    <w:rsid w:val="006E49EF"/>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489"/>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2E31"/>
    <w:rsid w:val="007142B5"/>
    <w:rsid w:val="00714AF3"/>
    <w:rsid w:val="007150A9"/>
    <w:rsid w:val="00715A66"/>
    <w:rsid w:val="00715BAA"/>
    <w:rsid w:val="00716AAD"/>
    <w:rsid w:val="00720387"/>
    <w:rsid w:val="00721270"/>
    <w:rsid w:val="0072141F"/>
    <w:rsid w:val="00721DA7"/>
    <w:rsid w:val="007226D1"/>
    <w:rsid w:val="00722B22"/>
    <w:rsid w:val="007233A5"/>
    <w:rsid w:val="00723443"/>
    <w:rsid w:val="00723603"/>
    <w:rsid w:val="00724391"/>
    <w:rsid w:val="0072491E"/>
    <w:rsid w:val="00724D45"/>
    <w:rsid w:val="007258D0"/>
    <w:rsid w:val="00725F26"/>
    <w:rsid w:val="00726A31"/>
    <w:rsid w:val="00726CC2"/>
    <w:rsid w:val="00727C17"/>
    <w:rsid w:val="00727DFA"/>
    <w:rsid w:val="0073022A"/>
    <w:rsid w:val="00730918"/>
    <w:rsid w:val="00731BD8"/>
    <w:rsid w:val="007324F6"/>
    <w:rsid w:val="0073308E"/>
    <w:rsid w:val="0073360D"/>
    <w:rsid w:val="007337E4"/>
    <w:rsid w:val="00733D0B"/>
    <w:rsid w:val="00734854"/>
    <w:rsid w:val="00736583"/>
    <w:rsid w:val="007371AC"/>
    <w:rsid w:val="007408F3"/>
    <w:rsid w:val="00743D03"/>
    <w:rsid w:val="00744896"/>
    <w:rsid w:val="00745913"/>
    <w:rsid w:val="007460B6"/>
    <w:rsid w:val="00746608"/>
    <w:rsid w:val="0075137D"/>
    <w:rsid w:val="0075376C"/>
    <w:rsid w:val="0075483A"/>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7034B"/>
    <w:rsid w:val="00770515"/>
    <w:rsid w:val="00770BA8"/>
    <w:rsid w:val="00771EEC"/>
    <w:rsid w:val="00772FFC"/>
    <w:rsid w:val="00776F17"/>
    <w:rsid w:val="00777137"/>
    <w:rsid w:val="007816A0"/>
    <w:rsid w:val="00781914"/>
    <w:rsid w:val="0078228A"/>
    <w:rsid w:val="007822D8"/>
    <w:rsid w:val="00782581"/>
    <w:rsid w:val="00782F4B"/>
    <w:rsid w:val="007834C6"/>
    <w:rsid w:val="00783BBE"/>
    <w:rsid w:val="00784F8E"/>
    <w:rsid w:val="00785E20"/>
    <w:rsid w:val="00790C82"/>
    <w:rsid w:val="0079200B"/>
    <w:rsid w:val="00793084"/>
    <w:rsid w:val="00793E15"/>
    <w:rsid w:val="00794234"/>
    <w:rsid w:val="007946DF"/>
    <w:rsid w:val="0079497C"/>
    <w:rsid w:val="00795985"/>
    <w:rsid w:val="0079648D"/>
    <w:rsid w:val="00797342"/>
    <w:rsid w:val="007A096F"/>
    <w:rsid w:val="007A11D7"/>
    <w:rsid w:val="007A17A2"/>
    <w:rsid w:val="007A2036"/>
    <w:rsid w:val="007A21F3"/>
    <w:rsid w:val="007A30AA"/>
    <w:rsid w:val="007A3330"/>
    <w:rsid w:val="007A35D6"/>
    <w:rsid w:val="007A3FC1"/>
    <w:rsid w:val="007A4158"/>
    <w:rsid w:val="007A6F6A"/>
    <w:rsid w:val="007A71C0"/>
    <w:rsid w:val="007A73ED"/>
    <w:rsid w:val="007A7E4E"/>
    <w:rsid w:val="007B05B2"/>
    <w:rsid w:val="007B06D3"/>
    <w:rsid w:val="007B10FF"/>
    <w:rsid w:val="007B191C"/>
    <w:rsid w:val="007B2090"/>
    <w:rsid w:val="007B313C"/>
    <w:rsid w:val="007B4B8D"/>
    <w:rsid w:val="007B4F8F"/>
    <w:rsid w:val="007B5072"/>
    <w:rsid w:val="007B6CCF"/>
    <w:rsid w:val="007C0733"/>
    <w:rsid w:val="007C10E8"/>
    <w:rsid w:val="007C11E2"/>
    <w:rsid w:val="007C1349"/>
    <w:rsid w:val="007C3452"/>
    <w:rsid w:val="007C35B9"/>
    <w:rsid w:val="007C48D4"/>
    <w:rsid w:val="007C6943"/>
    <w:rsid w:val="007C6C5E"/>
    <w:rsid w:val="007D04E4"/>
    <w:rsid w:val="007D4F67"/>
    <w:rsid w:val="007D502A"/>
    <w:rsid w:val="007D569A"/>
    <w:rsid w:val="007D742E"/>
    <w:rsid w:val="007D7A47"/>
    <w:rsid w:val="007E05F9"/>
    <w:rsid w:val="007E0860"/>
    <w:rsid w:val="007E0CBB"/>
    <w:rsid w:val="007E2461"/>
    <w:rsid w:val="007E3A93"/>
    <w:rsid w:val="007E3CA1"/>
    <w:rsid w:val="007E42CC"/>
    <w:rsid w:val="007E4F03"/>
    <w:rsid w:val="007E54AF"/>
    <w:rsid w:val="007E6061"/>
    <w:rsid w:val="007E6122"/>
    <w:rsid w:val="007E7255"/>
    <w:rsid w:val="007E72D2"/>
    <w:rsid w:val="007F2447"/>
    <w:rsid w:val="007F27FA"/>
    <w:rsid w:val="007F3919"/>
    <w:rsid w:val="007F513C"/>
    <w:rsid w:val="007F5369"/>
    <w:rsid w:val="007F5921"/>
    <w:rsid w:val="007F68E1"/>
    <w:rsid w:val="007F6933"/>
    <w:rsid w:val="007F6EE6"/>
    <w:rsid w:val="007F7DD6"/>
    <w:rsid w:val="00801684"/>
    <w:rsid w:val="00801B7D"/>
    <w:rsid w:val="00802FF3"/>
    <w:rsid w:val="0080303A"/>
    <w:rsid w:val="00803885"/>
    <w:rsid w:val="00804AC2"/>
    <w:rsid w:val="00804D5E"/>
    <w:rsid w:val="00805B5E"/>
    <w:rsid w:val="00807AFB"/>
    <w:rsid w:val="00810143"/>
    <w:rsid w:val="0081071B"/>
    <w:rsid w:val="008108EC"/>
    <w:rsid w:val="008114B2"/>
    <w:rsid w:val="00812154"/>
    <w:rsid w:val="00812351"/>
    <w:rsid w:val="008127C1"/>
    <w:rsid w:val="0081299C"/>
    <w:rsid w:val="00812D49"/>
    <w:rsid w:val="008157D2"/>
    <w:rsid w:val="00815B71"/>
    <w:rsid w:val="00816200"/>
    <w:rsid w:val="00817011"/>
    <w:rsid w:val="00820EA0"/>
    <w:rsid w:val="00820F09"/>
    <w:rsid w:val="00820F6E"/>
    <w:rsid w:val="00820F9F"/>
    <w:rsid w:val="00821C45"/>
    <w:rsid w:val="00822A33"/>
    <w:rsid w:val="00822CFA"/>
    <w:rsid w:val="0082301B"/>
    <w:rsid w:val="00823A1F"/>
    <w:rsid w:val="00824139"/>
    <w:rsid w:val="00824346"/>
    <w:rsid w:val="00824394"/>
    <w:rsid w:val="008243D3"/>
    <w:rsid w:val="008254B6"/>
    <w:rsid w:val="00825B90"/>
    <w:rsid w:val="00825FC4"/>
    <w:rsid w:val="00826CEE"/>
    <w:rsid w:val="00827822"/>
    <w:rsid w:val="008279A6"/>
    <w:rsid w:val="008279AC"/>
    <w:rsid w:val="00827AD7"/>
    <w:rsid w:val="00831F53"/>
    <w:rsid w:val="00832094"/>
    <w:rsid w:val="008325D3"/>
    <w:rsid w:val="00832962"/>
    <w:rsid w:val="00833404"/>
    <w:rsid w:val="00833BF5"/>
    <w:rsid w:val="00834051"/>
    <w:rsid w:val="00834305"/>
    <w:rsid w:val="00834874"/>
    <w:rsid w:val="00834EA4"/>
    <w:rsid w:val="00835770"/>
    <w:rsid w:val="00837728"/>
    <w:rsid w:val="0083779A"/>
    <w:rsid w:val="008404F1"/>
    <w:rsid w:val="008405A5"/>
    <w:rsid w:val="00841A46"/>
    <w:rsid w:val="00842B97"/>
    <w:rsid w:val="00842CF6"/>
    <w:rsid w:val="00844138"/>
    <w:rsid w:val="008441C6"/>
    <w:rsid w:val="00844C43"/>
    <w:rsid w:val="0084524A"/>
    <w:rsid w:val="0084570F"/>
    <w:rsid w:val="00845CA7"/>
    <w:rsid w:val="00846502"/>
    <w:rsid w:val="00846EFC"/>
    <w:rsid w:val="00847425"/>
    <w:rsid w:val="00847636"/>
    <w:rsid w:val="00850996"/>
    <w:rsid w:val="00851271"/>
    <w:rsid w:val="008535AB"/>
    <w:rsid w:val="0085429F"/>
    <w:rsid w:val="0085518B"/>
    <w:rsid w:val="00855601"/>
    <w:rsid w:val="00855868"/>
    <w:rsid w:val="00856C35"/>
    <w:rsid w:val="008600C6"/>
    <w:rsid w:val="00861449"/>
    <w:rsid w:val="00861C54"/>
    <w:rsid w:val="00861D3D"/>
    <w:rsid w:val="0086255A"/>
    <w:rsid w:val="00862D85"/>
    <w:rsid w:val="00862F6A"/>
    <w:rsid w:val="00863541"/>
    <w:rsid w:val="008639E4"/>
    <w:rsid w:val="00863D1A"/>
    <w:rsid w:val="008659E3"/>
    <w:rsid w:val="00866E70"/>
    <w:rsid w:val="0087154D"/>
    <w:rsid w:val="00871771"/>
    <w:rsid w:val="00871C72"/>
    <w:rsid w:val="008720A5"/>
    <w:rsid w:val="00873F41"/>
    <w:rsid w:val="008743B7"/>
    <w:rsid w:val="00875276"/>
    <w:rsid w:val="008768C5"/>
    <w:rsid w:val="00876F4B"/>
    <w:rsid w:val="00877225"/>
    <w:rsid w:val="00877320"/>
    <w:rsid w:val="00880B69"/>
    <w:rsid w:val="00880D5E"/>
    <w:rsid w:val="008818BC"/>
    <w:rsid w:val="00882704"/>
    <w:rsid w:val="008842A2"/>
    <w:rsid w:val="00884C45"/>
    <w:rsid w:val="00885843"/>
    <w:rsid w:val="00885DA3"/>
    <w:rsid w:val="00886321"/>
    <w:rsid w:val="00887703"/>
    <w:rsid w:val="00887B6F"/>
    <w:rsid w:val="0089044B"/>
    <w:rsid w:val="008911D1"/>
    <w:rsid w:val="008917F5"/>
    <w:rsid w:val="0089215D"/>
    <w:rsid w:val="008926AC"/>
    <w:rsid w:val="008931E4"/>
    <w:rsid w:val="0089350E"/>
    <w:rsid w:val="00893E68"/>
    <w:rsid w:val="00894E04"/>
    <w:rsid w:val="008956AB"/>
    <w:rsid w:val="00897261"/>
    <w:rsid w:val="00897B6E"/>
    <w:rsid w:val="00897E7E"/>
    <w:rsid w:val="008A3441"/>
    <w:rsid w:val="008A3901"/>
    <w:rsid w:val="008A6847"/>
    <w:rsid w:val="008A6C63"/>
    <w:rsid w:val="008A6CCB"/>
    <w:rsid w:val="008A7500"/>
    <w:rsid w:val="008A7A18"/>
    <w:rsid w:val="008A7BA2"/>
    <w:rsid w:val="008B0D56"/>
    <w:rsid w:val="008B1469"/>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3303"/>
    <w:rsid w:val="008C387F"/>
    <w:rsid w:val="008C420A"/>
    <w:rsid w:val="008C42F7"/>
    <w:rsid w:val="008C44E1"/>
    <w:rsid w:val="008C61AF"/>
    <w:rsid w:val="008C6A65"/>
    <w:rsid w:val="008C78E9"/>
    <w:rsid w:val="008C7BEA"/>
    <w:rsid w:val="008D0004"/>
    <w:rsid w:val="008D0990"/>
    <w:rsid w:val="008D0C5A"/>
    <w:rsid w:val="008D0F70"/>
    <w:rsid w:val="008D13F8"/>
    <w:rsid w:val="008D170F"/>
    <w:rsid w:val="008D3A2F"/>
    <w:rsid w:val="008D599E"/>
    <w:rsid w:val="008D5D65"/>
    <w:rsid w:val="008D6D00"/>
    <w:rsid w:val="008D7175"/>
    <w:rsid w:val="008D7FCD"/>
    <w:rsid w:val="008E0D9D"/>
    <w:rsid w:val="008E150C"/>
    <w:rsid w:val="008E1AD2"/>
    <w:rsid w:val="008E2EC7"/>
    <w:rsid w:val="008E4BDE"/>
    <w:rsid w:val="008E5000"/>
    <w:rsid w:val="008E5317"/>
    <w:rsid w:val="008E6865"/>
    <w:rsid w:val="008F0914"/>
    <w:rsid w:val="008F1420"/>
    <w:rsid w:val="008F23E3"/>
    <w:rsid w:val="008F2490"/>
    <w:rsid w:val="008F2885"/>
    <w:rsid w:val="008F3A78"/>
    <w:rsid w:val="008F3D09"/>
    <w:rsid w:val="008F439E"/>
    <w:rsid w:val="008F479D"/>
    <w:rsid w:val="008F5155"/>
    <w:rsid w:val="008F5DA5"/>
    <w:rsid w:val="008F726F"/>
    <w:rsid w:val="00901559"/>
    <w:rsid w:val="009019BE"/>
    <w:rsid w:val="00902273"/>
    <w:rsid w:val="00902C40"/>
    <w:rsid w:val="00903D6A"/>
    <w:rsid w:val="00903F25"/>
    <w:rsid w:val="009044C2"/>
    <w:rsid w:val="00904CBF"/>
    <w:rsid w:val="009051FF"/>
    <w:rsid w:val="0090534B"/>
    <w:rsid w:val="00906382"/>
    <w:rsid w:val="009072FB"/>
    <w:rsid w:val="00907E74"/>
    <w:rsid w:val="00907F22"/>
    <w:rsid w:val="00910370"/>
    <w:rsid w:val="0091257B"/>
    <w:rsid w:val="0091303F"/>
    <w:rsid w:val="00913A06"/>
    <w:rsid w:val="00913B5E"/>
    <w:rsid w:val="00914FD3"/>
    <w:rsid w:val="0091515D"/>
    <w:rsid w:val="00915884"/>
    <w:rsid w:val="00916F2F"/>
    <w:rsid w:val="009173A1"/>
    <w:rsid w:val="00921E27"/>
    <w:rsid w:val="009263DD"/>
    <w:rsid w:val="00926E67"/>
    <w:rsid w:val="0092797B"/>
    <w:rsid w:val="00927EE8"/>
    <w:rsid w:val="00932371"/>
    <w:rsid w:val="00933174"/>
    <w:rsid w:val="00933CF0"/>
    <w:rsid w:val="00934799"/>
    <w:rsid w:val="00935F3E"/>
    <w:rsid w:val="009404A5"/>
    <w:rsid w:val="00940ED3"/>
    <w:rsid w:val="00941EF8"/>
    <w:rsid w:val="00942256"/>
    <w:rsid w:val="00942F04"/>
    <w:rsid w:val="00943039"/>
    <w:rsid w:val="00945F2C"/>
    <w:rsid w:val="00946429"/>
    <w:rsid w:val="0094672C"/>
    <w:rsid w:val="0094688C"/>
    <w:rsid w:val="00946A0C"/>
    <w:rsid w:val="0094754A"/>
    <w:rsid w:val="00947A60"/>
    <w:rsid w:val="00947E69"/>
    <w:rsid w:val="00950FE0"/>
    <w:rsid w:val="00951971"/>
    <w:rsid w:val="0095221B"/>
    <w:rsid w:val="009527D7"/>
    <w:rsid w:val="009528DE"/>
    <w:rsid w:val="00953495"/>
    <w:rsid w:val="009542E8"/>
    <w:rsid w:val="009548D2"/>
    <w:rsid w:val="0095582D"/>
    <w:rsid w:val="00956AA7"/>
    <w:rsid w:val="00956D2A"/>
    <w:rsid w:val="00956EF3"/>
    <w:rsid w:val="00957EC5"/>
    <w:rsid w:val="00961063"/>
    <w:rsid w:val="009611F7"/>
    <w:rsid w:val="009614C3"/>
    <w:rsid w:val="0096202B"/>
    <w:rsid w:val="00962757"/>
    <w:rsid w:val="009629E0"/>
    <w:rsid w:val="00966FF8"/>
    <w:rsid w:val="009671DC"/>
    <w:rsid w:val="009672A9"/>
    <w:rsid w:val="009672C7"/>
    <w:rsid w:val="00970ADB"/>
    <w:rsid w:val="0097102B"/>
    <w:rsid w:val="009717B9"/>
    <w:rsid w:val="00971EAD"/>
    <w:rsid w:val="00972A77"/>
    <w:rsid w:val="00973240"/>
    <w:rsid w:val="00976F2F"/>
    <w:rsid w:val="009772D6"/>
    <w:rsid w:val="0097753F"/>
    <w:rsid w:val="00977831"/>
    <w:rsid w:val="00977B88"/>
    <w:rsid w:val="00980D88"/>
    <w:rsid w:val="00981910"/>
    <w:rsid w:val="00981AF1"/>
    <w:rsid w:val="009822F8"/>
    <w:rsid w:val="00982E58"/>
    <w:rsid w:val="0098375F"/>
    <w:rsid w:val="009837CA"/>
    <w:rsid w:val="00983D81"/>
    <w:rsid w:val="00983F31"/>
    <w:rsid w:val="00984505"/>
    <w:rsid w:val="00984E9D"/>
    <w:rsid w:val="0098566A"/>
    <w:rsid w:val="00985E91"/>
    <w:rsid w:val="0098675C"/>
    <w:rsid w:val="009867B5"/>
    <w:rsid w:val="009867EF"/>
    <w:rsid w:val="00990F6C"/>
    <w:rsid w:val="0099147E"/>
    <w:rsid w:val="00991831"/>
    <w:rsid w:val="00992C62"/>
    <w:rsid w:val="00992D82"/>
    <w:rsid w:val="0099359E"/>
    <w:rsid w:val="00994833"/>
    <w:rsid w:val="00994BE7"/>
    <w:rsid w:val="00995AA0"/>
    <w:rsid w:val="00995C5F"/>
    <w:rsid w:val="009962C7"/>
    <w:rsid w:val="00997221"/>
    <w:rsid w:val="00997BB4"/>
    <w:rsid w:val="009A04D0"/>
    <w:rsid w:val="009A0B5E"/>
    <w:rsid w:val="009A2629"/>
    <w:rsid w:val="009A2D2F"/>
    <w:rsid w:val="009A35EE"/>
    <w:rsid w:val="009A3767"/>
    <w:rsid w:val="009A376A"/>
    <w:rsid w:val="009A484E"/>
    <w:rsid w:val="009A4B58"/>
    <w:rsid w:val="009A4F65"/>
    <w:rsid w:val="009A6F2D"/>
    <w:rsid w:val="009A7352"/>
    <w:rsid w:val="009A74F0"/>
    <w:rsid w:val="009B0766"/>
    <w:rsid w:val="009B10E5"/>
    <w:rsid w:val="009B2E97"/>
    <w:rsid w:val="009B4F92"/>
    <w:rsid w:val="009B5287"/>
    <w:rsid w:val="009B5B5A"/>
    <w:rsid w:val="009B5E4B"/>
    <w:rsid w:val="009B634E"/>
    <w:rsid w:val="009B6706"/>
    <w:rsid w:val="009B67D0"/>
    <w:rsid w:val="009B75D2"/>
    <w:rsid w:val="009B7CA0"/>
    <w:rsid w:val="009C0999"/>
    <w:rsid w:val="009C0C6B"/>
    <w:rsid w:val="009C1C45"/>
    <w:rsid w:val="009C2404"/>
    <w:rsid w:val="009C2D98"/>
    <w:rsid w:val="009C3031"/>
    <w:rsid w:val="009C331C"/>
    <w:rsid w:val="009C3A03"/>
    <w:rsid w:val="009C45F2"/>
    <w:rsid w:val="009C4729"/>
    <w:rsid w:val="009C47DB"/>
    <w:rsid w:val="009C4F49"/>
    <w:rsid w:val="009C518B"/>
    <w:rsid w:val="009C5D61"/>
    <w:rsid w:val="009C5D83"/>
    <w:rsid w:val="009C66D9"/>
    <w:rsid w:val="009C6756"/>
    <w:rsid w:val="009C6E6E"/>
    <w:rsid w:val="009C739C"/>
    <w:rsid w:val="009C7593"/>
    <w:rsid w:val="009C780B"/>
    <w:rsid w:val="009C784E"/>
    <w:rsid w:val="009C79AC"/>
    <w:rsid w:val="009C7D0F"/>
    <w:rsid w:val="009C7EC6"/>
    <w:rsid w:val="009D0BB4"/>
    <w:rsid w:val="009D161F"/>
    <w:rsid w:val="009D1767"/>
    <w:rsid w:val="009D2888"/>
    <w:rsid w:val="009D3381"/>
    <w:rsid w:val="009D3675"/>
    <w:rsid w:val="009D3AB3"/>
    <w:rsid w:val="009D3EDA"/>
    <w:rsid w:val="009D5056"/>
    <w:rsid w:val="009D5313"/>
    <w:rsid w:val="009D5348"/>
    <w:rsid w:val="009D535C"/>
    <w:rsid w:val="009D5368"/>
    <w:rsid w:val="009D553E"/>
    <w:rsid w:val="009D7B86"/>
    <w:rsid w:val="009E07E7"/>
    <w:rsid w:val="009E1249"/>
    <w:rsid w:val="009E3137"/>
    <w:rsid w:val="009E3FF8"/>
    <w:rsid w:val="009E4DA6"/>
    <w:rsid w:val="009E7DE2"/>
    <w:rsid w:val="009F010A"/>
    <w:rsid w:val="009F0E95"/>
    <w:rsid w:val="009F122C"/>
    <w:rsid w:val="009F6834"/>
    <w:rsid w:val="009F7814"/>
    <w:rsid w:val="00A002BB"/>
    <w:rsid w:val="00A00857"/>
    <w:rsid w:val="00A0087F"/>
    <w:rsid w:val="00A01A1D"/>
    <w:rsid w:val="00A01BD7"/>
    <w:rsid w:val="00A01FAD"/>
    <w:rsid w:val="00A04CDF"/>
    <w:rsid w:val="00A0592B"/>
    <w:rsid w:val="00A05985"/>
    <w:rsid w:val="00A07508"/>
    <w:rsid w:val="00A104EA"/>
    <w:rsid w:val="00A1110C"/>
    <w:rsid w:val="00A11B6A"/>
    <w:rsid w:val="00A12158"/>
    <w:rsid w:val="00A12BB7"/>
    <w:rsid w:val="00A1357E"/>
    <w:rsid w:val="00A13C26"/>
    <w:rsid w:val="00A14D32"/>
    <w:rsid w:val="00A1638E"/>
    <w:rsid w:val="00A17238"/>
    <w:rsid w:val="00A17AC0"/>
    <w:rsid w:val="00A17D96"/>
    <w:rsid w:val="00A200F2"/>
    <w:rsid w:val="00A202BB"/>
    <w:rsid w:val="00A20585"/>
    <w:rsid w:val="00A21BE9"/>
    <w:rsid w:val="00A220D8"/>
    <w:rsid w:val="00A2299C"/>
    <w:rsid w:val="00A22FA6"/>
    <w:rsid w:val="00A23578"/>
    <w:rsid w:val="00A23793"/>
    <w:rsid w:val="00A24099"/>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368B8"/>
    <w:rsid w:val="00A404D5"/>
    <w:rsid w:val="00A407A2"/>
    <w:rsid w:val="00A4122B"/>
    <w:rsid w:val="00A41BCD"/>
    <w:rsid w:val="00A42157"/>
    <w:rsid w:val="00A43392"/>
    <w:rsid w:val="00A43766"/>
    <w:rsid w:val="00A43DDF"/>
    <w:rsid w:val="00A44733"/>
    <w:rsid w:val="00A45033"/>
    <w:rsid w:val="00A452B2"/>
    <w:rsid w:val="00A4592A"/>
    <w:rsid w:val="00A45A88"/>
    <w:rsid w:val="00A463A5"/>
    <w:rsid w:val="00A469EC"/>
    <w:rsid w:val="00A46BC9"/>
    <w:rsid w:val="00A5344D"/>
    <w:rsid w:val="00A534E4"/>
    <w:rsid w:val="00A5553A"/>
    <w:rsid w:val="00A55592"/>
    <w:rsid w:val="00A55F8A"/>
    <w:rsid w:val="00A574EC"/>
    <w:rsid w:val="00A57ACE"/>
    <w:rsid w:val="00A603A5"/>
    <w:rsid w:val="00A61012"/>
    <w:rsid w:val="00A62A4B"/>
    <w:rsid w:val="00A62BD3"/>
    <w:rsid w:val="00A647A9"/>
    <w:rsid w:val="00A650EE"/>
    <w:rsid w:val="00A65582"/>
    <w:rsid w:val="00A6578E"/>
    <w:rsid w:val="00A67031"/>
    <w:rsid w:val="00A67A22"/>
    <w:rsid w:val="00A701AD"/>
    <w:rsid w:val="00A722FC"/>
    <w:rsid w:val="00A74B84"/>
    <w:rsid w:val="00A750EF"/>
    <w:rsid w:val="00A76111"/>
    <w:rsid w:val="00A76F01"/>
    <w:rsid w:val="00A77147"/>
    <w:rsid w:val="00A803BE"/>
    <w:rsid w:val="00A81A8F"/>
    <w:rsid w:val="00A81D63"/>
    <w:rsid w:val="00A81F92"/>
    <w:rsid w:val="00A83382"/>
    <w:rsid w:val="00A845F8"/>
    <w:rsid w:val="00A84931"/>
    <w:rsid w:val="00A85224"/>
    <w:rsid w:val="00A85A4A"/>
    <w:rsid w:val="00A85A56"/>
    <w:rsid w:val="00A85DD1"/>
    <w:rsid w:val="00A8615E"/>
    <w:rsid w:val="00A866E6"/>
    <w:rsid w:val="00A86AE8"/>
    <w:rsid w:val="00A90188"/>
    <w:rsid w:val="00A901F5"/>
    <w:rsid w:val="00A90EA1"/>
    <w:rsid w:val="00A91310"/>
    <w:rsid w:val="00A921DF"/>
    <w:rsid w:val="00A92265"/>
    <w:rsid w:val="00A92725"/>
    <w:rsid w:val="00A92AC6"/>
    <w:rsid w:val="00A93531"/>
    <w:rsid w:val="00A939B8"/>
    <w:rsid w:val="00A96440"/>
    <w:rsid w:val="00A967B1"/>
    <w:rsid w:val="00A97DD5"/>
    <w:rsid w:val="00A97DE8"/>
    <w:rsid w:val="00AA03F8"/>
    <w:rsid w:val="00AA0B63"/>
    <w:rsid w:val="00AA0C94"/>
    <w:rsid w:val="00AA1425"/>
    <w:rsid w:val="00AA19A9"/>
    <w:rsid w:val="00AA21AB"/>
    <w:rsid w:val="00AA293A"/>
    <w:rsid w:val="00AA37E5"/>
    <w:rsid w:val="00AA39C3"/>
    <w:rsid w:val="00AA4960"/>
    <w:rsid w:val="00AA5019"/>
    <w:rsid w:val="00AA522A"/>
    <w:rsid w:val="00AA5B79"/>
    <w:rsid w:val="00AA6A9A"/>
    <w:rsid w:val="00AB342A"/>
    <w:rsid w:val="00AB36E6"/>
    <w:rsid w:val="00AB4813"/>
    <w:rsid w:val="00AB498F"/>
    <w:rsid w:val="00AB6B86"/>
    <w:rsid w:val="00AB6CC5"/>
    <w:rsid w:val="00AB6FC8"/>
    <w:rsid w:val="00AB7E49"/>
    <w:rsid w:val="00AC0A61"/>
    <w:rsid w:val="00AC0D5F"/>
    <w:rsid w:val="00AC1A08"/>
    <w:rsid w:val="00AC3CE8"/>
    <w:rsid w:val="00AC426B"/>
    <w:rsid w:val="00AC436E"/>
    <w:rsid w:val="00AC45F7"/>
    <w:rsid w:val="00AC5D72"/>
    <w:rsid w:val="00AC746B"/>
    <w:rsid w:val="00AC7CFA"/>
    <w:rsid w:val="00AD0390"/>
    <w:rsid w:val="00AD2246"/>
    <w:rsid w:val="00AD2BCF"/>
    <w:rsid w:val="00AD2DC3"/>
    <w:rsid w:val="00AD4CEF"/>
    <w:rsid w:val="00AD7D90"/>
    <w:rsid w:val="00AE0210"/>
    <w:rsid w:val="00AE0C3F"/>
    <w:rsid w:val="00AE1547"/>
    <w:rsid w:val="00AE4A3B"/>
    <w:rsid w:val="00AE4BB8"/>
    <w:rsid w:val="00AE6F04"/>
    <w:rsid w:val="00AE7854"/>
    <w:rsid w:val="00AE7922"/>
    <w:rsid w:val="00AF042E"/>
    <w:rsid w:val="00AF08E7"/>
    <w:rsid w:val="00AF0D06"/>
    <w:rsid w:val="00AF101D"/>
    <w:rsid w:val="00AF18A3"/>
    <w:rsid w:val="00AF2338"/>
    <w:rsid w:val="00AF355F"/>
    <w:rsid w:val="00AF389D"/>
    <w:rsid w:val="00AF57D4"/>
    <w:rsid w:val="00B02FC9"/>
    <w:rsid w:val="00B03D00"/>
    <w:rsid w:val="00B03D5D"/>
    <w:rsid w:val="00B0429F"/>
    <w:rsid w:val="00B04D17"/>
    <w:rsid w:val="00B05456"/>
    <w:rsid w:val="00B05B02"/>
    <w:rsid w:val="00B05E0A"/>
    <w:rsid w:val="00B06612"/>
    <w:rsid w:val="00B06C94"/>
    <w:rsid w:val="00B075B1"/>
    <w:rsid w:val="00B10966"/>
    <w:rsid w:val="00B11E2E"/>
    <w:rsid w:val="00B11ED8"/>
    <w:rsid w:val="00B13805"/>
    <w:rsid w:val="00B14ABA"/>
    <w:rsid w:val="00B14E37"/>
    <w:rsid w:val="00B151B1"/>
    <w:rsid w:val="00B1527D"/>
    <w:rsid w:val="00B152E3"/>
    <w:rsid w:val="00B15573"/>
    <w:rsid w:val="00B157C9"/>
    <w:rsid w:val="00B15A8B"/>
    <w:rsid w:val="00B163BF"/>
    <w:rsid w:val="00B16AB3"/>
    <w:rsid w:val="00B16D6A"/>
    <w:rsid w:val="00B1755A"/>
    <w:rsid w:val="00B2074F"/>
    <w:rsid w:val="00B20BFE"/>
    <w:rsid w:val="00B2125D"/>
    <w:rsid w:val="00B21289"/>
    <w:rsid w:val="00B23A4D"/>
    <w:rsid w:val="00B243A9"/>
    <w:rsid w:val="00B25943"/>
    <w:rsid w:val="00B25A32"/>
    <w:rsid w:val="00B25D14"/>
    <w:rsid w:val="00B267A4"/>
    <w:rsid w:val="00B270E9"/>
    <w:rsid w:val="00B27304"/>
    <w:rsid w:val="00B2758B"/>
    <w:rsid w:val="00B27F62"/>
    <w:rsid w:val="00B307EF"/>
    <w:rsid w:val="00B3183C"/>
    <w:rsid w:val="00B31D77"/>
    <w:rsid w:val="00B320D8"/>
    <w:rsid w:val="00B32414"/>
    <w:rsid w:val="00B329B4"/>
    <w:rsid w:val="00B3400E"/>
    <w:rsid w:val="00B34A2B"/>
    <w:rsid w:val="00B35366"/>
    <w:rsid w:val="00B3648E"/>
    <w:rsid w:val="00B408C0"/>
    <w:rsid w:val="00B40D72"/>
    <w:rsid w:val="00B40E13"/>
    <w:rsid w:val="00B41368"/>
    <w:rsid w:val="00B4328E"/>
    <w:rsid w:val="00B476AE"/>
    <w:rsid w:val="00B47C02"/>
    <w:rsid w:val="00B53816"/>
    <w:rsid w:val="00B543F5"/>
    <w:rsid w:val="00B548CE"/>
    <w:rsid w:val="00B55491"/>
    <w:rsid w:val="00B55CEE"/>
    <w:rsid w:val="00B56608"/>
    <w:rsid w:val="00B56FE3"/>
    <w:rsid w:val="00B5790C"/>
    <w:rsid w:val="00B57E76"/>
    <w:rsid w:val="00B60EC5"/>
    <w:rsid w:val="00B613C7"/>
    <w:rsid w:val="00B62E14"/>
    <w:rsid w:val="00B63A81"/>
    <w:rsid w:val="00B64083"/>
    <w:rsid w:val="00B64318"/>
    <w:rsid w:val="00B64324"/>
    <w:rsid w:val="00B65D7A"/>
    <w:rsid w:val="00B65DAB"/>
    <w:rsid w:val="00B65E0E"/>
    <w:rsid w:val="00B65F08"/>
    <w:rsid w:val="00B66876"/>
    <w:rsid w:val="00B66DDA"/>
    <w:rsid w:val="00B67BB0"/>
    <w:rsid w:val="00B704F3"/>
    <w:rsid w:val="00B70699"/>
    <w:rsid w:val="00B70E4D"/>
    <w:rsid w:val="00B71076"/>
    <w:rsid w:val="00B73A1F"/>
    <w:rsid w:val="00B740FF"/>
    <w:rsid w:val="00B74AAA"/>
    <w:rsid w:val="00B74BCC"/>
    <w:rsid w:val="00B7530F"/>
    <w:rsid w:val="00B76F0D"/>
    <w:rsid w:val="00B7736F"/>
    <w:rsid w:val="00B77CAB"/>
    <w:rsid w:val="00B77F6C"/>
    <w:rsid w:val="00B81338"/>
    <w:rsid w:val="00B81A17"/>
    <w:rsid w:val="00B81A88"/>
    <w:rsid w:val="00B82682"/>
    <w:rsid w:val="00B82FC2"/>
    <w:rsid w:val="00B859D7"/>
    <w:rsid w:val="00B86116"/>
    <w:rsid w:val="00B865AA"/>
    <w:rsid w:val="00B86769"/>
    <w:rsid w:val="00B87ADF"/>
    <w:rsid w:val="00B910EA"/>
    <w:rsid w:val="00B9172E"/>
    <w:rsid w:val="00B91764"/>
    <w:rsid w:val="00B919F8"/>
    <w:rsid w:val="00B91EAF"/>
    <w:rsid w:val="00B92BF5"/>
    <w:rsid w:val="00B93884"/>
    <w:rsid w:val="00B93CEA"/>
    <w:rsid w:val="00B9411F"/>
    <w:rsid w:val="00B94E45"/>
    <w:rsid w:val="00B94F76"/>
    <w:rsid w:val="00B95829"/>
    <w:rsid w:val="00B96790"/>
    <w:rsid w:val="00B9747C"/>
    <w:rsid w:val="00B97E84"/>
    <w:rsid w:val="00BA0E31"/>
    <w:rsid w:val="00BA11F7"/>
    <w:rsid w:val="00BA1FC0"/>
    <w:rsid w:val="00BA2E58"/>
    <w:rsid w:val="00BA3777"/>
    <w:rsid w:val="00BA4C37"/>
    <w:rsid w:val="00BA582E"/>
    <w:rsid w:val="00BA784D"/>
    <w:rsid w:val="00BB105E"/>
    <w:rsid w:val="00BB12A0"/>
    <w:rsid w:val="00BB2590"/>
    <w:rsid w:val="00BB2DA4"/>
    <w:rsid w:val="00BB3B43"/>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5C52"/>
    <w:rsid w:val="00BC62A2"/>
    <w:rsid w:val="00BD0425"/>
    <w:rsid w:val="00BD095A"/>
    <w:rsid w:val="00BD0A0A"/>
    <w:rsid w:val="00BD1B82"/>
    <w:rsid w:val="00BD4B11"/>
    <w:rsid w:val="00BD4B6B"/>
    <w:rsid w:val="00BD5E42"/>
    <w:rsid w:val="00BD7766"/>
    <w:rsid w:val="00BE0194"/>
    <w:rsid w:val="00BE042F"/>
    <w:rsid w:val="00BE0B26"/>
    <w:rsid w:val="00BE169E"/>
    <w:rsid w:val="00BE20A3"/>
    <w:rsid w:val="00BE27C3"/>
    <w:rsid w:val="00BE413A"/>
    <w:rsid w:val="00BE51E8"/>
    <w:rsid w:val="00BE67A0"/>
    <w:rsid w:val="00BE6ABC"/>
    <w:rsid w:val="00BE6DBF"/>
    <w:rsid w:val="00BE7A53"/>
    <w:rsid w:val="00BF00BA"/>
    <w:rsid w:val="00BF00F3"/>
    <w:rsid w:val="00BF0D7D"/>
    <w:rsid w:val="00BF1084"/>
    <w:rsid w:val="00BF20E4"/>
    <w:rsid w:val="00BF24C9"/>
    <w:rsid w:val="00BF46AE"/>
    <w:rsid w:val="00BF5245"/>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941"/>
    <w:rsid w:val="00C10E48"/>
    <w:rsid w:val="00C10E76"/>
    <w:rsid w:val="00C11C6A"/>
    <w:rsid w:val="00C1443B"/>
    <w:rsid w:val="00C1449D"/>
    <w:rsid w:val="00C1461F"/>
    <w:rsid w:val="00C153D4"/>
    <w:rsid w:val="00C16834"/>
    <w:rsid w:val="00C16939"/>
    <w:rsid w:val="00C16E9D"/>
    <w:rsid w:val="00C20B36"/>
    <w:rsid w:val="00C21227"/>
    <w:rsid w:val="00C2140B"/>
    <w:rsid w:val="00C224A2"/>
    <w:rsid w:val="00C22598"/>
    <w:rsid w:val="00C23138"/>
    <w:rsid w:val="00C23B79"/>
    <w:rsid w:val="00C24531"/>
    <w:rsid w:val="00C24915"/>
    <w:rsid w:val="00C24B46"/>
    <w:rsid w:val="00C26EA8"/>
    <w:rsid w:val="00C273B2"/>
    <w:rsid w:val="00C27CC0"/>
    <w:rsid w:val="00C27F19"/>
    <w:rsid w:val="00C303FB"/>
    <w:rsid w:val="00C30B34"/>
    <w:rsid w:val="00C33A64"/>
    <w:rsid w:val="00C33C2D"/>
    <w:rsid w:val="00C33C6D"/>
    <w:rsid w:val="00C34BD9"/>
    <w:rsid w:val="00C35CF8"/>
    <w:rsid w:val="00C367E1"/>
    <w:rsid w:val="00C37233"/>
    <w:rsid w:val="00C37E08"/>
    <w:rsid w:val="00C42932"/>
    <w:rsid w:val="00C43C21"/>
    <w:rsid w:val="00C442CF"/>
    <w:rsid w:val="00C4602B"/>
    <w:rsid w:val="00C47595"/>
    <w:rsid w:val="00C47C6E"/>
    <w:rsid w:val="00C47E2A"/>
    <w:rsid w:val="00C50024"/>
    <w:rsid w:val="00C50140"/>
    <w:rsid w:val="00C507CE"/>
    <w:rsid w:val="00C51A91"/>
    <w:rsid w:val="00C51B29"/>
    <w:rsid w:val="00C52316"/>
    <w:rsid w:val="00C52C6B"/>
    <w:rsid w:val="00C54926"/>
    <w:rsid w:val="00C5571A"/>
    <w:rsid w:val="00C5591F"/>
    <w:rsid w:val="00C55979"/>
    <w:rsid w:val="00C563F6"/>
    <w:rsid w:val="00C56761"/>
    <w:rsid w:val="00C56B78"/>
    <w:rsid w:val="00C57A30"/>
    <w:rsid w:val="00C6005C"/>
    <w:rsid w:val="00C616F9"/>
    <w:rsid w:val="00C628EE"/>
    <w:rsid w:val="00C62F39"/>
    <w:rsid w:val="00C634F1"/>
    <w:rsid w:val="00C63FB0"/>
    <w:rsid w:val="00C66B5F"/>
    <w:rsid w:val="00C7022E"/>
    <w:rsid w:val="00C70E00"/>
    <w:rsid w:val="00C71F3C"/>
    <w:rsid w:val="00C7213D"/>
    <w:rsid w:val="00C72534"/>
    <w:rsid w:val="00C726FA"/>
    <w:rsid w:val="00C72E00"/>
    <w:rsid w:val="00C73679"/>
    <w:rsid w:val="00C740C4"/>
    <w:rsid w:val="00C7447A"/>
    <w:rsid w:val="00C7453C"/>
    <w:rsid w:val="00C749D9"/>
    <w:rsid w:val="00C76960"/>
    <w:rsid w:val="00C76C90"/>
    <w:rsid w:val="00C811FC"/>
    <w:rsid w:val="00C815E3"/>
    <w:rsid w:val="00C8318E"/>
    <w:rsid w:val="00C84158"/>
    <w:rsid w:val="00C8452B"/>
    <w:rsid w:val="00C849E7"/>
    <w:rsid w:val="00C84E60"/>
    <w:rsid w:val="00C8606A"/>
    <w:rsid w:val="00C861B7"/>
    <w:rsid w:val="00C872F0"/>
    <w:rsid w:val="00C87740"/>
    <w:rsid w:val="00C91039"/>
    <w:rsid w:val="00C91BDE"/>
    <w:rsid w:val="00C93F6A"/>
    <w:rsid w:val="00C9407C"/>
    <w:rsid w:val="00C94273"/>
    <w:rsid w:val="00C94B3F"/>
    <w:rsid w:val="00C95993"/>
    <w:rsid w:val="00C95AD7"/>
    <w:rsid w:val="00C973A5"/>
    <w:rsid w:val="00CA2985"/>
    <w:rsid w:val="00CA320E"/>
    <w:rsid w:val="00CA3A64"/>
    <w:rsid w:val="00CA4B53"/>
    <w:rsid w:val="00CA52D7"/>
    <w:rsid w:val="00CA5AE0"/>
    <w:rsid w:val="00CA6525"/>
    <w:rsid w:val="00CA7D84"/>
    <w:rsid w:val="00CB1B6A"/>
    <w:rsid w:val="00CB2537"/>
    <w:rsid w:val="00CB31C3"/>
    <w:rsid w:val="00CB32AF"/>
    <w:rsid w:val="00CB37E7"/>
    <w:rsid w:val="00CB42A3"/>
    <w:rsid w:val="00CB506E"/>
    <w:rsid w:val="00CB52C9"/>
    <w:rsid w:val="00CB6702"/>
    <w:rsid w:val="00CB6A92"/>
    <w:rsid w:val="00CB708C"/>
    <w:rsid w:val="00CC0A56"/>
    <w:rsid w:val="00CC194C"/>
    <w:rsid w:val="00CC26B7"/>
    <w:rsid w:val="00CC2C85"/>
    <w:rsid w:val="00CC46CE"/>
    <w:rsid w:val="00CC5297"/>
    <w:rsid w:val="00CC56EE"/>
    <w:rsid w:val="00CC7321"/>
    <w:rsid w:val="00CC7FE1"/>
    <w:rsid w:val="00CD011A"/>
    <w:rsid w:val="00CD086D"/>
    <w:rsid w:val="00CD0C9B"/>
    <w:rsid w:val="00CD0E26"/>
    <w:rsid w:val="00CD1300"/>
    <w:rsid w:val="00CD1369"/>
    <w:rsid w:val="00CD28DC"/>
    <w:rsid w:val="00CD2ADC"/>
    <w:rsid w:val="00CD34B3"/>
    <w:rsid w:val="00CD3705"/>
    <w:rsid w:val="00CD3835"/>
    <w:rsid w:val="00CD494E"/>
    <w:rsid w:val="00CD4C6A"/>
    <w:rsid w:val="00CD4F43"/>
    <w:rsid w:val="00CD4F75"/>
    <w:rsid w:val="00CD685F"/>
    <w:rsid w:val="00CD7558"/>
    <w:rsid w:val="00CD75D8"/>
    <w:rsid w:val="00CD77C0"/>
    <w:rsid w:val="00CE0140"/>
    <w:rsid w:val="00CE094A"/>
    <w:rsid w:val="00CE1247"/>
    <w:rsid w:val="00CE2F52"/>
    <w:rsid w:val="00CE3313"/>
    <w:rsid w:val="00CE4683"/>
    <w:rsid w:val="00CE48C8"/>
    <w:rsid w:val="00CE58D7"/>
    <w:rsid w:val="00CE5C01"/>
    <w:rsid w:val="00CE638A"/>
    <w:rsid w:val="00CE674B"/>
    <w:rsid w:val="00CF1A2E"/>
    <w:rsid w:val="00CF1A45"/>
    <w:rsid w:val="00CF1A9B"/>
    <w:rsid w:val="00CF2C9C"/>
    <w:rsid w:val="00CF3C35"/>
    <w:rsid w:val="00CF4BCD"/>
    <w:rsid w:val="00CF4F30"/>
    <w:rsid w:val="00CF6F3C"/>
    <w:rsid w:val="00D0127D"/>
    <w:rsid w:val="00D01B29"/>
    <w:rsid w:val="00D02173"/>
    <w:rsid w:val="00D02E1B"/>
    <w:rsid w:val="00D03252"/>
    <w:rsid w:val="00D03CD7"/>
    <w:rsid w:val="00D043C8"/>
    <w:rsid w:val="00D04C7A"/>
    <w:rsid w:val="00D06481"/>
    <w:rsid w:val="00D0663A"/>
    <w:rsid w:val="00D067A6"/>
    <w:rsid w:val="00D075D6"/>
    <w:rsid w:val="00D07700"/>
    <w:rsid w:val="00D10EEE"/>
    <w:rsid w:val="00D111C4"/>
    <w:rsid w:val="00D113F7"/>
    <w:rsid w:val="00D116AB"/>
    <w:rsid w:val="00D1310F"/>
    <w:rsid w:val="00D14AEB"/>
    <w:rsid w:val="00D15C02"/>
    <w:rsid w:val="00D16161"/>
    <w:rsid w:val="00D16954"/>
    <w:rsid w:val="00D16F81"/>
    <w:rsid w:val="00D17983"/>
    <w:rsid w:val="00D17998"/>
    <w:rsid w:val="00D20311"/>
    <w:rsid w:val="00D20405"/>
    <w:rsid w:val="00D212D8"/>
    <w:rsid w:val="00D224B7"/>
    <w:rsid w:val="00D23D86"/>
    <w:rsid w:val="00D23F89"/>
    <w:rsid w:val="00D24175"/>
    <w:rsid w:val="00D24531"/>
    <w:rsid w:val="00D24AA1"/>
    <w:rsid w:val="00D24C67"/>
    <w:rsid w:val="00D251CB"/>
    <w:rsid w:val="00D26F3E"/>
    <w:rsid w:val="00D279EF"/>
    <w:rsid w:val="00D27FBA"/>
    <w:rsid w:val="00D3004C"/>
    <w:rsid w:val="00D303B9"/>
    <w:rsid w:val="00D303E5"/>
    <w:rsid w:val="00D316F8"/>
    <w:rsid w:val="00D326C2"/>
    <w:rsid w:val="00D329B6"/>
    <w:rsid w:val="00D3311D"/>
    <w:rsid w:val="00D347C6"/>
    <w:rsid w:val="00D34A40"/>
    <w:rsid w:val="00D35465"/>
    <w:rsid w:val="00D35BED"/>
    <w:rsid w:val="00D36BC6"/>
    <w:rsid w:val="00D373E2"/>
    <w:rsid w:val="00D40FC0"/>
    <w:rsid w:val="00D41019"/>
    <w:rsid w:val="00D42340"/>
    <w:rsid w:val="00D42774"/>
    <w:rsid w:val="00D448BD"/>
    <w:rsid w:val="00D45881"/>
    <w:rsid w:val="00D45B25"/>
    <w:rsid w:val="00D45D6E"/>
    <w:rsid w:val="00D4696C"/>
    <w:rsid w:val="00D50A05"/>
    <w:rsid w:val="00D51384"/>
    <w:rsid w:val="00D51DF1"/>
    <w:rsid w:val="00D52060"/>
    <w:rsid w:val="00D528BD"/>
    <w:rsid w:val="00D52F12"/>
    <w:rsid w:val="00D538EC"/>
    <w:rsid w:val="00D53CA3"/>
    <w:rsid w:val="00D540D7"/>
    <w:rsid w:val="00D54E7D"/>
    <w:rsid w:val="00D56AFB"/>
    <w:rsid w:val="00D56C41"/>
    <w:rsid w:val="00D60CCF"/>
    <w:rsid w:val="00D61D6A"/>
    <w:rsid w:val="00D623CE"/>
    <w:rsid w:val="00D62A70"/>
    <w:rsid w:val="00D62E18"/>
    <w:rsid w:val="00D6421F"/>
    <w:rsid w:val="00D649A6"/>
    <w:rsid w:val="00D64C83"/>
    <w:rsid w:val="00D64D21"/>
    <w:rsid w:val="00D6552D"/>
    <w:rsid w:val="00D655D6"/>
    <w:rsid w:val="00D6593A"/>
    <w:rsid w:val="00D65D66"/>
    <w:rsid w:val="00D66078"/>
    <w:rsid w:val="00D66C57"/>
    <w:rsid w:val="00D6772C"/>
    <w:rsid w:val="00D6774C"/>
    <w:rsid w:val="00D677EE"/>
    <w:rsid w:val="00D67A48"/>
    <w:rsid w:val="00D67FD2"/>
    <w:rsid w:val="00D7020E"/>
    <w:rsid w:val="00D711D6"/>
    <w:rsid w:val="00D71808"/>
    <w:rsid w:val="00D71A24"/>
    <w:rsid w:val="00D72EEC"/>
    <w:rsid w:val="00D73AC1"/>
    <w:rsid w:val="00D74F21"/>
    <w:rsid w:val="00D77EB7"/>
    <w:rsid w:val="00D803AB"/>
    <w:rsid w:val="00D818FD"/>
    <w:rsid w:val="00D8299A"/>
    <w:rsid w:val="00D82BE0"/>
    <w:rsid w:val="00D836EF"/>
    <w:rsid w:val="00D83B1F"/>
    <w:rsid w:val="00D83ED2"/>
    <w:rsid w:val="00D849E4"/>
    <w:rsid w:val="00D84FF1"/>
    <w:rsid w:val="00D861FD"/>
    <w:rsid w:val="00D867D1"/>
    <w:rsid w:val="00D86BCC"/>
    <w:rsid w:val="00D87EC1"/>
    <w:rsid w:val="00D90ABB"/>
    <w:rsid w:val="00D91252"/>
    <w:rsid w:val="00D91BA1"/>
    <w:rsid w:val="00D91E14"/>
    <w:rsid w:val="00D92C9C"/>
    <w:rsid w:val="00D9307B"/>
    <w:rsid w:val="00D93587"/>
    <w:rsid w:val="00D93B8B"/>
    <w:rsid w:val="00D93BDE"/>
    <w:rsid w:val="00D94035"/>
    <w:rsid w:val="00D940BE"/>
    <w:rsid w:val="00D94330"/>
    <w:rsid w:val="00D944F4"/>
    <w:rsid w:val="00D945E5"/>
    <w:rsid w:val="00D975CC"/>
    <w:rsid w:val="00D975DA"/>
    <w:rsid w:val="00D97B52"/>
    <w:rsid w:val="00D97ED7"/>
    <w:rsid w:val="00DA003A"/>
    <w:rsid w:val="00DA0058"/>
    <w:rsid w:val="00DA0325"/>
    <w:rsid w:val="00DA04FD"/>
    <w:rsid w:val="00DA1039"/>
    <w:rsid w:val="00DA19E6"/>
    <w:rsid w:val="00DA1A7E"/>
    <w:rsid w:val="00DA21AE"/>
    <w:rsid w:val="00DA2364"/>
    <w:rsid w:val="00DA3170"/>
    <w:rsid w:val="00DA48BF"/>
    <w:rsid w:val="00DA5563"/>
    <w:rsid w:val="00DA75A3"/>
    <w:rsid w:val="00DA768F"/>
    <w:rsid w:val="00DA7BFB"/>
    <w:rsid w:val="00DB11A2"/>
    <w:rsid w:val="00DB15E0"/>
    <w:rsid w:val="00DB23EE"/>
    <w:rsid w:val="00DB251B"/>
    <w:rsid w:val="00DB3188"/>
    <w:rsid w:val="00DB4480"/>
    <w:rsid w:val="00DB4720"/>
    <w:rsid w:val="00DB4E3A"/>
    <w:rsid w:val="00DB4E7F"/>
    <w:rsid w:val="00DB5D3B"/>
    <w:rsid w:val="00DB601B"/>
    <w:rsid w:val="00DB6673"/>
    <w:rsid w:val="00DB6E31"/>
    <w:rsid w:val="00DC1CF6"/>
    <w:rsid w:val="00DC274E"/>
    <w:rsid w:val="00DC2B31"/>
    <w:rsid w:val="00DC2C02"/>
    <w:rsid w:val="00DC3684"/>
    <w:rsid w:val="00DC3813"/>
    <w:rsid w:val="00DC3F64"/>
    <w:rsid w:val="00DC4922"/>
    <w:rsid w:val="00DC6E0D"/>
    <w:rsid w:val="00DC702D"/>
    <w:rsid w:val="00DC77CA"/>
    <w:rsid w:val="00DD0557"/>
    <w:rsid w:val="00DD13F2"/>
    <w:rsid w:val="00DD1CCB"/>
    <w:rsid w:val="00DD3943"/>
    <w:rsid w:val="00DD5721"/>
    <w:rsid w:val="00DD5802"/>
    <w:rsid w:val="00DD59AF"/>
    <w:rsid w:val="00DD63B9"/>
    <w:rsid w:val="00DD6477"/>
    <w:rsid w:val="00DE1688"/>
    <w:rsid w:val="00DE1E71"/>
    <w:rsid w:val="00DE2CB6"/>
    <w:rsid w:val="00DE31A2"/>
    <w:rsid w:val="00DE4067"/>
    <w:rsid w:val="00DE4B9A"/>
    <w:rsid w:val="00DE5736"/>
    <w:rsid w:val="00DE5DCA"/>
    <w:rsid w:val="00DE6D56"/>
    <w:rsid w:val="00DE759B"/>
    <w:rsid w:val="00DF0255"/>
    <w:rsid w:val="00DF0795"/>
    <w:rsid w:val="00DF3FD5"/>
    <w:rsid w:val="00DF4B0D"/>
    <w:rsid w:val="00DF4CCD"/>
    <w:rsid w:val="00DF5729"/>
    <w:rsid w:val="00DF622C"/>
    <w:rsid w:val="00DF74C1"/>
    <w:rsid w:val="00DF7E5C"/>
    <w:rsid w:val="00E0033E"/>
    <w:rsid w:val="00E00BCC"/>
    <w:rsid w:val="00E0132B"/>
    <w:rsid w:val="00E02167"/>
    <w:rsid w:val="00E0227D"/>
    <w:rsid w:val="00E027E3"/>
    <w:rsid w:val="00E02F45"/>
    <w:rsid w:val="00E03646"/>
    <w:rsid w:val="00E03839"/>
    <w:rsid w:val="00E03E7B"/>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C15"/>
    <w:rsid w:val="00E1785C"/>
    <w:rsid w:val="00E200E0"/>
    <w:rsid w:val="00E2039C"/>
    <w:rsid w:val="00E21732"/>
    <w:rsid w:val="00E218FB"/>
    <w:rsid w:val="00E2190F"/>
    <w:rsid w:val="00E2199A"/>
    <w:rsid w:val="00E224DC"/>
    <w:rsid w:val="00E2378F"/>
    <w:rsid w:val="00E23F69"/>
    <w:rsid w:val="00E243F1"/>
    <w:rsid w:val="00E24AD0"/>
    <w:rsid w:val="00E24D0D"/>
    <w:rsid w:val="00E25383"/>
    <w:rsid w:val="00E26638"/>
    <w:rsid w:val="00E27550"/>
    <w:rsid w:val="00E30D44"/>
    <w:rsid w:val="00E318B9"/>
    <w:rsid w:val="00E31EB1"/>
    <w:rsid w:val="00E32F49"/>
    <w:rsid w:val="00E33B26"/>
    <w:rsid w:val="00E34616"/>
    <w:rsid w:val="00E346B2"/>
    <w:rsid w:val="00E34FE4"/>
    <w:rsid w:val="00E36916"/>
    <w:rsid w:val="00E36A33"/>
    <w:rsid w:val="00E37AB4"/>
    <w:rsid w:val="00E37F0F"/>
    <w:rsid w:val="00E40934"/>
    <w:rsid w:val="00E424DE"/>
    <w:rsid w:val="00E42B3A"/>
    <w:rsid w:val="00E42D5D"/>
    <w:rsid w:val="00E436A1"/>
    <w:rsid w:val="00E44652"/>
    <w:rsid w:val="00E44CC6"/>
    <w:rsid w:val="00E45407"/>
    <w:rsid w:val="00E45705"/>
    <w:rsid w:val="00E45B93"/>
    <w:rsid w:val="00E45BCE"/>
    <w:rsid w:val="00E45ED1"/>
    <w:rsid w:val="00E461EC"/>
    <w:rsid w:val="00E46598"/>
    <w:rsid w:val="00E46DB4"/>
    <w:rsid w:val="00E5024E"/>
    <w:rsid w:val="00E50F88"/>
    <w:rsid w:val="00E51C4B"/>
    <w:rsid w:val="00E51D3E"/>
    <w:rsid w:val="00E528B4"/>
    <w:rsid w:val="00E52F47"/>
    <w:rsid w:val="00E534D0"/>
    <w:rsid w:val="00E55A6D"/>
    <w:rsid w:val="00E56F5A"/>
    <w:rsid w:val="00E574E9"/>
    <w:rsid w:val="00E57569"/>
    <w:rsid w:val="00E60F77"/>
    <w:rsid w:val="00E61D1B"/>
    <w:rsid w:val="00E6379F"/>
    <w:rsid w:val="00E63B07"/>
    <w:rsid w:val="00E6471F"/>
    <w:rsid w:val="00E654BD"/>
    <w:rsid w:val="00E66DF8"/>
    <w:rsid w:val="00E679D9"/>
    <w:rsid w:val="00E67C2B"/>
    <w:rsid w:val="00E70127"/>
    <w:rsid w:val="00E734E3"/>
    <w:rsid w:val="00E73593"/>
    <w:rsid w:val="00E7468F"/>
    <w:rsid w:val="00E74E37"/>
    <w:rsid w:val="00E75B2E"/>
    <w:rsid w:val="00E76A2B"/>
    <w:rsid w:val="00E8017A"/>
    <w:rsid w:val="00E8030D"/>
    <w:rsid w:val="00E80512"/>
    <w:rsid w:val="00E80548"/>
    <w:rsid w:val="00E823FE"/>
    <w:rsid w:val="00E8262A"/>
    <w:rsid w:val="00E8564B"/>
    <w:rsid w:val="00E85748"/>
    <w:rsid w:val="00E85B93"/>
    <w:rsid w:val="00E86203"/>
    <w:rsid w:val="00E862A9"/>
    <w:rsid w:val="00E923F2"/>
    <w:rsid w:val="00E92845"/>
    <w:rsid w:val="00E929D1"/>
    <w:rsid w:val="00E92FE7"/>
    <w:rsid w:val="00E93125"/>
    <w:rsid w:val="00E93E03"/>
    <w:rsid w:val="00E94DC8"/>
    <w:rsid w:val="00E952E5"/>
    <w:rsid w:val="00E95717"/>
    <w:rsid w:val="00E95F7C"/>
    <w:rsid w:val="00E96055"/>
    <w:rsid w:val="00E96F9D"/>
    <w:rsid w:val="00E97119"/>
    <w:rsid w:val="00E97838"/>
    <w:rsid w:val="00EA22C9"/>
    <w:rsid w:val="00EA4433"/>
    <w:rsid w:val="00EA4532"/>
    <w:rsid w:val="00EA4CA8"/>
    <w:rsid w:val="00EA50F2"/>
    <w:rsid w:val="00EA5108"/>
    <w:rsid w:val="00EA6B3F"/>
    <w:rsid w:val="00EA7060"/>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1778"/>
    <w:rsid w:val="00EC1898"/>
    <w:rsid w:val="00EC2590"/>
    <w:rsid w:val="00EC2EAD"/>
    <w:rsid w:val="00EC3524"/>
    <w:rsid w:val="00EC5030"/>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D784A"/>
    <w:rsid w:val="00EE08FB"/>
    <w:rsid w:val="00EE2295"/>
    <w:rsid w:val="00EE2920"/>
    <w:rsid w:val="00EE2933"/>
    <w:rsid w:val="00EE3204"/>
    <w:rsid w:val="00EE348F"/>
    <w:rsid w:val="00EE3859"/>
    <w:rsid w:val="00EE3E0D"/>
    <w:rsid w:val="00EE4538"/>
    <w:rsid w:val="00EE4C1D"/>
    <w:rsid w:val="00EE5624"/>
    <w:rsid w:val="00EE5BAC"/>
    <w:rsid w:val="00EE6355"/>
    <w:rsid w:val="00EE66A7"/>
    <w:rsid w:val="00EE7426"/>
    <w:rsid w:val="00EF036E"/>
    <w:rsid w:val="00EF1127"/>
    <w:rsid w:val="00EF142E"/>
    <w:rsid w:val="00EF1546"/>
    <w:rsid w:val="00EF23B1"/>
    <w:rsid w:val="00EF2EA6"/>
    <w:rsid w:val="00EF4279"/>
    <w:rsid w:val="00EF4360"/>
    <w:rsid w:val="00EF449C"/>
    <w:rsid w:val="00EF61F4"/>
    <w:rsid w:val="00EF698E"/>
    <w:rsid w:val="00EF6D98"/>
    <w:rsid w:val="00EF7359"/>
    <w:rsid w:val="00F015A6"/>
    <w:rsid w:val="00F02052"/>
    <w:rsid w:val="00F02081"/>
    <w:rsid w:val="00F0262A"/>
    <w:rsid w:val="00F03227"/>
    <w:rsid w:val="00F03326"/>
    <w:rsid w:val="00F065BA"/>
    <w:rsid w:val="00F07519"/>
    <w:rsid w:val="00F07EFA"/>
    <w:rsid w:val="00F106F3"/>
    <w:rsid w:val="00F111C5"/>
    <w:rsid w:val="00F11C62"/>
    <w:rsid w:val="00F12037"/>
    <w:rsid w:val="00F122E2"/>
    <w:rsid w:val="00F12CD8"/>
    <w:rsid w:val="00F13740"/>
    <w:rsid w:val="00F13A95"/>
    <w:rsid w:val="00F14CFA"/>
    <w:rsid w:val="00F14D45"/>
    <w:rsid w:val="00F15023"/>
    <w:rsid w:val="00F152E9"/>
    <w:rsid w:val="00F15981"/>
    <w:rsid w:val="00F15F2B"/>
    <w:rsid w:val="00F162BE"/>
    <w:rsid w:val="00F164E1"/>
    <w:rsid w:val="00F16D1A"/>
    <w:rsid w:val="00F16FE3"/>
    <w:rsid w:val="00F1740F"/>
    <w:rsid w:val="00F1789F"/>
    <w:rsid w:val="00F246F6"/>
    <w:rsid w:val="00F24B79"/>
    <w:rsid w:val="00F25FE4"/>
    <w:rsid w:val="00F26C01"/>
    <w:rsid w:val="00F277D8"/>
    <w:rsid w:val="00F3018D"/>
    <w:rsid w:val="00F30958"/>
    <w:rsid w:val="00F315C6"/>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948"/>
    <w:rsid w:val="00F47F48"/>
    <w:rsid w:val="00F51000"/>
    <w:rsid w:val="00F51DFE"/>
    <w:rsid w:val="00F52ADB"/>
    <w:rsid w:val="00F53038"/>
    <w:rsid w:val="00F535FC"/>
    <w:rsid w:val="00F5380C"/>
    <w:rsid w:val="00F544CF"/>
    <w:rsid w:val="00F552B4"/>
    <w:rsid w:val="00F55638"/>
    <w:rsid w:val="00F56B64"/>
    <w:rsid w:val="00F57927"/>
    <w:rsid w:val="00F6026A"/>
    <w:rsid w:val="00F61E44"/>
    <w:rsid w:val="00F63219"/>
    <w:rsid w:val="00F63B75"/>
    <w:rsid w:val="00F63CC7"/>
    <w:rsid w:val="00F63E2D"/>
    <w:rsid w:val="00F641E5"/>
    <w:rsid w:val="00F6658C"/>
    <w:rsid w:val="00F6772F"/>
    <w:rsid w:val="00F710A2"/>
    <w:rsid w:val="00F7115E"/>
    <w:rsid w:val="00F717DA"/>
    <w:rsid w:val="00F71A4F"/>
    <w:rsid w:val="00F71EF3"/>
    <w:rsid w:val="00F72B40"/>
    <w:rsid w:val="00F73219"/>
    <w:rsid w:val="00F74042"/>
    <w:rsid w:val="00F74551"/>
    <w:rsid w:val="00F74AA7"/>
    <w:rsid w:val="00F7523E"/>
    <w:rsid w:val="00F75BC5"/>
    <w:rsid w:val="00F76D95"/>
    <w:rsid w:val="00F76FBB"/>
    <w:rsid w:val="00F80282"/>
    <w:rsid w:val="00F80C7C"/>
    <w:rsid w:val="00F8166B"/>
    <w:rsid w:val="00F81DEF"/>
    <w:rsid w:val="00F81F6D"/>
    <w:rsid w:val="00F8349B"/>
    <w:rsid w:val="00F838E7"/>
    <w:rsid w:val="00F838F7"/>
    <w:rsid w:val="00F84170"/>
    <w:rsid w:val="00F848DC"/>
    <w:rsid w:val="00F86386"/>
    <w:rsid w:val="00F870D7"/>
    <w:rsid w:val="00F87544"/>
    <w:rsid w:val="00F87D63"/>
    <w:rsid w:val="00F903C3"/>
    <w:rsid w:val="00F90915"/>
    <w:rsid w:val="00F9165F"/>
    <w:rsid w:val="00F91D33"/>
    <w:rsid w:val="00F92A52"/>
    <w:rsid w:val="00F9448A"/>
    <w:rsid w:val="00F9527D"/>
    <w:rsid w:val="00F95AC5"/>
    <w:rsid w:val="00F95FA5"/>
    <w:rsid w:val="00F9716C"/>
    <w:rsid w:val="00F97B82"/>
    <w:rsid w:val="00FA0F18"/>
    <w:rsid w:val="00FA10D3"/>
    <w:rsid w:val="00FA14AF"/>
    <w:rsid w:val="00FA31C7"/>
    <w:rsid w:val="00FA34D4"/>
    <w:rsid w:val="00FA53EC"/>
    <w:rsid w:val="00FA58E9"/>
    <w:rsid w:val="00FA592D"/>
    <w:rsid w:val="00FA6114"/>
    <w:rsid w:val="00FA701D"/>
    <w:rsid w:val="00FA7B7C"/>
    <w:rsid w:val="00FA7F3B"/>
    <w:rsid w:val="00FB1196"/>
    <w:rsid w:val="00FB1538"/>
    <w:rsid w:val="00FB2642"/>
    <w:rsid w:val="00FB313C"/>
    <w:rsid w:val="00FB3D48"/>
    <w:rsid w:val="00FB652A"/>
    <w:rsid w:val="00FB6D28"/>
    <w:rsid w:val="00FB6DF9"/>
    <w:rsid w:val="00FB6FAE"/>
    <w:rsid w:val="00FB71E8"/>
    <w:rsid w:val="00FB7B29"/>
    <w:rsid w:val="00FC0AF0"/>
    <w:rsid w:val="00FC0EEB"/>
    <w:rsid w:val="00FC1337"/>
    <w:rsid w:val="00FC1D72"/>
    <w:rsid w:val="00FC466D"/>
    <w:rsid w:val="00FC59B5"/>
    <w:rsid w:val="00FC73F7"/>
    <w:rsid w:val="00FD08F4"/>
    <w:rsid w:val="00FD0C58"/>
    <w:rsid w:val="00FD1BAE"/>
    <w:rsid w:val="00FD2326"/>
    <w:rsid w:val="00FD27DE"/>
    <w:rsid w:val="00FD2DDF"/>
    <w:rsid w:val="00FD3503"/>
    <w:rsid w:val="00FD3512"/>
    <w:rsid w:val="00FD352A"/>
    <w:rsid w:val="00FD436A"/>
    <w:rsid w:val="00FD4653"/>
    <w:rsid w:val="00FD520A"/>
    <w:rsid w:val="00FD552B"/>
    <w:rsid w:val="00FD58A3"/>
    <w:rsid w:val="00FD68BF"/>
    <w:rsid w:val="00FD6DFA"/>
    <w:rsid w:val="00FD6EEB"/>
    <w:rsid w:val="00FD7226"/>
    <w:rsid w:val="00FE12E9"/>
    <w:rsid w:val="00FE1F62"/>
    <w:rsid w:val="00FE3AD9"/>
    <w:rsid w:val="00FE3BEB"/>
    <w:rsid w:val="00FE475F"/>
    <w:rsid w:val="00FE4E41"/>
    <w:rsid w:val="00FE591C"/>
    <w:rsid w:val="00FE6E69"/>
    <w:rsid w:val="00FE6F70"/>
    <w:rsid w:val="00FE6FA2"/>
    <w:rsid w:val="00FF04D0"/>
    <w:rsid w:val="00FF0536"/>
    <w:rsid w:val="00FF12FB"/>
    <w:rsid w:val="00FF1713"/>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purl.org/dc/dcmitype/"/>
    <ds:schemaRef ds:uri="d78def48-27c6-4979-bba9-c862a2df76a0"/>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1084</Words>
  <Characters>6179</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2021-10-02T03:33:00Z</dcterms:created>
  <dcterms:modified xsi:type="dcterms:W3CDTF">2021-10-02T03:33:00Z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