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60BD75E2"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4D1EEE">
        <w:rPr>
          <w:rFonts w:ascii="Arial" w:hAnsi="Arial" w:cs="Arial"/>
          <w:b/>
          <w:bCs/>
          <w:sz w:val="24"/>
        </w:rPr>
        <w:t>6</w:t>
      </w:r>
      <w:r w:rsidR="00841927">
        <w:rPr>
          <w:rFonts w:ascii="Arial" w:hAnsi="Arial" w:cs="Arial"/>
          <w:b/>
          <w:bCs/>
          <w:sz w:val="24"/>
        </w:rPr>
        <w:t>bis</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0C13A5" w:rsidRPr="000C13A5">
        <w:rPr>
          <w:rFonts w:ascii="Arial" w:hAnsi="Arial" w:cs="Arial"/>
          <w:b/>
          <w:bCs/>
          <w:sz w:val="24"/>
        </w:rPr>
        <w:t>21</w:t>
      </w:r>
      <w:r w:rsidR="003F4522" w:rsidRPr="003F4522">
        <w:rPr>
          <w:rFonts w:ascii="Arial" w:hAnsi="Arial" w:cs="Arial"/>
          <w:b/>
          <w:bCs/>
          <w:sz w:val="24"/>
        </w:rPr>
        <w:t>10107</w:t>
      </w:r>
    </w:p>
    <w:p w14:paraId="56A15566" w14:textId="56C70199"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841927">
        <w:rPr>
          <w:rFonts w:ascii="Arial" w:hAnsi="Arial" w:cs="Arial"/>
          <w:b/>
          <w:bCs/>
          <w:sz w:val="24"/>
        </w:rPr>
        <w:t>October</w:t>
      </w:r>
      <w:r w:rsidR="004D1EEE" w:rsidRPr="00877623">
        <w:rPr>
          <w:rFonts w:ascii="Arial" w:hAnsi="Arial" w:cs="Arial"/>
          <w:b/>
          <w:bCs/>
          <w:sz w:val="24"/>
        </w:rPr>
        <w:t xml:space="preserve"> 1</w:t>
      </w:r>
      <w:r w:rsidR="00841927">
        <w:rPr>
          <w:rFonts w:ascii="Arial" w:hAnsi="Arial" w:cs="Arial"/>
          <w:b/>
          <w:bCs/>
          <w:sz w:val="24"/>
        </w:rPr>
        <w:t>1</w:t>
      </w:r>
      <w:r w:rsidR="004D1EEE" w:rsidRPr="00455029">
        <w:rPr>
          <w:rFonts w:ascii="Arial" w:hAnsi="Arial" w:cs="Arial"/>
          <w:b/>
          <w:bCs/>
          <w:sz w:val="24"/>
          <w:vertAlign w:val="superscript"/>
        </w:rPr>
        <w:t>th</w:t>
      </w:r>
      <w:r w:rsidR="004D1EEE" w:rsidRPr="00877623">
        <w:rPr>
          <w:rFonts w:ascii="Arial" w:hAnsi="Arial" w:cs="Arial"/>
          <w:b/>
          <w:bCs/>
          <w:sz w:val="24"/>
        </w:rPr>
        <w:t xml:space="preserve"> – </w:t>
      </w:r>
      <w:r w:rsidR="00841927">
        <w:rPr>
          <w:rFonts w:ascii="Arial" w:hAnsi="Arial" w:cs="Arial"/>
          <w:b/>
          <w:bCs/>
          <w:sz w:val="24"/>
        </w:rPr>
        <w:t>19</w:t>
      </w:r>
      <w:r w:rsidR="004D1EEE" w:rsidRPr="00455029">
        <w:rPr>
          <w:rFonts w:ascii="Arial" w:hAnsi="Arial" w:cs="Arial"/>
          <w:b/>
          <w:bCs/>
          <w:sz w:val="24"/>
          <w:vertAlign w:val="superscript"/>
        </w:rPr>
        <w:t>th</w:t>
      </w:r>
      <w:r w:rsidR="002D577A" w:rsidRPr="00C00997">
        <w:rPr>
          <w:rFonts w:ascii="Arial" w:hAnsi="Arial" w:cs="Arial"/>
          <w:b/>
          <w:bCs/>
          <w:sz w:val="24"/>
        </w:rPr>
        <w:t>, 20</w:t>
      </w:r>
      <w:r w:rsidR="002D577A">
        <w:rPr>
          <w:rFonts w:ascii="Arial" w:hAnsi="Arial" w:cs="Arial"/>
          <w:b/>
          <w:bCs/>
          <w:sz w:val="24"/>
        </w:rPr>
        <w:t>21</w:t>
      </w:r>
    </w:p>
    <w:p w14:paraId="0656168E" w14:textId="77777777" w:rsidR="004607C3" w:rsidRPr="00A2299C" w:rsidRDefault="004607C3" w:rsidP="00A23578">
      <w:pPr>
        <w:rPr>
          <w:rFonts w:ascii="Arial" w:hAnsi="Arial" w:cs="Arial"/>
          <w:sz w:val="22"/>
        </w:rPr>
      </w:pPr>
    </w:p>
    <w:p w14:paraId="2FABF9AA" w14:textId="18B1A9B1"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w:t>
      </w:r>
      <w:r w:rsidR="00296818">
        <w:rPr>
          <w:rFonts w:ascii="Arial" w:hAnsi="Arial" w:cs="Arial"/>
          <w:b/>
          <w:sz w:val="22"/>
        </w:rPr>
        <w:t>2.</w:t>
      </w:r>
      <w:r w:rsidR="000765FB">
        <w:rPr>
          <w:rFonts w:ascii="Arial" w:hAnsi="Arial" w:cs="Arial"/>
          <w:b/>
          <w:sz w:val="22"/>
        </w:rPr>
        <w:t>4</w:t>
      </w:r>
    </w:p>
    <w:p w14:paraId="7395AB72" w14:textId="6C2CDEE5"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0765FB">
        <w:rPr>
          <w:rFonts w:ascii="Arial" w:hAnsi="Arial" w:cs="Arial"/>
          <w:b/>
          <w:sz w:val="22"/>
        </w:rPr>
        <w:t xml:space="preserve">On </w:t>
      </w:r>
      <w:r w:rsidR="000765FB" w:rsidRPr="00161980">
        <w:rPr>
          <w:rFonts w:ascii="Arial" w:hAnsi="Arial" w:cs="Arial"/>
          <w:b/>
          <w:sz w:val="22"/>
        </w:rPr>
        <w:t xml:space="preserve">Enhancements </w:t>
      </w:r>
      <w:r w:rsidR="000765FB">
        <w:rPr>
          <w:rFonts w:ascii="Arial" w:hAnsi="Arial" w:cs="Arial"/>
          <w:b/>
          <w:sz w:val="22"/>
        </w:rPr>
        <w:t>for</w:t>
      </w:r>
      <w:r w:rsidR="000765FB" w:rsidRPr="00161980">
        <w:rPr>
          <w:rFonts w:ascii="Arial" w:hAnsi="Arial" w:cs="Arial"/>
          <w:b/>
          <w:sz w:val="22"/>
        </w:rPr>
        <w:t xml:space="preserve"> HST-SFN deployment</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6B5AD341" w14:textId="6B05A98B" w:rsidR="00777A6A" w:rsidRDefault="00777A6A" w:rsidP="00777A6A">
      <w:pPr>
        <w:rPr>
          <w:rFonts w:eastAsia="Batang"/>
          <w:lang w:eastAsia="ko-KR"/>
        </w:rPr>
      </w:pPr>
      <w:r>
        <w:rPr>
          <w:rFonts w:eastAsia="Batang"/>
          <w:lang w:eastAsia="ko-KR"/>
        </w:rPr>
        <w:t>Rel-17 FeMIMO WI will extend the multi-TRP support to PDCCH</w:t>
      </w:r>
      <w:r w:rsidR="000765FB">
        <w:rPr>
          <w:rFonts w:eastAsia="Batang"/>
          <w:lang w:eastAsia="ko-KR"/>
        </w:rPr>
        <w:t xml:space="preserve"> and to the high-speed train (HST) deployment using single frequency network (SFN) DL transmission </w:t>
      </w:r>
      <w:r>
        <w:rPr>
          <w:rFonts w:eastAsia="Batang"/>
          <w:lang w:eastAsia="ko-KR"/>
        </w:rPr>
        <w:fldChar w:fldCharType="begin"/>
      </w:r>
      <w:r>
        <w:rPr>
          <w:rFonts w:eastAsia="Batang"/>
          <w:lang w:eastAsia="ko-KR"/>
        </w:rPr>
        <w:instrText xml:space="preserve"> REF _Ref54184315 \r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777A6A" w14:paraId="6CABBBA9" w14:textId="77777777" w:rsidTr="00BC5F29">
        <w:tc>
          <w:tcPr>
            <w:tcW w:w="9855" w:type="dxa"/>
          </w:tcPr>
          <w:p w14:paraId="16675EE6" w14:textId="77777777" w:rsidR="00777A6A" w:rsidRDefault="00777A6A" w:rsidP="00777A6A">
            <w:pPr>
              <w:numPr>
                <w:ilvl w:val="0"/>
                <w:numId w:val="9"/>
              </w:numPr>
              <w:overflowPunct w:val="0"/>
              <w:autoSpaceDE w:val="0"/>
              <w:autoSpaceDN w:val="0"/>
              <w:adjustRightInd w:val="0"/>
              <w:snapToGrid w:val="0"/>
              <w:spacing w:after="120"/>
              <w:ind w:left="760" w:right="-99"/>
              <w:jc w:val="left"/>
              <w:rPr>
                <w:color w:val="000000"/>
                <w:lang w:eastAsia="ko-KR"/>
              </w:rPr>
            </w:pPr>
            <w:r w:rsidRPr="00401C76">
              <w:rPr>
                <w:color w:val="000000"/>
                <w:lang w:eastAsia="ko-KR"/>
              </w:rPr>
              <w:t>Extend specification support in the following areas [RAN1]</w:t>
            </w:r>
          </w:p>
          <w:p w14:paraId="16B061D1" w14:textId="77777777" w:rsidR="00777A6A" w:rsidRPr="0051690F" w:rsidRDefault="00777A6A" w:rsidP="00BC5F29">
            <w:pPr>
              <w:pStyle w:val="ListParagraph"/>
              <w:numPr>
                <w:ilvl w:val="0"/>
                <w:numId w:val="10"/>
              </w:numPr>
              <w:spacing w:before="0" w:line="240" w:lineRule="auto"/>
            </w:pPr>
            <w:r w:rsidRPr="0051690F">
              <w:t>Enhancement on the support for multi-TRP deployment, targeting both FR1 and FR2:</w:t>
            </w:r>
          </w:p>
          <w:p w14:paraId="27EDFD3E" w14:textId="324088B7" w:rsidR="00BB1314" w:rsidRDefault="00BB1314" w:rsidP="00BB1314">
            <w:pPr>
              <w:pStyle w:val="ListParagraph"/>
              <w:numPr>
                <w:ilvl w:val="1"/>
                <w:numId w:val="10"/>
              </w:numPr>
              <w:spacing w:before="0"/>
            </w:pPr>
            <w:r>
              <w:t>Enhancement to support HST-SFN deployment scenario:</w:t>
            </w:r>
          </w:p>
          <w:p w14:paraId="7018F023" w14:textId="6F02F2EA" w:rsidR="00BB1314" w:rsidRDefault="00BB1314" w:rsidP="00BB1314">
            <w:pPr>
              <w:pStyle w:val="ListParagraph"/>
              <w:numPr>
                <w:ilvl w:val="2"/>
                <w:numId w:val="10"/>
              </w:numPr>
              <w:spacing w:before="0"/>
            </w:pPr>
            <w:r>
              <w:t>Identify and specify solution(s) on QCL assumption for DMRS, e.g. multiple QCL assumptions for the same DMRS port(s), targeting DL-only transmission</w:t>
            </w:r>
          </w:p>
          <w:p w14:paraId="07A5549D" w14:textId="35020B25" w:rsidR="00777A6A" w:rsidRPr="00712B4E" w:rsidRDefault="00BB1314" w:rsidP="00BB1314">
            <w:pPr>
              <w:pStyle w:val="ListParagraph"/>
              <w:numPr>
                <w:ilvl w:val="2"/>
                <w:numId w:val="10"/>
              </w:numPr>
              <w:spacing w:before="0" w:line="240" w:lineRule="auto"/>
            </w:pPr>
            <w:r>
              <w:t>Evaluate and, if the benefit over Rel.16 HST enhancement baseline is demonstrated, specify QCL/QCL-like relation (including applicable type(s) and the associated requirement) between DL and UL signal by reusing the unified TCI framework</w:t>
            </w:r>
            <w:r w:rsidR="00777A6A" w:rsidRPr="0051690F">
              <w:t xml:space="preserve"> </w:t>
            </w:r>
          </w:p>
        </w:tc>
      </w:tr>
    </w:tbl>
    <w:p w14:paraId="2BF561B6" w14:textId="77777777" w:rsidR="00A202CB" w:rsidRPr="007E0A63" w:rsidRDefault="00A202CB" w:rsidP="007E0A63">
      <w:pPr>
        <w:rPr>
          <w:rFonts w:eastAsia="Batang"/>
          <w:lang w:eastAsia="ko-KR"/>
        </w:rPr>
      </w:pPr>
    </w:p>
    <w:p w14:paraId="76C70D2E" w14:textId="6F721A4A" w:rsidR="00C70E00" w:rsidRDefault="00B65E0E" w:rsidP="00C70E00">
      <w:pPr>
        <w:pStyle w:val="Heading1"/>
      </w:pPr>
      <w:r>
        <w:t>Discussion</w:t>
      </w:r>
    </w:p>
    <w:p w14:paraId="60D255E5" w14:textId="2CE08DE1" w:rsidR="00313AC7" w:rsidRDefault="002D3345" w:rsidP="00313AC7">
      <w:pPr>
        <w:pStyle w:val="Heading2"/>
        <w:spacing w:before="0"/>
      </w:pPr>
      <w:r>
        <w:t>2.</w:t>
      </w:r>
      <w:r w:rsidR="003B0525">
        <w:t>1</w:t>
      </w:r>
      <w:r>
        <w:t xml:space="preserve"> </w:t>
      </w:r>
      <w:r w:rsidR="00973BF0">
        <w:t>Default TCI</w:t>
      </w:r>
      <w:r w:rsidR="00F051BA">
        <w:t xml:space="preserve"> when CORESET has Two Activated TCI States</w:t>
      </w:r>
    </w:p>
    <w:p w14:paraId="792FCBBF" w14:textId="2B952FD0" w:rsidR="00DD44EC" w:rsidRDefault="00DD44EC" w:rsidP="00DD44EC">
      <w:pPr>
        <w:rPr>
          <w:rFonts w:eastAsia="Batang"/>
          <w:lang w:val="en-US" w:eastAsia="ko-KR"/>
        </w:rPr>
      </w:pPr>
      <w:r>
        <w:rPr>
          <w:rFonts w:eastAsia="Batang"/>
          <w:lang w:val="en-US" w:eastAsia="ko-KR"/>
        </w:rPr>
        <w:t>The following was agreed in RAN1#10</w:t>
      </w:r>
      <w:r w:rsidR="00FA4BE6">
        <w:rPr>
          <w:rFonts w:eastAsia="Batang"/>
          <w:lang w:val="en-US" w:eastAsia="ko-KR"/>
        </w:rPr>
        <w:t>6</w:t>
      </w:r>
      <w:r>
        <w:rPr>
          <w:rFonts w:eastAsia="Batang"/>
          <w:lang w:val="en-US" w:eastAsia="ko-KR"/>
        </w:rPr>
        <w:t>-e:</w:t>
      </w:r>
    </w:p>
    <w:tbl>
      <w:tblPr>
        <w:tblStyle w:val="TableGrid"/>
        <w:tblW w:w="0" w:type="auto"/>
        <w:tblLook w:val="04A0" w:firstRow="1" w:lastRow="0" w:firstColumn="1" w:lastColumn="0" w:noHBand="0" w:noVBand="1"/>
      </w:tblPr>
      <w:tblGrid>
        <w:gridCol w:w="9855"/>
      </w:tblGrid>
      <w:tr w:rsidR="00DD44EC" w14:paraId="767901E1" w14:textId="77777777" w:rsidTr="00455029">
        <w:tc>
          <w:tcPr>
            <w:tcW w:w="9855" w:type="dxa"/>
          </w:tcPr>
          <w:p w14:paraId="0DFF3AEA" w14:textId="77777777" w:rsidR="00E84F2E" w:rsidRPr="004A7CA6" w:rsidRDefault="00E84F2E" w:rsidP="00B67785">
            <w:pPr>
              <w:pStyle w:val="xmsonormal"/>
              <w:spacing w:after="0" w:afterAutospacing="0"/>
              <w:rPr>
                <w:rStyle w:val="Strong"/>
                <w:rFonts w:ascii="Times" w:hAnsi="Times" w:cs="Times"/>
                <w:sz w:val="20"/>
                <w:szCs w:val="20"/>
                <w:lang w:val="en-GB" w:eastAsia="en-US"/>
              </w:rPr>
            </w:pPr>
            <w:r w:rsidRPr="004A7CA6">
              <w:rPr>
                <w:rStyle w:val="Strong"/>
                <w:rFonts w:ascii="Times" w:hAnsi="Times" w:cs="Times"/>
                <w:color w:val="000000"/>
                <w:sz w:val="20"/>
                <w:szCs w:val="20"/>
                <w:highlight w:val="green"/>
              </w:rPr>
              <w:t>Agreement</w:t>
            </w:r>
          </w:p>
          <w:p w14:paraId="1383DE81" w14:textId="77777777" w:rsidR="00E84F2E" w:rsidRPr="004A7CA6" w:rsidRDefault="00E84F2E" w:rsidP="00E84F2E">
            <w:pPr>
              <w:rPr>
                <w:rFonts w:cs="Times"/>
              </w:rPr>
            </w:pPr>
            <w:r w:rsidRPr="004A7CA6">
              <w:rPr>
                <w:rFonts w:cs="Times"/>
              </w:rPr>
              <w:t>If</w:t>
            </w:r>
            <w:r w:rsidRPr="004A7CA6">
              <w:rPr>
                <w:rStyle w:val="apple-converted-space"/>
                <w:rFonts w:cs="Times"/>
              </w:rPr>
              <w:t> </w:t>
            </w:r>
            <w:r w:rsidRPr="004A7CA6">
              <w:rPr>
                <w:rStyle w:val="Emphasis"/>
                <w:rFonts w:cs="Times"/>
              </w:rPr>
              <w:t>enableTwoDefaultTCI-States</w:t>
            </w:r>
            <w:r w:rsidRPr="004A7CA6">
              <w:rPr>
                <w:rStyle w:val="apple-converted-space"/>
                <w:rFonts w:cs="Times"/>
              </w:rPr>
              <w:t xml:space="preserve"> is configured </w:t>
            </w:r>
            <w:r w:rsidRPr="004A7CA6">
              <w:rPr>
                <w:rFonts w:cs="Times"/>
              </w:rPr>
              <w:t>and at least one TCI codepoint indicates two TCI states and time offset between the reception of the DL DCI and the PDSCH is less than the threshold</w:t>
            </w:r>
            <w:r w:rsidRPr="004A7CA6">
              <w:rPr>
                <w:rStyle w:val="apple-converted-space"/>
                <w:rFonts w:cs="Times"/>
              </w:rPr>
              <w:t> </w:t>
            </w:r>
            <w:r w:rsidRPr="004A7CA6">
              <w:rPr>
                <w:rStyle w:val="Emphasis"/>
                <w:rFonts w:cs="Times"/>
              </w:rPr>
              <w:t>timeDurationForQCL</w:t>
            </w:r>
            <w:r w:rsidRPr="004A7CA6">
              <w:rPr>
                <w:rFonts w:cs="Times"/>
              </w:rPr>
              <w:t>, default beam(s) for Rel-17 enhanced SFN PDSCH (scheme 1 or if supported TRP-based pre-compensation) reception:</w:t>
            </w:r>
          </w:p>
          <w:p w14:paraId="44FBB6E2" w14:textId="77777777" w:rsidR="00E84F2E" w:rsidRPr="004A7CA6" w:rsidRDefault="00E84F2E" w:rsidP="00E84F2E">
            <w:pPr>
              <w:pStyle w:val="xa0"/>
              <w:numPr>
                <w:ilvl w:val="0"/>
                <w:numId w:val="59"/>
              </w:numPr>
              <w:tabs>
                <w:tab w:val="left" w:pos="720"/>
              </w:tabs>
              <w:spacing w:before="0" w:beforeAutospacing="0" w:after="0" w:afterAutospacing="0"/>
              <w:jc w:val="both"/>
              <w:rPr>
                <w:rFonts w:ascii="Times" w:eastAsia="SimSun" w:hAnsi="Times" w:cs="Times"/>
                <w:sz w:val="20"/>
                <w:szCs w:val="20"/>
              </w:rPr>
            </w:pPr>
            <w:r w:rsidRPr="004A7CA6">
              <w:rPr>
                <w:rStyle w:val="Strong"/>
                <w:rFonts w:ascii="Times" w:eastAsia="SimSun" w:hAnsi="Times" w:cs="Times"/>
                <w:sz w:val="20"/>
                <w:szCs w:val="20"/>
              </w:rPr>
              <w:t>Alt 1</w:t>
            </w:r>
            <w:r w:rsidRPr="004A7CA6">
              <w:rPr>
                <w:rFonts w:ascii="Times" w:eastAsia="Times New Roman" w:hAnsi="Times" w:cs="Times"/>
                <w:sz w:val="20"/>
                <w:szCs w:val="20"/>
              </w:rPr>
              <w:t>: Reuse rule to determine TCI states as defined for Rel-16 PDSCH scheme-1a</w:t>
            </w:r>
          </w:p>
          <w:p w14:paraId="07A3C28A" w14:textId="77777777" w:rsidR="00E84F2E" w:rsidRPr="004A7CA6" w:rsidRDefault="00E84F2E" w:rsidP="00E84F2E">
            <w:pPr>
              <w:widowControl w:val="0"/>
              <w:rPr>
                <w:rFonts w:cs="Times"/>
              </w:rPr>
            </w:pPr>
            <w:r w:rsidRPr="004A7CA6">
              <w:rPr>
                <w:rFonts w:cs="Times"/>
              </w:rPr>
              <w:t>This is a UE optional feature</w:t>
            </w:r>
          </w:p>
          <w:p w14:paraId="62100AE1" w14:textId="77777777" w:rsidR="00E84F2E" w:rsidRDefault="00E84F2E" w:rsidP="00E84F2E">
            <w:pPr>
              <w:widowControl w:val="0"/>
              <w:rPr>
                <w:rFonts w:eastAsia="MS Mincho"/>
                <w:b/>
                <w:highlight w:val="green"/>
                <w:lang w:eastAsia="ja-JP"/>
              </w:rPr>
            </w:pPr>
          </w:p>
          <w:p w14:paraId="79009088" w14:textId="46F28CCA" w:rsidR="00E84F2E" w:rsidRPr="004A7CA6" w:rsidRDefault="00E84F2E">
            <w:pPr>
              <w:widowControl w:val="0"/>
              <w:rPr>
                <w:rFonts w:eastAsia="MS Mincho"/>
                <w:bCs/>
                <w:highlight w:val="green"/>
                <w:lang w:eastAsia="ja-JP"/>
              </w:rPr>
            </w:pPr>
            <w:r w:rsidRPr="004A7CA6">
              <w:rPr>
                <w:rFonts w:eastAsia="MS Mincho"/>
                <w:b/>
                <w:highlight w:val="green"/>
                <w:lang w:eastAsia="ja-JP"/>
              </w:rPr>
              <w:t>Agreement</w:t>
            </w:r>
          </w:p>
          <w:p w14:paraId="25B5B043" w14:textId="77777777" w:rsidR="00E84F2E" w:rsidRPr="004A7CA6" w:rsidRDefault="00E84F2E" w:rsidP="00B67785">
            <w:pPr>
              <w:pStyle w:val="ListParagraph"/>
              <w:widowControl w:val="0"/>
              <w:spacing w:before="0"/>
              <w:ind w:left="0" w:firstLine="0"/>
              <w:rPr>
                <w:bCs/>
              </w:rPr>
            </w:pPr>
            <w:r w:rsidRPr="004A7CA6">
              <w:rPr>
                <w:rFonts w:eastAsia="MS Mincho"/>
                <w:bCs/>
                <w:lang w:eastAsia="ja-JP"/>
              </w:rPr>
              <w:t xml:space="preserve">For PDSCH reception scheduled by </w:t>
            </w:r>
            <w:r w:rsidRPr="004A7CA6">
              <w:rPr>
                <w:rFonts w:eastAsia="Malgun Gothic"/>
                <w:lang w:eastAsia="zh-CN"/>
              </w:rPr>
              <w:t>DCI format 1_0, [1_1 and 1_2]</w:t>
            </w:r>
            <w:r w:rsidRPr="004A7CA6">
              <w:rPr>
                <w:rFonts w:eastAsia="MS Mincho"/>
                <w:bCs/>
                <w:lang w:eastAsia="ja-JP"/>
              </w:rPr>
              <w:t xml:space="preserve">, </w:t>
            </w:r>
            <w:r w:rsidRPr="004A7CA6">
              <w:rPr>
                <w:rFonts w:eastAsia="Malgun Gothic"/>
                <w:bCs/>
                <w:lang w:eastAsia="zh-CN"/>
              </w:rPr>
              <w:t>if</w:t>
            </w:r>
            <w:r w:rsidRPr="004A7CA6">
              <w:rPr>
                <w:rFonts w:eastAsia="MS Mincho"/>
                <w:bCs/>
                <w:lang w:eastAsia="ja-JP"/>
              </w:rPr>
              <w:t xml:space="preserve"> </w:t>
            </w:r>
            <w:r w:rsidRPr="004A7CA6">
              <w:rPr>
                <w:bCs/>
              </w:rPr>
              <w:t xml:space="preserve">the time offset between the reception of the DL DCI and the corresponding PDSCH is equal or larger than the threshold </w:t>
            </w:r>
            <w:r w:rsidRPr="004A7CA6">
              <w:rPr>
                <w:bCs/>
                <w:i/>
                <w:iCs/>
              </w:rPr>
              <w:t>timeDurationForQCL</w:t>
            </w:r>
            <w:r w:rsidRPr="004A7CA6">
              <w:rPr>
                <w:bCs/>
              </w:rPr>
              <w:t xml:space="preserve"> </w:t>
            </w:r>
          </w:p>
          <w:p w14:paraId="4637C1BF" w14:textId="77777777" w:rsidR="00E84F2E" w:rsidRPr="004A7CA6" w:rsidRDefault="00E84F2E" w:rsidP="00B67785">
            <w:pPr>
              <w:pStyle w:val="ListParagraph"/>
              <w:widowControl w:val="0"/>
              <w:numPr>
                <w:ilvl w:val="0"/>
                <w:numId w:val="62"/>
              </w:numPr>
              <w:spacing w:before="0" w:line="240" w:lineRule="auto"/>
              <w:ind w:firstLine="0"/>
              <w:rPr>
                <w:bCs/>
              </w:rPr>
            </w:pPr>
            <w:r w:rsidRPr="004A7CA6">
              <w:rPr>
                <w:bCs/>
              </w:rPr>
              <w:t>Support configuration when there is no TCI field in the DCI scheduling PDSCH</w:t>
            </w:r>
          </w:p>
          <w:p w14:paraId="64109A32" w14:textId="77777777" w:rsidR="00E84F2E" w:rsidRPr="004A7CA6" w:rsidRDefault="00E84F2E" w:rsidP="00B67785">
            <w:pPr>
              <w:pStyle w:val="ListParagraph"/>
              <w:widowControl w:val="0"/>
              <w:numPr>
                <w:ilvl w:val="1"/>
                <w:numId w:val="62"/>
              </w:numPr>
              <w:spacing w:before="0" w:line="240" w:lineRule="auto"/>
              <w:ind w:firstLine="0"/>
            </w:pPr>
            <w:r w:rsidRPr="004A7CA6">
              <w:t xml:space="preserve">UE applies the state(s) of the </w:t>
            </w:r>
            <w:r w:rsidRPr="004A7CA6">
              <w:rPr>
                <w:rFonts w:eastAsia="MS Mincho"/>
                <w:bCs/>
                <w:lang w:eastAsia="ja-JP"/>
              </w:rPr>
              <w:t>scheduling</w:t>
            </w:r>
            <w:r w:rsidRPr="004A7CA6">
              <w:t xml:space="preserve"> CORESET when receiving the PDSCH </w:t>
            </w:r>
          </w:p>
          <w:p w14:paraId="6BF859E3" w14:textId="77777777" w:rsidR="00E84F2E" w:rsidRPr="004A7CA6" w:rsidRDefault="00E84F2E" w:rsidP="00B67785">
            <w:pPr>
              <w:pStyle w:val="ListParagraph"/>
              <w:widowControl w:val="0"/>
              <w:numPr>
                <w:ilvl w:val="2"/>
                <w:numId w:val="62"/>
              </w:numPr>
              <w:spacing w:before="0" w:line="240" w:lineRule="auto"/>
              <w:ind w:firstLine="0"/>
            </w:pPr>
            <w:r w:rsidRPr="004A7CA6">
              <w:t xml:space="preserve">if there are two active TCI states for the CORESET, UE applies the both QCL assumption of the CORESET that schedules the PDSCH when receiving the PDSCH </w:t>
            </w:r>
          </w:p>
          <w:p w14:paraId="319D3E9F" w14:textId="77777777" w:rsidR="00E84F2E" w:rsidRPr="004A7CA6" w:rsidRDefault="00E84F2E" w:rsidP="00B67785">
            <w:pPr>
              <w:pStyle w:val="ListParagraph"/>
              <w:widowControl w:val="0"/>
              <w:numPr>
                <w:ilvl w:val="2"/>
                <w:numId w:val="62"/>
              </w:numPr>
              <w:spacing w:before="0" w:line="240" w:lineRule="auto"/>
              <w:ind w:firstLine="0"/>
              <w:rPr>
                <w:bCs/>
              </w:rPr>
            </w:pPr>
            <w:r w:rsidRPr="004A7CA6">
              <w:t>otherwise, UE applies the one active TCI state of the CORESET when receiving the PDSCH</w:t>
            </w:r>
          </w:p>
          <w:p w14:paraId="787815A0" w14:textId="1719B10E" w:rsidR="00E84F2E" w:rsidRPr="004A7CA6" w:rsidRDefault="00E84F2E" w:rsidP="00B67785">
            <w:pPr>
              <w:pStyle w:val="ListParagraph"/>
              <w:widowControl w:val="0"/>
              <w:numPr>
                <w:ilvl w:val="0"/>
                <w:numId w:val="62"/>
              </w:numPr>
              <w:spacing w:before="0" w:line="240" w:lineRule="auto"/>
              <w:ind w:firstLine="0"/>
              <w:rPr>
                <w:bCs/>
              </w:rPr>
            </w:pPr>
            <w:r w:rsidRPr="004A7CA6">
              <w:rPr>
                <w:rFonts w:eastAsia="Malgun Gothic"/>
                <w:bCs/>
                <w:lang w:eastAsia="zh-CN"/>
              </w:rPr>
              <w:t>FFS if</w:t>
            </w:r>
            <w:r w:rsidRPr="004A7CA6">
              <w:rPr>
                <w:rFonts w:eastAsia="MS Mincho"/>
                <w:bCs/>
                <w:lang w:eastAsia="ja-JP"/>
              </w:rPr>
              <w:t xml:space="preserve"> </w:t>
            </w:r>
            <w:r w:rsidRPr="004A7CA6">
              <w:rPr>
                <w:bCs/>
              </w:rPr>
              <w:t>the time offset between the reception of the DL DCI and the corresponding PDSCH is smaller</w:t>
            </w:r>
            <w:r>
              <w:rPr>
                <w:bCs/>
              </w:rPr>
              <w:t xml:space="preserve"> </w:t>
            </w:r>
            <w:r w:rsidRPr="004A7CA6">
              <w:rPr>
                <w:bCs/>
              </w:rPr>
              <w:t xml:space="preserve">than the threshold </w:t>
            </w:r>
            <w:r w:rsidRPr="004A7CA6">
              <w:rPr>
                <w:bCs/>
                <w:i/>
                <w:iCs/>
              </w:rPr>
              <w:t>timeDurationForQCL</w:t>
            </w:r>
          </w:p>
          <w:p w14:paraId="5AF4A55F" w14:textId="33EEE77F" w:rsidR="00DD44EC" w:rsidRPr="00455029" w:rsidRDefault="00E84F2E" w:rsidP="00B67785">
            <w:pPr>
              <w:rPr>
                <w:rFonts w:ascii="Times" w:eastAsia="SimSun" w:hAnsi="Times" w:cs="Times"/>
              </w:rPr>
            </w:pPr>
            <w:r w:rsidRPr="004A7CA6">
              <w:t xml:space="preserve">This is </w:t>
            </w:r>
            <w:r>
              <w:t xml:space="preserve">a </w:t>
            </w:r>
            <w:r w:rsidRPr="004A7CA6">
              <w:t>UE optional feature</w:t>
            </w:r>
            <w:r>
              <w:t>.</w:t>
            </w:r>
          </w:p>
        </w:tc>
      </w:tr>
    </w:tbl>
    <w:p w14:paraId="56AE2E85" w14:textId="6F570A20" w:rsidR="00090A7E" w:rsidRDefault="00F051BA" w:rsidP="00090A7E">
      <w:pPr>
        <w:spacing w:after="0"/>
        <w:rPr>
          <w:rFonts w:eastAsia="Batang"/>
          <w:lang w:val="en-US" w:eastAsia="ko-KR"/>
        </w:rPr>
      </w:pPr>
      <w:r>
        <w:rPr>
          <w:rFonts w:eastAsia="Batang"/>
          <w:lang w:val="en-US" w:eastAsia="ko-KR"/>
        </w:rPr>
        <w:t xml:space="preserve">In Rel-15/16, there is a number of </w:t>
      </w:r>
      <w:r w:rsidR="00BE3FDB">
        <w:rPr>
          <w:rFonts w:eastAsia="Batang"/>
          <w:lang w:val="en-US" w:eastAsia="ko-KR"/>
        </w:rPr>
        <w:t xml:space="preserve">other </w:t>
      </w:r>
      <w:r>
        <w:rPr>
          <w:rFonts w:eastAsia="Batang"/>
          <w:lang w:val="en-US" w:eastAsia="ko-KR"/>
        </w:rPr>
        <w:t>cases in which the default TCI state for PDSCH reception is based on a CORESET TCI state</w:t>
      </w:r>
      <w:r w:rsidR="00202D78">
        <w:rPr>
          <w:rFonts w:eastAsia="Batang"/>
          <w:lang w:val="en-US" w:eastAsia="ko-KR"/>
        </w:rPr>
        <w:t xml:space="preserve"> (in the latest monitored slot)</w:t>
      </w:r>
      <w:r>
        <w:rPr>
          <w:rFonts w:eastAsia="Batang"/>
          <w:lang w:val="en-US" w:eastAsia="ko-KR"/>
        </w:rPr>
        <w:t xml:space="preserve">. </w:t>
      </w:r>
      <w:r w:rsidR="00794CE7">
        <w:rPr>
          <w:rFonts w:eastAsia="Batang"/>
          <w:lang w:val="en-US" w:eastAsia="ko-KR"/>
        </w:rPr>
        <w:t xml:space="preserve">Since a CORESET with two activated TCI states is supported in Rel-17, the default TCI for PDSCH needs to be discussed. </w:t>
      </w:r>
    </w:p>
    <w:p w14:paraId="2D656457" w14:textId="77777777" w:rsidR="00090A7E" w:rsidRDefault="00794CE7" w:rsidP="00090A7E">
      <w:pPr>
        <w:pStyle w:val="ListParagraph"/>
        <w:numPr>
          <w:ilvl w:val="0"/>
          <w:numId w:val="58"/>
        </w:numPr>
      </w:pPr>
      <w:r w:rsidRPr="00090A7E">
        <w:t xml:space="preserve">If one of the two activated TCI states is applied to PDSCH, </w:t>
      </w:r>
      <w:r w:rsidR="0087532F" w:rsidRPr="00090A7E">
        <w:t xml:space="preserve">which one should be clarified. </w:t>
      </w:r>
    </w:p>
    <w:p w14:paraId="79152414" w14:textId="41928782" w:rsidR="00090A7E" w:rsidRPr="00090A7E" w:rsidRDefault="0087532F" w:rsidP="00090A7E">
      <w:pPr>
        <w:pStyle w:val="ListParagraph"/>
        <w:numPr>
          <w:ilvl w:val="0"/>
          <w:numId w:val="58"/>
        </w:numPr>
      </w:pPr>
      <w:r w:rsidRPr="00090A7E">
        <w:lastRenderedPageBreak/>
        <w:t xml:space="preserve">If both of the two activated TCI states are applied to PDSCH, this needs to be described. </w:t>
      </w:r>
    </w:p>
    <w:p w14:paraId="7CEB74E1" w14:textId="171E1B97" w:rsidR="00F051BA" w:rsidRDefault="0087532F" w:rsidP="00090A7E">
      <w:pPr>
        <w:spacing w:after="0"/>
        <w:rPr>
          <w:rFonts w:eastAsia="Batang"/>
          <w:lang w:val="en-US" w:eastAsia="ko-KR"/>
        </w:rPr>
      </w:pPr>
      <w:r>
        <w:rPr>
          <w:rFonts w:eastAsia="Batang"/>
          <w:lang w:val="en-US" w:eastAsia="ko-KR"/>
        </w:rPr>
        <w:t>At least the following cases are relevant:</w:t>
      </w:r>
    </w:p>
    <w:p w14:paraId="2265EE13" w14:textId="1D023B05" w:rsidR="0087532F" w:rsidRPr="00427637" w:rsidRDefault="003A7117" w:rsidP="00427637">
      <w:pPr>
        <w:pStyle w:val="ListParagraph"/>
        <w:numPr>
          <w:ilvl w:val="0"/>
          <w:numId w:val="57"/>
        </w:numPr>
      </w:pPr>
      <w:r>
        <w:t xml:space="preserve">Case 1: </w:t>
      </w:r>
      <w:r w:rsidR="0087532F">
        <w:t>If the offset between the DCI and the corresponding PDSCH is less than the threshold:</w:t>
      </w:r>
    </w:p>
    <w:p w14:paraId="2B0725A2" w14:textId="607554D8" w:rsidR="0087532F" w:rsidRDefault="0087532F" w:rsidP="00427637">
      <w:pPr>
        <w:pStyle w:val="ListParagraph"/>
        <w:numPr>
          <w:ilvl w:val="1"/>
          <w:numId w:val="56"/>
        </w:numPr>
      </w:pPr>
      <w:r>
        <w:t xml:space="preserve">The UE is not configured with </w:t>
      </w:r>
      <w:r w:rsidRPr="0087532F">
        <w:rPr>
          <w:i/>
          <w:iCs/>
        </w:rPr>
        <w:t>enableTwoDefaultTCI-States</w:t>
      </w:r>
    </w:p>
    <w:p w14:paraId="4E2815E7" w14:textId="029D9A11" w:rsidR="0087532F" w:rsidRDefault="0087532F" w:rsidP="00427637">
      <w:pPr>
        <w:pStyle w:val="ListParagraph"/>
        <w:numPr>
          <w:ilvl w:val="1"/>
          <w:numId w:val="56"/>
        </w:numPr>
      </w:pPr>
      <w:r>
        <w:t xml:space="preserve">The UE is configured with </w:t>
      </w:r>
      <w:r w:rsidRPr="0087532F">
        <w:rPr>
          <w:i/>
          <w:iCs/>
        </w:rPr>
        <w:t>enableTwoDefaultTCI-States</w:t>
      </w:r>
      <w:r w:rsidRPr="0087532F">
        <w:t xml:space="preserve">, </w:t>
      </w:r>
      <w:r w:rsidR="00090A7E">
        <w:t>but</w:t>
      </w:r>
      <w:r w:rsidRPr="0087532F">
        <w:t xml:space="preserve"> </w:t>
      </w:r>
      <w:r>
        <w:t>no</w:t>
      </w:r>
      <w:r w:rsidRPr="0087532F">
        <w:t xml:space="preserve"> TCI codepoint indicates two TCI states</w:t>
      </w:r>
      <w:r>
        <w:t>.</w:t>
      </w:r>
    </w:p>
    <w:p w14:paraId="607F16BE" w14:textId="0EBCD4F1" w:rsidR="00F051BA" w:rsidRDefault="003A7117" w:rsidP="00427637">
      <w:pPr>
        <w:pStyle w:val="ListParagraph"/>
        <w:numPr>
          <w:ilvl w:val="0"/>
          <w:numId w:val="56"/>
        </w:numPr>
      </w:pPr>
      <w:r>
        <w:t xml:space="preserve">Case 2: </w:t>
      </w:r>
      <w:r w:rsidR="00427637" w:rsidRPr="00427637">
        <w:t xml:space="preserve">If the TCI field is not present in the DCI and the </w:t>
      </w:r>
      <w:r w:rsidR="00090A7E">
        <w:t>offset is equal to or larger than the threshold:</w:t>
      </w:r>
    </w:p>
    <w:p w14:paraId="7D9E5035" w14:textId="2FE00804" w:rsidR="00090A7E" w:rsidRDefault="003A7117" w:rsidP="00090A7E">
      <w:pPr>
        <w:pStyle w:val="ListParagraph"/>
        <w:numPr>
          <w:ilvl w:val="1"/>
          <w:numId w:val="56"/>
        </w:numPr>
      </w:pPr>
      <w:r>
        <w:t xml:space="preserve">Case 2.1: </w:t>
      </w:r>
      <w:r w:rsidR="00090A7E">
        <w:t>The scheduled PDSCH is single-TRP.</w:t>
      </w:r>
    </w:p>
    <w:p w14:paraId="77C6D584" w14:textId="02CEDF3D" w:rsidR="00090A7E" w:rsidRPr="00427637" w:rsidRDefault="003A7117" w:rsidP="00090A7E">
      <w:pPr>
        <w:pStyle w:val="ListParagraph"/>
        <w:numPr>
          <w:ilvl w:val="1"/>
          <w:numId w:val="56"/>
        </w:numPr>
      </w:pPr>
      <w:r>
        <w:t xml:space="preserve">Case 2.2: </w:t>
      </w:r>
      <w:r w:rsidR="00090A7E">
        <w:t>The scheduled PDSCH is multi-TRP (single-DCI based</w:t>
      </w:r>
      <w:r w:rsidR="00A020AC">
        <w:t xml:space="preserve"> scheme</w:t>
      </w:r>
      <w:r w:rsidR="00090A7E">
        <w:t>).</w:t>
      </w:r>
    </w:p>
    <w:p w14:paraId="5970CBF9" w14:textId="03357EB8" w:rsidR="00455DE8" w:rsidRDefault="00DD44EC" w:rsidP="00313AC7">
      <w:pPr>
        <w:rPr>
          <w:rFonts w:eastAsia="Batang"/>
          <w:lang w:val="en-US" w:eastAsia="ko-KR"/>
        </w:rPr>
      </w:pPr>
      <w:r>
        <w:rPr>
          <w:rFonts w:eastAsia="Batang"/>
          <w:lang w:val="en-US" w:eastAsia="ko-KR"/>
        </w:rPr>
        <w:t xml:space="preserve">It is preferable to use the same principle for these cases. </w:t>
      </w:r>
    </w:p>
    <w:p w14:paraId="364AFE02" w14:textId="5534AB5C" w:rsidR="009A0AAB" w:rsidRDefault="009A0AAB" w:rsidP="00313AC7">
      <w:pPr>
        <w:rPr>
          <w:rFonts w:eastAsia="Batang"/>
          <w:lang w:val="en-US" w:eastAsia="ko-KR"/>
        </w:rPr>
      </w:pPr>
      <w:r>
        <w:rPr>
          <w:rFonts w:eastAsia="Batang"/>
          <w:lang w:val="en-US" w:eastAsia="ko-KR"/>
        </w:rPr>
        <w:t>For Case 1, one of the TCI states of the CORESET with the lowest CORESET ID can be applied as default beam.</w:t>
      </w:r>
    </w:p>
    <w:p w14:paraId="475324D9" w14:textId="1044DEDA" w:rsidR="00453ABA" w:rsidRPr="008B3854" w:rsidRDefault="00DD44EC" w:rsidP="008B3854">
      <w:pPr>
        <w:spacing w:after="0"/>
        <w:rPr>
          <w:rFonts w:eastAsia="Batang"/>
          <w:b/>
          <w:iCs/>
          <w:szCs w:val="22"/>
          <w:lang w:val="en-US" w:eastAsia="ko-KR"/>
        </w:rPr>
      </w:pPr>
      <w:r w:rsidRPr="00C826B7">
        <w:rPr>
          <w:rFonts w:eastAsia="Batang"/>
          <w:b/>
          <w:i/>
          <w:szCs w:val="22"/>
          <w:lang w:val="en-US" w:eastAsia="ko-KR"/>
        </w:rPr>
        <w:t xml:space="preserve">Proposal </w:t>
      </w:r>
      <w:r w:rsidR="0080034B">
        <w:rPr>
          <w:rFonts w:eastAsia="Batang"/>
          <w:b/>
          <w:i/>
          <w:szCs w:val="22"/>
          <w:lang w:val="en-US" w:eastAsia="ko-KR"/>
        </w:rPr>
        <w:t>1</w:t>
      </w:r>
      <w:r w:rsidRPr="00C826B7">
        <w:rPr>
          <w:rFonts w:eastAsia="Batang"/>
          <w:b/>
          <w:i/>
          <w:szCs w:val="22"/>
          <w:lang w:val="en-US" w:eastAsia="ko-KR"/>
        </w:rPr>
        <w:t xml:space="preserve">: </w:t>
      </w:r>
      <w:r w:rsidR="009A0AAB">
        <w:rPr>
          <w:rFonts w:eastAsia="Batang"/>
          <w:b/>
          <w:iCs/>
          <w:szCs w:val="22"/>
          <w:lang w:val="en-US" w:eastAsia="ko-KR"/>
        </w:rPr>
        <w:t xml:space="preserve">If </w:t>
      </w:r>
      <w:r w:rsidR="009A0AAB" w:rsidRPr="009A0AAB">
        <w:rPr>
          <w:rFonts w:eastAsia="Batang"/>
          <w:b/>
          <w:iCs/>
          <w:szCs w:val="22"/>
          <w:lang w:val="en-US" w:eastAsia="ko-KR"/>
        </w:rPr>
        <w:t>the offset between the DCI and the corresponding PDSCH is less than the threshold</w:t>
      </w:r>
      <w:r w:rsidR="009A0AAB">
        <w:rPr>
          <w:rFonts w:eastAsia="Batang"/>
          <w:b/>
          <w:iCs/>
          <w:szCs w:val="22"/>
          <w:lang w:val="en-US" w:eastAsia="ko-KR"/>
        </w:rPr>
        <w:t>,</w:t>
      </w:r>
      <w:r w:rsidR="009A0AAB" w:rsidRPr="009A0AAB">
        <w:rPr>
          <w:rFonts w:eastAsia="Batang"/>
          <w:b/>
          <w:iCs/>
          <w:szCs w:val="22"/>
          <w:lang w:val="en-US" w:eastAsia="ko-KR"/>
        </w:rPr>
        <w:t xml:space="preserve"> </w:t>
      </w:r>
      <w:r w:rsidR="009A0AAB">
        <w:rPr>
          <w:rFonts w:eastAsia="Batang"/>
          <w:b/>
          <w:iCs/>
          <w:szCs w:val="22"/>
          <w:lang w:val="en-US" w:eastAsia="ko-KR"/>
        </w:rPr>
        <w:t xml:space="preserve">and the </w:t>
      </w:r>
      <w:r w:rsidR="009A0AAB" w:rsidRPr="009A0AAB">
        <w:rPr>
          <w:rFonts w:eastAsia="Batang"/>
          <w:b/>
          <w:iCs/>
          <w:szCs w:val="22"/>
          <w:lang w:val="en-US" w:eastAsia="ko-KR"/>
        </w:rPr>
        <w:t xml:space="preserve">UE is not configured with </w:t>
      </w:r>
      <w:r w:rsidR="009A0AAB" w:rsidRPr="00B67785">
        <w:rPr>
          <w:rFonts w:eastAsia="Batang"/>
          <w:b/>
          <w:i/>
          <w:szCs w:val="22"/>
          <w:lang w:val="en-US" w:eastAsia="ko-KR"/>
        </w:rPr>
        <w:t>enableTwoDefaultTCI-States</w:t>
      </w:r>
      <w:r w:rsidR="009A0AAB">
        <w:rPr>
          <w:rFonts w:eastAsia="Batang"/>
          <w:b/>
          <w:iCs/>
          <w:szCs w:val="22"/>
          <w:lang w:val="en-US" w:eastAsia="ko-KR"/>
        </w:rPr>
        <w:t>, and the CORESET with lowest CORESET ID in the latest slot has two activated TCI states, select the first TCI state as a default TCI state for PDSCH reception.</w:t>
      </w:r>
    </w:p>
    <w:p w14:paraId="05EFA251" w14:textId="7E0D90C1" w:rsidR="00D81508" w:rsidRDefault="003B3E19" w:rsidP="00313AC7">
      <w:pPr>
        <w:rPr>
          <w:rFonts w:eastAsia="Batang"/>
          <w:lang w:val="en-US" w:eastAsia="ko-KR"/>
        </w:rPr>
      </w:pPr>
      <w:r>
        <w:rPr>
          <w:rFonts w:eastAsia="Batang"/>
          <w:lang w:val="en-US" w:eastAsia="ko-KR"/>
        </w:rPr>
        <w:t xml:space="preserve">The mode of operation when the TCI field isn’t present in DCI is </w:t>
      </w:r>
      <w:r w:rsidR="00B00662">
        <w:rPr>
          <w:rFonts w:eastAsia="Batang"/>
          <w:lang w:val="en-US" w:eastAsia="ko-KR"/>
        </w:rPr>
        <w:t xml:space="preserve">generally </w:t>
      </w:r>
      <w:r>
        <w:rPr>
          <w:rFonts w:eastAsia="Batang"/>
          <w:lang w:val="en-US" w:eastAsia="ko-KR"/>
        </w:rPr>
        <w:t xml:space="preserve">to use the same TCI state for the scheduled PDSCH as for the PDCCH that scheduled the PDSCH (after the threshold). As the beam for PDCCH is updated using MAC CE based activation for the CORESET, so is the beam for PDSCH. Since Rel-16 CORESETs are activated with a single TCI state, </w:t>
      </w:r>
      <w:r w:rsidR="003A7117">
        <w:rPr>
          <w:rFonts w:eastAsia="Batang"/>
          <w:lang w:val="en-US" w:eastAsia="ko-KR"/>
        </w:rPr>
        <w:t>Case 2.2 above isn’t supported in Rel-16</w:t>
      </w:r>
      <w:r>
        <w:rPr>
          <w:rFonts w:eastAsia="Batang"/>
          <w:lang w:val="en-US" w:eastAsia="ko-KR"/>
        </w:rPr>
        <w:t>. With the introduced support of two activated TCI states for a CORESET</w:t>
      </w:r>
      <w:r w:rsidR="003A7117">
        <w:rPr>
          <w:rFonts w:eastAsia="Batang"/>
          <w:lang w:val="en-US" w:eastAsia="ko-KR"/>
        </w:rPr>
        <w:t xml:space="preserve"> </w:t>
      </w:r>
      <w:r>
        <w:rPr>
          <w:rFonts w:eastAsia="Batang"/>
          <w:lang w:val="en-US" w:eastAsia="ko-KR"/>
        </w:rPr>
        <w:t xml:space="preserve">in Rel-17, </w:t>
      </w:r>
      <w:r w:rsidR="0063698E">
        <w:rPr>
          <w:rFonts w:eastAsia="Batang"/>
          <w:lang w:val="en-US" w:eastAsia="ko-KR"/>
        </w:rPr>
        <w:t xml:space="preserve">it was also agreed to support </w:t>
      </w:r>
      <w:r>
        <w:rPr>
          <w:rFonts w:eastAsia="Batang"/>
          <w:lang w:val="en-US" w:eastAsia="ko-KR"/>
        </w:rPr>
        <w:t>Case 2.2</w:t>
      </w:r>
      <w:r w:rsidR="0063698E">
        <w:rPr>
          <w:rFonts w:eastAsia="Batang"/>
          <w:lang w:val="en-US" w:eastAsia="ko-KR"/>
        </w:rPr>
        <w:t xml:space="preserve"> for DCI format 1_0</w:t>
      </w:r>
      <w:r w:rsidR="00D81508">
        <w:rPr>
          <w:rFonts w:eastAsia="Batang"/>
          <w:lang w:val="en-US" w:eastAsia="ko-KR"/>
        </w:rPr>
        <w:t>, while DCI format 1_1 and 1_2 was left in brackets. DCI format 1_1 and 1_2 can in general be configured without a TCI field. There seems to be no strong motivation to exclude DCI format 1_1 and 1_2 from the functionality agreed for format 1_0.</w:t>
      </w:r>
    </w:p>
    <w:p w14:paraId="69773CFD" w14:textId="2D7369AB" w:rsidR="00D81508" w:rsidRPr="008C273C" w:rsidRDefault="00D81508" w:rsidP="00313AC7">
      <w:pPr>
        <w:rPr>
          <w:rFonts w:eastAsia="Batang"/>
          <w:iCs/>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iCs/>
          <w:szCs w:val="22"/>
          <w:lang w:val="en-US" w:eastAsia="ko-KR"/>
        </w:rPr>
        <w:t xml:space="preserve">Remove brackets around </w:t>
      </w:r>
      <w:r w:rsidRPr="00D81508">
        <w:rPr>
          <w:rFonts w:eastAsia="Batang"/>
          <w:b/>
          <w:iCs/>
          <w:szCs w:val="22"/>
          <w:lang w:val="en-US" w:eastAsia="ko-KR"/>
        </w:rPr>
        <w:t>[1_1 and 1_2]</w:t>
      </w:r>
      <w:r>
        <w:rPr>
          <w:rFonts w:eastAsia="Batang"/>
          <w:b/>
          <w:iCs/>
          <w:szCs w:val="22"/>
          <w:lang w:val="en-US" w:eastAsia="ko-KR"/>
        </w:rPr>
        <w:t xml:space="preserve">, i.e. support scheduling of multi-TPR PDSCH </w:t>
      </w:r>
      <w:r w:rsidR="00030457">
        <w:rPr>
          <w:rFonts w:eastAsia="Batang"/>
          <w:b/>
          <w:iCs/>
          <w:szCs w:val="22"/>
          <w:lang w:val="en-US" w:eastAsia="ko-KR"/>
        </w:rPr>
        <w:t xml:space="preserve">(Rel-16/17 schemes) also </w:t>
      </w:r>
      <w:r>
        <w:rPr>
          <w:rFonts w:eastAsia="Batang"/>
          <w:b/>
          <w:iCs/>
          <w:szCs w:val="22"/>
          <w:lang w:val="en-US" w:eastAsia="ko-KR"/>
        </w:rPr>
        <w:t>by DCI format 1_1 and 1_2 without a TCI field present.</w:t>
      </w:r>
    </w:p>
    <w:p w14:paraId="4B8FB4E0" w14:textId="5423A9E1" w:rsidR="003A7117" w:rsidRDefault="00047AC3" w:rsidP="00313AC7">
      <w:pPr>
        <w:rPr>
          <w:rFonts w:eastAsia="Batang"/>
          <w:lang w:val="en-US" w:eastAsia="ko-KR"/>
        </w:rPr>
      </w:pPr>
      <w:r>
        <w:rPr>
          <w:rFonts w:eastAsia="Batang"/>
          <w:lang w:val="en-US" w:eastAsia="ko-KR"/>
        </w:rPr>
        <w:t>For the case that the DCI is configured without TCI field, the default beam for PDSCH if the offset is less than the threshold should be same as if the DCI is configured with a TCI field</w:t>
      </w:r>
      <w:r w:rsidR="003B3E19">
        <w:rPr>
          <w:rFonts w:eastAsia="Batang"/>
          <w:lang w:val="en-US" w:eastAsia="ko-KR"/>
        </w:rPr>
        <w:t>.</w:t>
      </w:r>
      <w:r w:rsidR="00C162D4">
        <w:rPr>
          <w:rFonts w:eastAsia="Batang"/>
          <w:lang w:val="en-US" w:eastAsia="ko-KR"/>
        </w:rPr>
        <w:t xml:space="preserve"> The TCI indicated by the TCI field in the DCI is used only when the offset is equal to or larger than the offset.</w:t>
      </w:r>
    </w:p>
    <w:p w14:paraId="698F2F58" w14:textId="1884359C" w:rsidR="00C162D4" w:rsidRDefault="00C162D4" w:rsidP="00C162D4">
      <w:pPr>
        <w:spacing w:after="0"/>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iCs/>
          <w:szCs w:val="22"/>
          <w:lang w:val="en-US" w:eastAsia="ko-KR"/>
        </w:rPr>
        <w:t xml:space="preserve">If </w:t>
      </w:r>
      <w:r w:rsidRPr="009A0AAB">
        <w:rPr>
          <w:rFonts w:eastAsia="Batang"/>
          <w:b/>
          <w:iCs/>
          <w:szCs w:val="22"/>
          <w:lang w:val="en-US" w:eastAsia="ko-KR"/>
        </w:rPr>
        <w:t>the offset between the DCI and the corresponding PDSCH is less than the threshold</w:t>
      </w:r>
      <w:r>
        <w:rPr>
          <w:rFonts w:eastAsia="Batang"/>
          <w:b/>
          <w:iCs/>
          <w:szCs w:val="22"/>
          <w:lang w:val="en-US" w:eastAsia="ko-KR"/>
        </w:rPr>
        <w:t>,</w:t>
      </w:r>
      <w:r w:rsidRPr="009A0AAB">
        <w:rPr>
          <w:rFonts w:eastAsia="Batang"/>
          <w:b/>
          <w:iCs/>
          <w:szCs w:val="22"/>
          <w:lang w:val="en-US" w:eastAsia="ko-KR"/>
        </w:rPr>
        <w:t xml:space="preserve"> </w:t>
      </w:r>
      <w:r>
        <w:rPr>
          <w:rFonts w:eastAsia="Batang"/>
          <w:b/>
          <w:iCs/>
          <w:szCs w:val="22"/>
          <w:lang w:val="en-US" w:eastAsia="ko-KR"/>
        </w:rPr>
        <w:t>the default beam for the case that the DCI has no TCI field is the same as for the case that the DCI has a TCI field.</w:t>
      </w:r>
    </w:p>
    <w:p w14:paraId="23096FD3" w14:textId="7BA09C15" w:rsidR="00C162D4" w:rsidRPr="008B3854" w:rsidRDefault="00C162D4" w:rsidP="00C162D4">
      <w:pPr>
        <w:spacing w:after="0"/>
        <w:rPr>
          <w:rFonts w:eastAsia="Batang"/>
          <w:b/>
          <w:iCs/>
          <w:szCs w:val="22"/>
          <w:lang w:val="en-US" w:eastAsia="ko-KR"/>
        </w:rPr>
      </w:pPr>
    </w:p>
    <w:p w14:paraId="077E7056" w14:textId="1E26F685" w:rsidR="003B0525" w:rsidRDefault="003B0525" w:rsidP="003B0525">
      <w:pPr>
        <w:pStyle w:val="Heading2"/>
        <w:spacing w:before="0"/>
      </w:pPr>
      <w:r>
        <w:t xml:space="preserve">2.2 </w:t>
      </w:r>
      <w:r w:rsidR="00973BF0">
        <w:t xml:space="preserve">Beam Failure </w:t>
      </w:r>
      <w:r w:rsidR="00BF261C">
        <w:t>Recovery</w:t>
      </w:r>
      <w:r w:rsidR="00973BF0">
        <w:t xml:space="preserve"> (BF</w:t>
      </w:r>
      <w:r w:rsidR="00BF261C">
        <w:t>R</w:t>
      </w:r>
      <w:r w:rsidR="00973BF0">
        <w:t>)</w:t>
      </w:r>
      <w:r w:rsidR="00F051BA">
        <w:t xml:space="preserve"> when CORESET has Two Activated TCI States</w:t>
      </w:r>
    </w:p>
    <w:p w14:paraId="68B5665D" w14:textId="290FCA31" w:rsidR="009A0AAB" w:rsidRDefault="009A0AAB" w:rsidP="00060555">
      <w:pPr>
        <w:rPr>
          <w:rFonts w:eastAsia="Batang"/>
          <w:lang w:val="en-US" w:eastAsia="ko-KR"/>
        </w:rPr>
      </w:pPr>
      <w:r>
        <w:rPr>
          <w:rFonts w:eastAsia="Batang"/>
          <w:lang w:val="en-US" w:eastAsia="ko-KR"/>
        </w:rPr>
        <w:t>The following was agreed in RAN1#105-e</w:t>
      </w:r>
      <w:r w:rsidR="001048EB">
        <w:rPr>
          <w:rFonts w:eastAsia="Batang"/>
          <w:lang w:val="en-US" w:eastAsia="ko-KR"/>
        </w:rPr>
        <w:t xml:space="preserve"> and RAN1#106-e</w:t>
      </w:r>
      <w:r>
        <w:rPr>
          <w:rFonts w:eastAsia="Batang"/>
          <w:lang w:val="en-US" w:eastAsia="ko-KR"/>
        </w:rPr>
        <w:t>.</w:t>
      </w:r>
    </w:p>
    <w:tbl>
      <w:tblPr>
        <w:tblStyle w:val="TableGrid"/>
        <w:tblW w:w="0" w:type="auto"/>
        <w:tblLook w:val="04A0" w:firstRow="1" w:lastRow="0" w:firstColumn="1" w:lastColumn="0" w:noHBand="0" w:noVBand="1"/>
      </w:tblPr>
      <w:tblGrid>
        <w:gridCol w:w="9855"/>
      </w:tblGrid>
      <w:tr w:rsidR="009A0AAB" w14:paraId="56845A89" w14:textId="77777777" w:rsidTr="009A0AAB">
        <w:tc>
          <w:tcPr>
            <w:tcW w:w="9855" w:type="dxa"/>
          </w:tcPr>
          <w:p w14:paraId="6B39C8DA" w14:textId="77777777" w:rsidR="001F50A1" w:rsidRPr="00FD7299" w:rsidRDefault="001F50A1" w:rsidP="001F50A1">
            <w:pPr>
              <w:pStyle w:val="xmsonormal0"/>
              <w:spacing w:before="0" w:beforeAutospacing="0" w:after="0" w:afterAutospacing="0"/>
              <w:rPr>
                <w:rFonts w:ascii="Times" w:hAnsi="Times" w:cs="Times"/>
                <w:sz w:val="20"/>
                <w:szCs w:val="20"/>
                <w:highlight w:val="green"/>
              </w:rPr>
            </w:pPr>
            <w:r w:rsidRPr="00FD7299">
              <w:rPr>
                <w:rStyle w:val="Strong"/>
                <w:rFonts w:ascii="Times" w:hAnsi="Times" w:cs="Times"/>
                <w:color w:val="000000"/>
                <w:sz w:val="20"/>
                <w:szCs w:val="20"/>
                <w:highlight w:val="green"/>
                <w:shd w:val="clear" w:color="auto" w:fill="FFFF00"/>
              </w:rPr>
              <w:t>Agreement</w:t>
            </w:r>
          </w:p>
          <w:p w14:paraId="22DB32F5" w14:textId="77777777" w:rsidR="001F50A1" w:rsidRPr="001F50A1" w:rsidRDefault="001F50A1" w:rsidP="001F50A1">
            <w:pPr>
              <w:rPr>
                <w:rFonts w:cs="Times"/>
              </w:rPr>
            </w:pPr>
            <w:r w:rsidRPr="005C5E7E">
              <w:rPr>
                <w:rFonts w:cs="Times"/>
              </w:rPr>
              <w:t xml:space="preserve">If enhanced SFN PDCCH </w:t>
            </w:r>
            <w:r w:rsidRPr="001F50A1">
              <w:rPr>
                <w:rFonts w:cs="Times"/>
              </w:rPr>
              <w:t>transmission scheme (scheme 1 or TRP-based pre-compensation)</w:t>
            </w:r>
            <w:r w:rsidRPr="001F50A1">
              <w:rPr>
                <w:rStyle w:val="apple-converted-space"/>
                <w:rFonts w:cs="Times"/>
              </w:rPr>
              <w:t> </w:t>
            </w:r>
            <w:r w:rsidRPr="001F50A1">
              <w:rPr>
                <w:rFonts w:cs="Times"/>
              </w:rPr>
              <w:t>is configured</w:t>
            </w:r>
            <w:r w:rsidRPr="001F50A1">
              <w:rPr>
                <w:rStyle w:val="apple-converted-space"/>
                <w:rFonts w:cs="Times"/>
              </w:rPr>
              <w:t> </w:t>
            </w:r>
            <w:r w:rsidRPr="001F50A1">
              <w:rPr>
                <w:rFonts w:cs="Times"/>
              </w:rPr>
              <w:t xml:space="preserve">and </w:t>
            </w:r>
            <w:r w:rsidRPr="008B3854">
              <w:rPr>
                <w:rFonts w:cs="Times"/>
              </w:rPr>
              <w:t>two TCI states are activated for at least one CORESET</w:t>
            </w:r>
            <w:r w:rsidRPr="001F50A1">
              <w:rPr>
                <w:rFonts w:cs="Times"/>
              </w:rPr>
              <w:t xml:space="preserve">, </w:t>
            </w:r>
            <w:r w:rsidRPr="008B3854">
              <w:rPr>
                <w:rFonts w:cs="Times"/>
              </w:rPr>
              <w:t>support the following configuration of RS for BFD</w:t>
            </w:r>
          </w:p>
          <w:p w14:paraId="4E3E99E0" w14:textId="77777777" w:rsidR="001F50A1" w:rsidRPr="001F50A1" w:rsidRDefault="001F50A1" w:rsidP="001F50A1">
            <w:pPr>
              <w:pStyle w:val="xa0"/>
              <w:numPr>
                <w:ilvl w:val="0"/>
                <w:numId w:val="60"/>
              </w:numPr>
              <w:spacing w:before="0" w:beforeAutospacing="0" w:after="0" w:afterAutospacing="0"/>
              <w:jc w:val="both"/>
              <w:rPr>
                <w:rFonts w:ascii="Times" w:eastAsia="Times New Roman" w:hAnsi="Times" w:cs="Times"/>
                <w:sz w:val="20"/>
                <w:szCs w:val="20"/>
              </w:rPr>
            </w:pPr>
            <w:r w:rsidRPr="001F50A1">
              <w:rPr>
                <w:rFonts w:ascii="Times" w:eastAsia="Times New Roman" w:hAnsi="Times" w:cs="Times"/>
                <w:sz w:val="20"/>
                <w:szCs w:val="20"/>
              </w:rPr>
              <w:t xml:space="preserve">Down-select one alternative for </w:t>
            </w:r>
            <w:r w:rsidRPr="008B3854">
              <w:rPr>
                <w:rFonts w:ascii="Times" w:eastAsia="Times New Roman" w:hAnsi="Times" w:cs="Times"/>
                <w:sz w:val="20"/>
                <w:szCs w:val="20"/>
              </w:rPr>
              <w:t>implicit</w:t>
            </w:r>
            <w:r w:rsidRPr="001F50A1">
              <w:rPr>
                <w:rFonts w:ascii="Times" w:eastAsia="Times New Roman" w:hAnsi="Times" w:cs="Times"/>
                <w:sz w:val="20"/>
                <w:szCs w:val="20"/>
              </w:rPr>
              <w:t xml:space="preserve"> configuration</w:t>
            </w:r>
          </w:p>
          <w:p w14:paraId="52A1FB0B" w14:textId="77777777" w:rsidR="001F50A1" w:rsidRPr="001F50A1" w:rsidRDefault="001F50A1" w:rsidP="001F50A1">
            <w:pPr>
              <w:pStyle w:val="xa0"/>
              <w:numPr>
                <w:ilvl w:val="1"/>
                <w:numId w:val="60"/>
              </w:numPr>
              <w:spacing w:before="0" w:beforeAutospacing="0" w:after="0" w:afterAutospacing="0"/>
              <w:jc w:val="both"/>
              <w:rPr>
                <w:rFonts w:ascii="Times" w:eastAsia="Times New Roman" w:hAnsi="Times" w:cs="Times"/>
                <w:sz w:val="20"/>
                <w:szCs w:val="20"/>
              </w:rPr>
            </w:pPr>
            <w:r w:rsidRPr="001F50A1">
              <w:rPr>
                <w:rStyle w:val="Strong"/>
                <w:rFonts w:ascii="Times" w:eastAsia="Times New Roman" w:hAnsi="Times" w:cs="Times"/>
                <w:sz w:val="20"/>
                <w:szCs w:val="20"/>
                <w:lang w:val="en-GB"/>
              </w:rPr>
              <w:t>Alt 1-2</w:t>
            </w:r>
            <w:r w:rsidRPr="001F50A1">
              <w:rPr>
                <w:rFonts w:ascii="Times" w:eastAsia="Times New Roman" w:hAnsi="Times" w:cs="Times"/>
                <w:sz w:val="20"/>
                <w:szCs w:val="20"/>
                <w:lang w:val="en-GB"/>
              </w:rPr>
              <w:t>: RS of CORESETs with both single and two TCI states are used</w:t>
            </w:r>
          </w:p>
          <w:p w14:paraId="2B28B894" w14:textId="77777777" w:rsidR="001F50A1" w:rsidRPr="001F50A1" w:rsidRDefault="001F50A1" w:rsidP="001F50A1">
            <w:pPr>
              <w:pStyle w:val="xa0"/>
              <w:numPr>
                <w:ilvl w:val="1"/>
                <w:numId w:val="60"/>
              </w:numPr>
              <w:spacing w:before="0" w:beforeAutospacing="0" w:after="0" w:afterAutospacing="0"/>
              <w:jc w:val="both"/>
              <w:rPr>
                <w:rFonts w:ascii="Times" w:eastAsia="Times New Roman" w:hAnsi="Times" w:cs="Times"/>
                <w:sz w:val="20"/>
                <w:szCs w:val="20"/>
              </w:rPr>
            </w:pPr>
            <w:r w:rsidRPr="001F50A1">
              <w:rPr>
                <w:rStyle w:val="Strong"/>
                <w:rFonts w:ascii="Times" w:eastAsia="Times New Roman" w:hAnsi="Times" w:cs="Times"/>
                <w:sz w:val="20"/>
                <w:szCs w:val="20"/>
                <w:lang w:val="en-GB"/>
              </w:rPr>
              <w:t>Alt 1-3</w:t>
            </w:r>
            <w:r w:rsidRPr="001F50A1">
              <w:rPr>
                <w:rFonts w:ascii="Times" w:eastAsia="Times New Roman" w:hAnsi="Times" w:cs="Times"/>
                <w:sz w:val="20"/>
                <w:szCs w:val="20"/>
                <w:lang w:val="en-GB"/>
              </w:rPr>
              <w:t>: RS of CORESETs with only two TCI states are used</w:t>
            </w:r>
          </w:p>
          <w:p w14:paraId="543DC89A" w14:textId="77777777" w:rsidR="001F50A1" w:rsidRPr="001F50A1" w:rsidRDefault="001F50A1" w:rsidP="001F50A1">
            <w:pPr>
              <w:pStyle w:val="xa0"/>
              <w:numPr>
                <w:ilvl w:val="0"/>
                <w:numId w:val="60"/>
              </w:numPr>
              <w:spacing w:before="0" w:beforeAutospacing="0" w:after="0" w:afterAutospacing="0"/>
              <w:jc w:val="both"/>
              <w:rPr>
                <w:rFonts w:ascii="Times" w:eastAsia="Times New Roman" w:hAnsi="Times" w:cs="Times"/>
                <w:sz w:val="20"/>
                <w:szCs w:val="20"/>
              </w:rPr>
            </w:pPr>
            <w:r w:rsidRPr="001F50A1">
              <w:rPr>
                <w:rFonts w:ascii="Times" w:eastAsia="Times New Roman" w:hAnsi="Times" w:cs="Times"/>
                <w:sz w:val="20"/>
                <w:szCs w:val="20"/>
              </w:rPr>
              <w:t>Down-select one alternative</w:t>
            </w:r>
            <w:r w:rsidRPr="001F50A1">
              <w:rPr>
                <w:rStyle w:val="apple-converted-space"/>
                <w:rFonts w:ascii="Times" w:eastAsia="Times New Roman" w:hAnsi="Times" w:cs="Times"/>
                <w:sz w:val="20"/>
                <w:szCs w:val="20"/>
                <w:lang w:val="en-GB"/>
              </w:rPr>
              <w:t> </w:t>
            </w:r>
            <w:r w:rsidRPr="001F50A1">
              <w:rPr>
                <w:rFonts w:ascii="Times" w:eastAsia="Times New Roman" w:hAnsi="Times" w:cs="Times"/>
                <w:sz w:val="20"/>
                <w:szCs w:val="20"/>
                <w:lang w:val="en-GB"/>
              </w:rPr>
              <w:t xml:space="preserve">for </w:t>
            </w:r>
            <w:r w:rsidRPr="008B3854">
              <w:rPr>
                <w:rFonts w:ascii="Times" w:eastAsia="Times New Roman" w:hAnsi="Times" w:cs="Times"/>
                <w:sz w:val="20"/>
                <w:szCs w:val="20"/>
                <w:lang w:val="en-GB"/>
              </w:rPr>
              <w:t>explicit</w:t>
            </w:r>
            <w:r w:rsidRPr="001F50A1">
              <w:rPr>
                <w:rFonts w:ascii="Times" w:eastAsia="Times New Roman" w:hAnsi="Times" w:cs="Times"/>
                <w:sz w:val="20"/>
                <w:szCs w:val="20"/>
                <w:lang w:val="en-GB"/>
              </w:rPr>
              <w:t xml:space="preserve"> configuration</w:t>
            </w:r>
          </w:p>
          <w:p w14:paraId="614596AF" w14:textId="77777777" w:rsidR="001F50A1" w:rsidRPr="001F50A1" w:rsidRDefault="001F50A1" w:rsidP="001F50A1">
            <w:pPr>
              <w:pStyle w:val="xa0"/>
              <w:numPr>
                <w:ilvl w:val="1"/>
                <w:numId w:val="60"/>
              </w:numPr>
              <w:spacing w:before="0" w:beforeAutospacing="0" w:after="0" w:afterAutospacing="0"/>
              <w:jc w:val="both"/>
              <w:rPr>
                <w:rFonts w:ascii="Times" w:eastAsia="Times New Roman" w:hAnsi="Times" w:cs="Times"/>
                <w:sz w:val="20"/>
                <w:szCs w:val="20"/>
              </w:rPr>
            </w:pPr>
            <w:r w:rsidRPr="001F50A1">
              <w:rPr>
                <w:rStyle w:val="Strong"/>
                <w:rFonts w:ascii="Times" w:eastAsia="Times New Roman" w:hAnsi="Times" w:cs="Times"/>
                <w:sz w:val="20"/>
                <w:szCs w:val="20"/>
                <w:lang w:val="en-GB"/>
              </w:rPr>
              <w:t>Alt 2-1</w:t>
            </w:r>
            <w:r w:rsidRPr="001F50A1">
              <w:rPr>
                <w:rFonts w:ascii="Times" w:eastAsia="Times New Roman" w:hAnsi="Times" w:cs="Times"/>
                <w:sz w:val="20"/>
                <w:szCs w:val="20"/>
              </w:rPr>
              <w:t>:</w:t>
            </w:r>
            <w:r w:rsidRPr="001F50A1">
              <w:rPr>
                <w:rStyle w:val="apple-converted-space"/>
                <w:rFonts w:ascii="Times" w:eastAsia="Times New Roman" w:hAnsi="Times" w:cs="Times"/>
                <w:sz w:val="20"/>
                <w:szCs w:val="20"/>
              </w:rPr>
              <w:t> </w:t>
            </w:r>
            <w:r w:rsidRPr="008B3854">
              <w:rPr>
                <w:rFonts w:ascii="Times" w:eastAsia="Times New Roman" w:hAnsi="Times" w:cs="Times"/>
                <w:sz w:val="20"/>
                <w:szCs w:val="20"/>
                <w:lang w:val="en-GB"/>
              </w:rPr>
              <w:t>Support defining</w:t>
            </w:r>
            <w:r w:rsidRPr="008B3854">
              <w:rPr>
                <w:rStyle w:val="apple-converted-space"/>
                <w:rFonts w:ascii="Times" w:eastAsia="Times New Roman" w:hAnsi="Times" w:cs="Times"/>
                <w:sz w:val="20"/>
                <w:szCs w:val="20"/>
                <w:lang w:val="en-GB"/>
              </w:rPr>
              <w:t> </w:t>
            </w:r>
            <w:r w:rsidRPr="008B3854">
              <w:rPr>
                <w:rFonts w:ascii="Times" w:eastAsia="Times New Roman" w:hAnsi="Times" w:cs="Times"/>
                <w:sz w:val="20"/>
                <w:szCs w:val="20"/>
              </w:rPr>
              <w:t>CSI-RS resource or SSB pairs as BFD RS</w:t>
            </w:r>
          </w:p>
          <w:p w14:paraId="45B29024" w14:textId="77777777" w:rsidR="001F50A1" w:rsidRPr="001F50A1" w:rsidRDefault="001F50A1" w:rsidP="001F50A1">
            <w:pPr>
              <w:pStyle w:val="xa0"/>
              <w:numPr>
                <w:ilvl w:val="2"/>
                <w:numId w:val="60"/>
              </w:numPr>
              <w:spacing w:before="0" w:beforeAutospacing="0" w:after="0" w:afterAutospacing="0"/>
              <w:jc w:val="both"/>
              <w:rPr>
                <w:rFonts w:ascii="Times" w:eastAsia="Times New Roman" w:hAnsi="Times" w:cs="Times"/>
                <w:sz w:val="20"/>
                <w:szCs w:val="20"/>
              </w:rPr>
            </w:pPr>
            <w:r w:rsidRPr="001F50A1">
              <w:rPr>
                <w:rFonts w:ascii="Times" w:eastAsia="Times New Roman" w:hAnsi="Times" w:cs="Times"/>
                <w:sz w:val="20"/>
                <w:szCs w:val="20"/>
                <w:lang w:val="en-GB"/>
              </w:rPr>
              <w:t>FFS other details</w:t>
            </w:r>
          </w:p>
          <w:p w14:paraId="6E508360" w14:textId="77777777" w:rsidR="001F50A1" w:rsidRPr="001F50A1" w:rsidRDefault="001F50A1" w:rsidP="001F50A1">
            <w:pPr>
              <w:pStyle w:val="xa0"/>
              <w:numPr>
                <w:ilvl w:val="1"/>
                <w:numId w:val="60"/>
              </w:numPr>
              <w:spacing w:before="0" w:beforeAutospacing="0" w:after="0" w:afterAutospacing="0"/>
              <w:jc w:val="both"/>
              <w:rPr>
                <w:rFonts w:ascii="Times" w:eastAsia="Times New Roman" w:hAnsi="Times" w:cs="Times"/>
                <w:sz w:val="20"/>
                <w:szCs w:val="20"/>
              </w:rPr>
            </w:pPr>
            <w:r w:rsidRPr="001F50A1">
              <w:rPr>
                <w:rStyle w:val="Strong"/>
                <w:rFonts w:ascii="Times" w:eastAsia="Times New Roman" w:hAnsi="Times" w:cs="Times"/>
                <w:sz w:val="20"/>
                <w:szCs w:val="20"/>
                <w:lang w:val="en-GB"/>
              </w:rPr>
              <w:t>Alt 2-2</w:t>
            </w:r>
            <w:r w:rsidRPr="001F50A1">
              <w:rPr>
                <w:rFonts w:ascii="Times" w:eastAsia="Times New Roman" w:hAnsi="Times" w:cs="Times"/>
                <w:sz w:val="20"/>
                <w:szCs w:val="20"/>
                <w:lang w:val="en-GB"/>
              </w:rPr>
              <w:t>: Reuse the existing Rel-15/Rel-16 approach for BFD RS configuration</w:t>
            </w:r>
          </w:p>
          <w:p w14:paraId="21CCF2F6" w14:textId="77777777" w:rsidR="001F50A1" w:rsidRPr="00963A4B" w:rsidRDefault="001F50A1" w:rsidP="001F50A1">
            <w:pPr>
              <w:pStyle w:val="xa0"/>
              <w:numPr>
                <w:ilvl w:val="0"/>
                <w:numId w:val="60"/>
              </w:numPr>
              <w:spacing w:before="0" w:beforeAutospacing="0" w:after="0" w:afterAutospacing="0"/>
              <w:jc w:val="both"/>
              <w:rPr>
                <w:rFonts w:ascii="Times" w:eastAsia="Times New Roman" w:hAnsi="Times" w:cs="Times"/>
                <w:sz w:val="20"/>
                <w:szCs w:val="20"/>
              </w:rPr>
            </w:pPr>
            <w:r w:rsidRPr="001F50A1">
              <w:rPr>
                <w:rFonts w:ascii="Times" w:eastAsia="Times New Roman" w:hAnsi="Times" w:cs="Times"/>
                <w:sz w:val="20"/>
                <w:szCs w:val="20"/>
                <w:lang w:val="en-GB"/>
              </w:rPr>
              <w:t>Note: down-selection can be done separately</w:t>
            </w:r>
            <w:r w:rsidRPr="00963A4B">
              <w:rPr>
                <w:rFonts w:ascii="Times" w:eastAsia="Times New Roman" w:hAnsi="Times" w:cs="Times"/>
                <w:sz w:val="20"/>
                <w:szCs w:val="20"/>
                <w:lang w:val="en-GB"/>
              </w:rPr>
              <w:t xml:space="preserve"> for Rel-15/16 cell specific BFR and Rel-17 TRP-specific BFR, Rel-17 TRP-specific BFR to be discussed under AI 8.1.2.3</w:t>
            </w:r>
          </w:p>
          <w:p w14:paraId="0C90A905" w14:textId="77777777" w:rsidR="009A0AAB" w:rsidRDefault="009A0AAB" w:rsidP="00060555">
            <w:pPr>
              <w:rPr>
                <w:rFonts w:eastAsia="Batang"/>
                <w:lang w:val="en-US" w:eastAsia="ko-KR"/>
              </w:rPr>
            </w:pPr>
          </w:p>
          <w:p w14:paraId="17CFC917" w14:textId="77777777" w:rsidR="001048EB" w:rsidRPr="004A7CA6" w:rsidRDefault="001048EB" w:rsidP="001048EB">
            <w:pPr>
              <w:rPr>
                <w:rFonts w:eastAsia="Calibri" w:cs="Times"/>
                <w:b/>
                <w:bCs/>
                <w:highlight w:val="green"/>
              </w:rPr>
            </w:pPr>
            <w:r w:rsidRPr="004A7CA6">
              <w:rPr>
                <w:rFonts w:cs="Times"/>
                <w:b/>
                <w:bCs/>
                <w:highlight w:val="green"/>
              </w:rPr>
              <w:t>Agreement</w:t>
            </w:r>
          </w:p>
          <w:p w14:paraId="19622F54" w14:textId="77777777" w:rsidR="001048EB" w:rsidRPr="004A7CA6" w:rsidRDefault="001048EB" w:rsidP="001048EB">
            <w:pPr>
              <w:rPr>
                <w:rFonts w:cs="Times"/>
              </w:rPr>
            </w:pPr>
            <w:r w:rsidRPr="004A7CA6">
              <w:rPr>
                <w:rFonts w:cs="Times"/>
              </w:rPr>
              <w:t>If enhanced SFN PDCCH transmission scheme (scheme 1 or TRP-based pre-compensation)</w:t>
            </w:r>
            <w:r w:rsidRPr="004A7CA6">
              <w:rPr>
                <w:rStyle w:val="apple-converted-space"/>
                <w:rFonts w:cs="Times"/>
              </w:rPr>
              <w:t> </w:t>
            </w:r>
            <w:r w:rsidRPr="004A7CA6">
              <w:rPr>
                <w:rFonts w:cs="Times"/>
              </w:rPr>
              <w:t>is configured</w:t>
            </w:r>
            <w:r w:rsidRPr="004A7CA6">
              <w:rPr>
                <w:rStyle w:val="apple-converted-space"/>
                <w:rFonts w:cs="Times"/>
              </w:rPr>
              <w:t> </w:t>
            </w:r>
            <w:r w:rsidRPr="004A7CA6">
              <w:rPr>
                <w:rFonts w:cs="Times"/>
              </w:rPr>
              <w:t>and two TCI states are activated for at least one CORESET, support the following configuration of RS for BFD</w:t>
            </w:r>
          </w:p>
          <w:p w14:paraId="66BE774A" w14:textId="77777777" w:rsidR="001048EB" w:rsidRPr="004A7CA6" w:rsidRDefault="001048EB" w:rsidP="001048EB">
            <w:pPr>
              <w:pStyle w:val="xa0"/>
              <w:numPr>
                <w:ilvl w:val="0"/>
                <w:numId w:val="60"/>
              </w:numPr>
              <w:tabs>
                <w:tab w:val="left" w:pos="720"/>
              </w:tabs>
              <w:spacing w:before="0" w:beforeAutospacing="0" w:after="0" w:afterAutospacing="0"/>
              <w:jc w:val="both"/>
              <w:rPr>
                <w:rFonts w:ascii="Times" w:eastAsia="Times New Roman" w:hAnsi="Times" w:cs="Times"/>
                <w:sz w:val="20"/>
                <w:szCs w:val="20"/>
              </w:rPr>
            </w:pPr>
            <w:r w:rsidRPr="004A7CA6">
              <w:rPr>
                <w:rFonts w:ascii="Times" w:eastAsia="Times New Roman" w:hAnsi="Times" w:cs="Times"/>
                <w:sz w:val="20"/>
                <w:szCs w:val="20"/>
              </w:rPr>
              <w:t xml:space="preserve">For implicit configuration </w:t>
            </w:r>
          </w:p>
          <w:p w14:paraId="33F3408E" w14:textId="77777777" w:rsidR="001048EB" w:rsidRPr="004A7CA6" w:rsidRDefault="001048EB" w:rsidP="001048EB">
            <w:pPr>
              <w:pStyle w:val="xa0"/>
              <w:numPr>
                <w:ilvl w:val="1"/>
                <w:numId w:val="60"/>
              </w:numPr>
              <w:tabs>
                <w:tab w:val="left" w:pos="1440"/>
              </w:tabs>
              <w:spacing w:before="0" w:beforeAutospacing="0" w:after="0" w:afterAutospacing="0"/>
              <w:jc w:val="both"/>
              <w:rPr>
                <w:rFonts w:ascii="Times" w:eastAsia="Times New Roman" w:hAnsi="Times" w:cs="Times"/>
                <w:sz w:val="20"/>
                <w:szCs w:val="20"/>
              </w:rPr>
            </w:pPr>
            <w:r w:rsidRPr="004A7CA6">
              <w:rPr>
                <w:rStyle w:val="Strong"/>
                <w:rFonts w:ascii="Times" w:eastAsia="Times New Roman" w:hAnsi="Times" w:cs="Times"/>
                <w:sz w:val="20"/>
                <w:szCs w:val="20"/>
                <w:lang w:val="en-GB"/>
              </w:rPr>
              <w:t>Alt 1-2</w:t>
            </w:r>
            <w:r w:rsidRPr="004A7CA6">
              <w:rPr>
                <w:rFonts w:ascii="Times" w:eastAsia="Times New Roman" w:hAnsi="Times" w:cs="Times"/>
                <w:sz w:val="20"/>
                <w:szCs w:val="20"/>
                <w:lang w:val="en-GB"/>
              </w:rPr>
              <w:t>: RS of CORESETs with both single and two TCI states are used</w:t>
            </w:r>
          </w:p>
          <w:p w14:paraId="160045EE" w14:textId="77777777" w:rsidR="001048EB" w:rsidRPr="004A7CA6" w:rsidRDefault="001048EB" w:rsidP="001048EB">
            <w:pPr>
              <w:rPr>
                <w:rFonts w:cs="Times"/>
              </w:rPr>
            </w:pPr>
            <w:r w:rsidRPr="004A7CA6">
              <w:rPr>
                <w:rFonts w:cs="Times"/>
              </w:rPr>
              <w:t>FFS: The maximum number of BFD RS and details on RS determination</w:t>
            </w:r>
          </w:p>
          <w:p w14:paraId="5961F343" w14:textId="77777777" w:rsidR="001048EB" w:rsidRDefault="001048EB" w:rsidP="00060555">
            <w:pPr>
              <w:rPr>
                <w:rFonts w:eastAsia="Batang"/>
                <w:lang w:val="en-US" w:eastAsia="ko-KR"/>
              </w:rPr>
            </w:pPr>
          </w:p>
          <w:p w14:paraId="560FE791" w14:textId="77777777" w:rsidR="001048EB" w:rsidRPr="007253D6" w:rsidRDefault="001048EB" w:rsidP="001048EB">
            <w:pPr>
              <w:rPr>
                <w:b/>
                <w:bCs/>
              </w:rPr>
            </w:pPr>
            <w:r w:rsidRPr="007253D6">
              <w:rPr>
                <w:b/>
                <w:bCs/>
              </w:rPr>
              <w:t>Conclusion</w:t>
            </w:r>
          </w:p>
          <w:p w14:paraId="2C0F001E" w14:textId="3B33922C" w:rsidR="001048EB" w:rsidRDefault="001048EB" w:rsidP="001048EB">
            <w:pPr>
              <w:rPr>
                <w:rFonts w:eastAsia="Batang"/>
                <w:lang w:val="en-US" w:eastAsia="ko-KR"/>
              </w:rPr>
            </w:pPr>
            <w:r w:rsidRPr="007253D6">
              <w:t>No RAN1 specification impact on how to calculate hypothetical BLER for BFD</w:t>
            </w:r>
          </w:p>
        </w:tc>
      </w:tr>
    </w:tbl>
    <w:p w14:paraId="2AA098AB" w14:textId="0664EBC4" w:rsidR="00060555" w:rsidRDefault="000260AB" w:rsidP="00060555">
      <w:pPr>
        <w:rPr>
          <w:rFonts w:eastAsia="Batang"/>
          <w:lang w:val="en-US" w:eastAsia="ko-KR"/>
        </w:rPr>
      </w:pPr>
      <w:r>
        <w:rPr>
          <w:rFonts w:eastAsia="Batang"/>
          <w:lang w:val="en-US" w:eastAsia="ko-KR"/>
        </w:rPr>
        <w:lastRenderedPageBreak/>
        <w:t>Reference signals for beam failure detection (BFD-RS) may be explicitly configured or implicitly derived from the activated TCI states of the CORESETs in the active BWP</w:t>
      </w:r>
      <w:r w:rsidR="00060555">
        <w:rPr>
          <w:rFonts w:eastAsia="Batang"/>
          <w:lang w:val="en-US" w:eastAsia="ko-KR"/>
        </w:rPr>
        <w:t>.</w:t>
      </w:r>
      <w:r>
        <w:rPr>
          <w:rFonts w:eastAsia="Batang"/>
          <w:lang w:val="en-US" w:eastAsia="ko-KR"/>
        </w:rPr>
        <w:t xml:space="preserve"> In Rel-15/16, in which a single set of BFD-RS is used in a BWP, 38.213 </w:t>
      </w:r>
      <w:r w:rsidR="00DA1C2B">
        <w:rPr>
          <w:rFonts w:eastAsia="Batang"/>
          <w:lang w:val="en-US" w:eastAsia="ko-KR"/>
        </w:rPr>
        <w:fldChar w:fldCharType="begin"/>
      </w:r>
      <w:r w:rsidR="00DA1C2B">
        <w:rPr>
          <w:rFonts w:eastAsia="Batang"/>
          <w:lang w:val="en-US" w:eastAsia="ko-KR"/>
        </w:rPr>
        <w:instrText xml:space="preserve"> REF _Ref71545462 \n \h </w:instrText>
      </w:r>
      <w:r w:rsidR="00DA1C2B">
        <w:rPr>
          <w:rFonts w:eastAsia="Batang"/>
          <w:lang w:val="en-US" w:eastAsia="ko-KR"/>
        </w:rPr>
      </w:r>
      <w:r w:rsidR="00DA1C2B">
        <w:rPr>
          <w:rFonts w:eastAsia="Batang"/>
          <w:lang w:val="en-US" w:eastAsia="ko-KR"/>
        </w:rPr>
        <w:fldChar w:fldCharType="separate"/>
      </w:r>
      <w:r w:rsidR="00DA1C2B">
        <w:rPr>
          <w:rFonts w:eastAsia="Batang"/>
          <w:lang w:val="en-US" w:eastAsia="ko-KR"/>
        </w:rPr>
        <w:t>[2]</w:t>
      </w:r>
      <w:r w:rsidR="00DA1C2B">
        <w:rPr>
          <w:rFonts w:eastAsia="Batang"/>
          <w:lang w:val="en-US" w:eastAsia="ko-KR"/>
        </w:rPr>
        <w:fldChar w:fldCharType="end"/>
      </w:r>
      <w:r w:rsidR="00DA1C2B">
        <w:rPr>
          <w:rFonts w:eastAsia="Batang"/>
          <w:lang w:val="en-US" w:eastAsia="ko-KR"/>
        </w:rPr>
        <w:t xml:space="preserve"> </w:t>
      </w:r>
      <w:r>
        <w:rPr>
          <w:rFonts w:eastAsia="Batang"/>
          <w:lang w:val="en-US" w:eastAsia="ko-KR"/>
        </w:rPr>
        <w:t>describes the implicit derivation as follows:</w:t>
      </w:r>
    </w:p>
    <w:tbl>
      <w:tblPr>
        <w:tblStyle w:val="TableGrid"/>
        <w:tblW w:w="0" w:type="auto"/>
        <w:tblLook w:val="04A0" w:firstRow="1" w:lastRow="0" w:firstColumn="1" w:lastColumn="0" w:noHBand="0" w:noVBand="1"/>
      </w:tblPr>
      <w:tblGrid>
        <w:gridCol w:w="9855"/>
      </w:tblGrid>
      <w:tr w:rsidR="000260AB" w14:paraId="10B74714" w14:textId="77777777" w:rsidTr="000260AB">
        <w:tc>
          <w:tcPr>
            <w:tcW w:w="9855" w:type="dxa"/>
          </w:tcPr>
          <w:p w14:paraId="3A740A2E" w14:textId="6BB0C889" w:rsidR="000260AB" w:rsidRDefault="00014FCB" w:rsidP="00060555">
            <w:pPr>
              <w:rPr>
                <w:rFonts w:eastAsia="Batang"/>
                <w:lang w:val="en-US" w:eastAsia="ko-KR"/>
              </w:rPr>
            </w:pPr>
            <w:r>
              <w:t xml:space="preserve">If the UE is not provided </w:t>
            </w:r>
            <w:r>
              <w:rPr>
                <w:rFonts w:eastAsia="SimSun"/>
                <w:iCs/>
                <w:position w:val="-10"/>
              </w:rPr>
              <w:object w:dxaOrig="300" w:dyaOrig="300" w14:anchorId="2AA57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1" o:title=""/>
                </v:shape>
                <o:OLEObject Type="Embed" ProgID="Equation.3" ShapeID="_x0000_i1025" DrawAspect="Content" ObjectID="_1694635594" r:id="rId12"/>
              </w:object>
            </w:r>
            <w:r>
              <w:rPr>
                <w:iCs/>
              </w:rPr>
              <w:t xml:space="preserve"> by</w:t>
            </w:r>
            <w:r>
              <w:t xml:space="preserve"> </w:t>
            </w:r>
            <w:r>
              <w:rPr>
                <w:i/>
              </w:rPr>
              <w:t>failureDetectionResourcesToAddModList</w:t>
            </w:r>
            <w:r>
              <w:rPr>
                <w:szCs w:val="16"/>
              </w:rPr>
              <w:t xml:space="preserve"> for a BWP of the serving cell</w:t>
            </w:r>
            <w:r>
              <w:rPr>
                <w:iCs/>
              </w:rPr>
              <w:t xml:space="preserve">, the UE determines the set </w:t>
            </w:r>
            <w:r>
              <w:rPr>
                <w:iCs/>
                <w:noProof/>
                <w:position w:val="-10"/>
              </w:rPr>
              <w:drawing>
                <wp:inline distT="0" distB="0" distL="0" distR="0" wp14:anchorId="284EAEA8" wp14:editId="67A2CD74">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and, if there are two RS indexes in a TCI state, the set </w:t>
            </w:r>
            <w:r>
              <w:rPr>
                <w:iCs/>
                <w:noProof/>
                <w:position w:val="-10"/>
              </w:rPr>
              <w:drawing>
                <wp:inline distT="0" distB="0" distL="0" distR="0" wp14:anchorId="6D8F32FA" wp14:editId="0DB058AA">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includes RS indexes configured with </w:t>
            </w:r>
            <w:r>
              <w:rPr>
                <w:i/>
                <w:lang w:val="en-US" w:eastAsia="ja-JP"/>
              </w:rPr>
              <w:t>qcl-Type</w:t>
            </w:r>
            <w:r>
              <w:rPr>
                <w:lang w:val="en-US" w:eastAsia="ja-JP"/>
              </w:rPr>
              <w:t xml:space="preserve"> set to</w:t>
            </w:r>
            <w:r>
              <w:t xml:space="preserve"> 'typeD' for the corresponding TCI states.</w:t>
            </w:r>
          </w:p>
        </w:tc>
      </w:tr>
    </w:tbl>
    <w:p w14:paraId="055E4C83" w14:textId="0719B7DA" w:rsidR="000260AB" w:rsidRDefault="00014FCB" w:rsidP="00060555">
      <w:pPr>
        <w:rPr>
          <w:rFonts w:eastAsia="Batang"/>
          <w:lang w:val="en-US" w:eastAsia="ko-KR"/>
        </w:rPr>
      </w:pPr>
      <w:r>
        <w:rPr>
          <w:rFonts w:eastAsia="Batang"/>
          <w:lang w:val="en-US" w:eastAsia="ko-KR"/>
        </w:rPr>
        <w:t>In other words, the UE de</w:t>
      </w:r>
      <w:r w:rsidR="002A700C">
        <w:rPr>
          <w:rFonts w:eastAsia="Batang"/>
          <w:lang w:val="en-US" w:eastAsia="ko-KR"/>
        </w:rPr>
        <w:t>termines</w:t>
      </w:r>
      <w:r>
        <w:rPr>
          <w:rFonts w:eastAsia="Batang"/>
          <w:lang w:val="en-US" w:eastAsia="ko-KR"/>
        </w:rPr>
        <w:t xml:space="preserve"> </w:t>
      </w:r>
      <w:r w:rsidR="002A700C">
        <w:rPr>
          <w:rFonts w:eastAsia="Batang"/>
          <w:lang w:val="en-US" w:eastAsia="ko-KR"/>
        </w:rPr>
        <w:t xml:space="preserve">the BFD-RS set </w:t>
      </w:r>
      <w:r>
        <w:rPr>
          <w:rFonts w:eastAsia="Batang"/>
          <w:lang w:val="en-US" w:eastAsia="ko-KR"/>
        </w:rPr>
        <w:t xml:space="preserve">from the </w:t>
      </w:r>
      <w:r w:rsidRPr="005123E1">
        <w:rPr>
          <w:rFonts w:eastAsia="Batang"/>
          <w:lang w:val="en-US" w:eastAsia="ko-KR"/>
        </w:rPr>
        <w:t xml:space="preserve">RS </w:t>
      </w:r>
      <w:r w:rsidRPr="00C86C00">
        <w:rPr>
          <w:rFonts w:eastAsia="Batang"/>
          <w:lang w:val="en-US" w:eastAsia="ko-KR"/>
        </w:rPr>
        <w:t>sets</w:t>
      </w:r>
      <w:r>
        <w:rPr>
          <w:rFonts w:eastAsia="Batang"/>
          <w:lang w:val="en-US" w:eastAsia="ko-KR"/>
        </w:rPr>
        <w:t xml:space="preserve">, </w:t>
      </w:r>
      <w:r w:rsidR="002A700C">
        <w:rPr>
          <w:rFonts w:eastAsia="Batang"/>
          <w:lang w:val="en-US" w:eastAsia="ko-KR"/>
        </w:rPr>
        <w:t xml:space="preserve">where the RS sets are indicated by the RRC IE </w:t>
      </w:r>
      <w:r w:rsidR="002A700C" w:rsidRPr="002A700C">
        <w:rPr>
          <w:rFonts w:eastAsia="Batang"/>
          <w:i/>
          <w:iCs/>
          <w:lang w:val="en-US" w:eastAsia="ko-KR"/>
        </w:rPr>
        <w:t>TCI-State</w:t>
      </w:r>
      <w:r w:rsidR="002A700C">
        <w:rPr>
          <w:rFonts w:eastAsia="Batang"/>
          <w:lang w:val="en-US" w:eastAsia="ko-KR"/>
        </w:rPr>
        <w:t xml:space="preserve"> for the CORESETs. Note that the singular form of </w:t>
      </w:r>
      <w:r w:rsidR="002A700C" w:rsidRPr="002A700C">
        <w:rPr>
          <w:rFonts w:eastAsia="Batang"/>
          <w:i/>
          <w:iCs/>
          <w:lang w:val="en-US" w:eastAsia="ko-KR"/>
        </w:rPr>
        <w:t>TCI-State</w:t>
      </w:r>
      <w:r w:rsidR="002A700C">
        <w:rPr>
          <w:rFonts w:eastAsia="Batang"/>
          <w:lang w:val="en-US" w:eastAsia="ko-KR"/>
        </w:rPr>
        <w:t xml:space="preserve"> refers to the IE name, while the plural form of RS sets refers to the multiple TCI states. With this reading and interpretation, the current specification does not need to be revised to support implicit BFD-RS determination </w:t>
      </w:r>
      <w:r w:rsidR="00B30739">
        <w:rPr>
          <w:rFonts w:eastAsia="Batang"/>
          <w:lang w:val="en-US" w:eastAsia="ko-KR"/>
        </w:rPr>
        <w:t xml:space="preserve">of a BFD-RS set </w:t>
      </w:r>
      <w:r w:rsidR="002A700C">
        <w:rPr>
          <w:rFonts w:eastAsia="Batang"/>
          <w:lang w:val="en-US" w:eastAsia="ko-KR"/>
        </w:rPr>
        <w:t>based on a CORESET with two activated TCI states.</w:t>
      </w:r>
    </w:p>
    <w:p w14:paraId="4D2CF85B" w14:textId="1A798D92" w:rsidR="000260AB" w:rsidRDefault="002A700C" w:rsidP="00060555">
      <w:pPr>
        <w:rPr>
          <w:rFonts w:eastAsia="Batang"/>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iCs/>
          <w:szCs w:val="22"/>
          <w:lang w:val="en-US" w:eastAsia="ko-KR"/>
        </w:rPr>
        <w:t>The current specification can support implicit determination of a set of BFD-RS from multiple TCI states, e.g. two activated TCI states for one CORESET.</w:t>
      </w:r>
    </w:p>
    <w:p w14:paraId="441A9552" w14:textId="3ADF3E4A" w:rsidR="0018429D" w:rsidRDefault="001048EB" w:rsidP="008832BB">
      <w:pPr>
        <w:rPr>
          <w:rFonts w:eastAsia="Batang"/>
          <w:lang w:val="en-US" w:eastAsia="ko-KR"/>
        </w:rPr>
      </w:pPr>
      <w:r>
        <w:rPr>
          <w:rFonts w:eastAsia="Batang"/>
          <w:lang w:val="en-US" w:eastAsia="ko-KR"/>
        </w:rPr>
        <w:t xml:space="preserve">Still, it was agreed that </w:t>
      </w:r>
      <w:r w:rsidRPr="001048EB">
        <w:rPr>
          <w:rFonts w:eastAsia="Batang"/>
          <w:lang w:val="en-US" w:eastAsia="ko-KR"/>
        </w:rPr>
        <w:t>RS of CORESETs with both single and two TCI states are used</w:t>
      </w:r>
      <w:r>
        <w:rPr>
          <w:rFonts w:eastAsia="Batang"/>
          <w:lang w:val="en-US" w:eastAsia="ko-KR"/>
        </w:rPr>
        <w:t>.</w:t>
      </w:r>
      <w:r w:rsidRPr="001048EB">
        <w:rPr>
          <w:rFonts w:eastAsia="Batang"/>
          <w:lang w:val="en-US" w:eastAsia="ko-KR"/>
        </w:rPr>
        <w:t xml:space="preserve"> </w:t>
      </w:r>
      <w:r w:rsidR="00954D86">
        <w:rPr>
          <w:rFonts w:eastAsia="Batang"/>
          <w:lang w:val="en-US" w:eastAsia="ko-KR"/>
        </w:rPr>
        <w:t xml:space="preserve">The details of RS determination can follow the existing specification: if a TCI state includes a single RS index, the RS index is included in </w:t>
      </w:r>
      <w:r w:rsidR="00954D86">
        <w:rPr>
          <w:iCs/>
          <w:noProof/>
          <w:position w:val="-10"/>
        </w:rPr>
        <w:drawing>
          <wp:inline distT="0" distB="0" distL="0" distR="0" wp14:anchorId="6B8A3969" wp14:editId="30C96429">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954D86">
        <w:rPr>
          <w:rFonts w:eastAsia="Batang"/>
          <w:lang w:val="en-US" w:eastAsia="ko-KR"/>
        </w:rPr>
        <w:t xml:space="preserve">, if a TCI state includes two RS indexes, only the RS index with QCL typeD is included in </w:t>
      </w:r>
      <w:r w:rsidR="00954D86">
        <w:rPr>
          <w:iCs/>
          <w:noProof/>
          <w:position w:val="-10"/>
        </w:rPr>
        <w:drawing>
          <wp:inline distT="0" distB="0" distL="0" distR="0" wp14:anchorId="115518A5" wp14:editId="089F232C">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954D86">
        <w:rPr>
          <w:rFonts w:eastAsia="Batang"/>
          <w:lang w:val="en-US" w:eastAsia="ko-KR"/>
        </w:rPr>
        <w:t>.</w:t>
      </w:r>
      <w:r w:rsidR="00087893">
        <w:rPr>
          <w:rFonts w:eastAsia="Batang"/>
          <w:lang w:val="en-US" w:eastAsia="ko-KR"/>
        </w:rPr>
        <w:t xml:space="preserve"> If a CORESET has two activated TCI states, two RS indexes, one from each of the two TCI states, are included in </w:t>
      </w:r>
      <w:r w:rsidR="00087893">
        <w:rPr>
          <w:iCs/>
          <w:noProof/>
          <w:position w:val="-10"/>
        </w:rPr>
        <w:drawing>
          <wp:inline distT="0" distB="0" distL="0" distR="0" wp14:anchorId="674B70B6" wp14:editId="542FE23D">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087893">
        <w:rPr>
          <w:rFonts w:eastAsia="Batang"/>
          <w:lang w:val="en-US" w:eastAsia="ko-KR"/>
        </w:rPr>
        <w:t xml:space="preserve">. </w:t>
      </w:r>
    </w:p>
    <w:p w14:paraId="0DACE57E" w14:textId="14F5E6B5" w:rsidR="0018429D" w:rsidRDefault="0018429D" w:rsidP="008832BB">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sidR="00087893">
        <w:rPr>
          <w:rFonts w:eastAsia="Batang"/>
          <w:b/>
          <w:szCs w:val="22"/>
          <w:lang w:val="en-US" w:eastAsia="ko-KR"/>
        </w:rPr>
        <w:t xml:space="preserve">One RS index per activated TCI state (for a CORESET) is included in </w:t>
      </w:r>
      <w:r w:rsidR="00087893" w:rsidRPr="00B67785">
        <w:rPr>
          <w:b/>
          <w:bCs/>
          <w:iCs/>
          <w:noProof/>
          <w:position w:val="-10"/>
        </w:rPr>
        <w:drawing>
          <wp:inline distT="0" distB="0" distL="0" distR="0" wp14:anchorId="537392DB" wp14:editId="13D5C5F6">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087893">
        <w:rPr>
          <w:rFonts w:eastAsia="Batang"/>
          <w:b/>
          <w:szCs w:val="22"/>
          <w:lang w:val="en-US" w:eastAsia="ko-KR"/>
        </w:rPr>
        <w:t xml:space="preserve">, following the Rel-15/16 principle. For a CORESET with single activated TCI state, a single RS index is included in </w:t>
      </w:r>
      <w:r w:rsidR="00087893">
        <w:rPr>
          <w:iCs/>
          <w:noProof/>
          <w:position w:val="-10"/>
        </w:rPr>
        <w:drawing>
          <wp:inline distT="0" distB="0" distL="0" distR="0" wp14:anchorId="1E6BEE31" wp14:editId="2D9DA039">
            <wp:extent cx="182880" cy="1828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Batang"/>
          <w:b/>
          <w:szCs w:val="22"/>
          <w:lang w:val="en-US" w:eastAsia="ko-KR"/>
        </w:rPr>
        <w:t>.</w:t>
      </w:r>
      <w:r w:rsidR="00087893">
        <w:rPr>
          <w:rFonts w:eastAsia="Batang"/>
          <w:b/>
          <w:szCs w:val="22"/>
          <w:lang w:val="en-US" w:eastAsia="ko-KR"/>
        </w:rPr>
        <w:t xml:space="preserve"> For a CORESET with two activated TCI states, two RS indexes are included in </w:t>
      </w:r>
      <w:r w:rsidR="00087893">
        <w:rPr>
          <w:iCs/>
          <w:noProof/>
          <w:position w:val="-10"/>
        </w:rPr>
        <w:drawing>
          <wp:inline distT="0" distB="0" distL="0" distR="0" wp14:anchorId="2B91B38E" wp14:editId="0FA2092F">
            <wp:extent cx="182880" cy="1828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087893">
        <w:rPr>
          <w:rFonts w:eastAsia="Batang"/>
          <w:b/>
          <w:szCs w:val="22"/>
          <w:lang w:val="en-US" w:eastAsia="ko-KR"/>
        </w:rPr>
        <w:t>.</w:t>
      </w:r>
    </w:p>
    <w:p w14:paraId="3095D70B" w14:textId="3D3E47B2" w:rsidR="009D5B19" w:rsidRDefault="0018429D" w:rsidP="008832BB">
      <w:pPr>
        <w:rPr>
          <w:rFonts w:eastAsia="Batang"/>
          <w:lang w:val="en-US" w:eastAsia="ko-KR"/>
        </w:rPr>
      </w:pPr>
      <w:r w:rsidRPr="008B3854">
        <w:rPr>
          <w:rFonts w:eastAsia="Batang"/>
          <w:lang w:val="en-US" w:eastAsia="ko-KR"/>
        </w:rPr>
        <w:t xml:space="preserve">For the case of explicit per-TRP BFD-RS set configuration, no enhancement seems to be needed for the case of a CORESET with two activated TCI states, since the gNB can configure any RS in the sets. </w:t>
      </w:r>
    </w:p>
    <w:p w14:paraId="4A119FB0" w14:textId="3566D61A" w:rsidR="000C7349" w:rsidRDefault="000C7349" w:rsidP="008832BB">
      <w:pPr>
        <w:rPr>
          <w:rFonts w:eastAsia="Batang"/>
          <w:lang w:val="en-US" w:eastAsia="ko-KR"/>
        </w:rPr>
      </w:pPr>
      <w:r w:rsidRPr="00C826B7">
        <w:rPr>
          <w:rFonts w:eastAsia="Batang"/>
          <w:b/>
          <w:i/>
          <w:szCs w:val="22"/>
          <w:lang w:val="en-US" w:eastAsia="ko-KR"/>
        </w:rPr>
        <w:t xml:space="preserve">Proposal </w:t>
      </w:r>
      <w:r w:rsidR="00EB0DD8">
        <w:rPr>
          <w:rFonts w:eastAsia="Batang"/>
          <w:b/>
          <w:i/>
          <w:szCs w:val="22"/>
          <w:lang w:val="en-US" w:eastAsia="ko-KR"/>
        </w:rPr>
        <w:t>5</w:t>
      </w:r>
      <w:r w:rsidRPr="00C826B7">
        <w:rPr>
          <w:rFonts w:eastAsia="Batang"/>
          <w:b/>
          <w:i/>
          <w:szCs w:val="22"/>
          <w:lang w:val="en-US" w:eastAsia="ko-KR"/>
        </w:rPr>
        <w:t xml:space="preserve">: </w:t>
      </w:r>
      <w:r w:rsidR="00EB0DD8">
        <w:rPr>
          <w:rFonts w:eastAsia="Batang"/>
          <w:b/>
          <w:szCs w:val="22"/>
          <w:lang w:val="en-US" w:eastAsia="ko-KR"/>
        </w:rPr>
        <w:t xml:space="preserve">Support </w:t>
      </w:r>
      <w:r w:rsidR="00EB0DD8" w:rsidRPr="00EB0DD8">
        <w:rPr>
          <w:rFonts w:eastAsia="Batang"/>
          <w:b/>
          <w:szCs w:val="22"/>
          <w:lang w:val="en-US" w:eastAsia="ko-KR"/>
        </w:rPr>
        <w:t>Alt 2-2: Reuse the existing Rel-15/Rel-16 approach for BFD RS configuration</w:t>
      </w:r>
      <w:r w:rsidR="00C42A98">
        <w:rPr>
          <w:rFonts w:eastAsia="Batang"/>
          <w:b/>
          <w:szCs w:val="22"/>
          <w:lang w:val="en-US" w:eastAsia="ko-KR"/>
        </w:rPr>
        <w:t>.</w:t>
      </w:r>
    </w:p>
    <w:p w14:paraId="5C10EE21" w14:textId="469BC2C7" w:rsidR="00065F7D" w:rsidRDefault="005D20F1" w:rsidP="00C62BEE">
      <w:pPr>
        <w:pStyle w:val="Heading1"/>
        <w:spacing w:after="120"/>
      </w:pPr>
      <w:r w:rsidRPr="000D37D3">
        <w:t>Conclusion</w:t>
      </w:r>
    </w:p>
    <w:p w14:paraId="314C2368" w14:textId="6372507D" w:rsidR="002D3345" w:rsidRDefault="005D665C" w:rsidP="002020DF">
      <w:pPr>
        <w:rPr>
          <w:rFonts w:eastAsia="Batang"/>
          <w:bCs/>
          <w:iCs/>
          <w:lang w:val="en-US" w:eastAsia="ko-KR"/>
        </w:rPr>
      </w:pPr>
      <w:r w:rsidRPr="005D665C">
        <w:t xml:space="preserve">In this contribution, we considered aspects of </w:t>
      </w:r>
      <w:r w:rsidR="00320307">
        <w:t>multi-</w:t>
      </w:r>
      <w:r w:rsidR="00C9164B">
        <w:t xml:space="preserve">TRP </w:t>
      </w:r>
      <w:r w:rsidR="0018429D">
        <w:t>HST-SFN</w:t>
      </w:r>
      <w:r w:rsidR="00060555">
        <w:t xml:space="preserve"> 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551E0B94" w14:textId="77777777" w:rsidR="00B26252" w:rsidRPr="008B3854" w:rsidRDefault="00B26252" w:rsidP="00B26252">
      <w:pPr>
        <w:spacing w:after="0"/>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iCs/>
          <w:szCs w:val="22"/>
          <w:lang w:val="en-US" w:eastAsia="ko-KR"/>
        </w:rPr>
        <w:t xml:space="preserve">If </w:t>
      </w:r>
      <w:r w:rsidRPr="009A0AAB">
        <w:rPr>
          <w:rFonts w:eastAsia="Batang"/>
          <w:b/>
          <w:iCs/>
          <w:szCs w:val="22"/>
          <w:lang w:val="en-US" w:eastAsia="ko-KR"/>
        </w:rPr>
        <w:t>the offset between the DCI and the corresponding PDSCH is less than the threshold</w:t>
      </w:r>
      <w:r>
        <w:rPr>
          <w:rFonts w:eastAsia="Batang"/>
          <w:b/>
          <w:iCs/>
          <w:szCs w:val="22"/>
          <w:lang w:val="en-US" w:eastAsia="ko-KR"/>
        </w:rPr>
        <w:t>,</w:t>
      </w:r>
      <w:r w:rsidRPr="009A0AAB">
        <w:rPr>
          <w:rFonts w:eastAsia="Batang"/>
          <w:b/>
          <w:iCs/>
          <w:szCs w:val="22"/>
          <w:lang w:val="en-US" w:eastAsia="ko-KR"/>
        </w:rPr>
        <w:t xml:space="preserve"> </w:t>
      </w:r>
      <w:r>
        <w:rPr>
          <w:rFonts w:eastAsia="Batang"/>
          <w:b/>
          <w:iCs/>
          <w:szCs w:val="22"/>
          <w:lang w:val="en-US" w:eastAsia="ko-KR"/>
        </w:rPr>
        <w:t xml:space="preserve">and the </w:t>
      </w:r>
      <w:r w:rsidRPr="009A0AAB">
        <w:rPr>
          <w:rFonts w:eastAsia="Batang"/>
          <w:b/>
          <w:iCs/>
          <w:szCs w:val="22"/>
          <w:lang w:val="en-US" w:eastAsia="ko-KR"/>
        </w:rPr>
        <w:t xml:space="preserve">UE is not configured with </w:t>
      </w:r>
      <w:r w:rsidRPr="00A75FC6">
        <w:rPr>
          <w:rFonts w:eastAsia="Batang"/>
          <w:b/>
          <w:i/>
          <w:szCs w:val="22"/>
          <w:lang w:val="en-US" w:eastAsia="ko-KR"/>
        </w:rPr>
        <w:t>enableTwoDefaultTCI-States</w:t>
      </w:r>
      <w:r>
        <w:rPr>
          <w:rFonts w:eastAsia="Batang"/>
          <w:b/>
          <w:iCs/>
          <w:szCs w:val="22"/>
          <w:lang w:val="en-US" w:eastAsia="ko-KR"/>
        </w:rPr>
        <w:t>, and the CORESET with lowest CORESET ID in the latest slot has two activated TCI states, select the first TCI state as a default TCI state for PDSCH reception.</w:t>
      </w:r>
    </w:p>
    <w:p w14:paraId="609D657D" w14:textId="77777777" w:rsidR="00B26252" w:rsidRPr="00A75FC6" w:rsidRDefault="00B26252" w:rsidP="00B26252">
      <w:pPr>
        <w:rPr>
          <w:rFonts w:eastAsia="Batang"/>
          <w:iCs/>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iCs/>
          <w:szCs w:val="22"/>
          <w:lang w:val="en-US" w:eastAsia="ko-KR"/>
        </w:rPr>
        <w:t xml:space="preserve">Remove brackets around </w:t>
      </w:r>
      <w:r w:rsidRPr="00D81508">
        <w:rPr>
          <w:rFonts w:eastAsia="Batang"/>
          <w:b/>
          <w:iCs/>
          <w:szCs w:val="22"/>
          <w:lang w:val="en-US" w:eastAsia="ko-KR"/>
        </w:rPr>
        <w:t>[1_1 and 1_2]</w:t>
      </w:r>
      <w:r>
        <w:rPr>
          <w:rFonts w:eastAsia="Batang"/>
          <w:b/>
          <w:iCs/>
          <w:szCs w:val="22"/>
          <w:lang w:val="en-US" w:eastAsia="ko-KR"/>
        </w:rPr>
        <w:t>, i.e. support scheduling of multi-TPR PDSCH (Rel-16/17 schemes) also by DCI format 1_1 and 1_2 without a TCI field present.</w:t>
      </w:r>
    </w:p>
    <w:p w14:paraId="12FD7274" w14:textId="77777777" w:rsidR="00B26252" w:rsidRDefault="00B26252" w:rsidP="00B26252">
      <w:pPr>
        <w:spacing w:after="0"/>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iCs/>
          <w:szCs w:val="22"/>
          <w:lang w:val="en-US" w:eastAsia="ko-KR"/>
        </w:rPr>
        <w:t xml:space="preserve">If </w:t>
      </w:r>
      <w:r w:rsidRPr="009A0AAB">
        <w:rPr>
          <w:rFonts w:eastAsia="Batang"/>
          <w:b/>
          <w:iCs/>
          <w:szCs w:val="22"/>
          <w:lang w:val="en-US" w:eastAsia="ko-KR"/>
        </w:rPr>
        <w:t>the offset between the DCI and the corresponding PDSCH is less than the threshold</w:t>
      </w:r>
      <w:r>
        <w:rPr>
          <w:rFonts w:eastAsia="Batang"/>
          <w:b/>
          <w:iCs/>
          <w:szCs w:val="22"/>
          <w:lang w:val="en-US" w:eastAsia="ko-KR"/>
        </w:rPr>
        <w:t>,</w:t>
      </w:r>
      <w:r w:rsidRPr="009A0AAB">
        <w:rPr>
          <w:rFonts w:eastAsia="Batang"/>
          <w:b/>
          <w:iCs/>
          <w:szCs w:val="22"/>
          <w:lang w:val="en-US" w:eastAsia="ko-KR"/>
        </w:rPr>
        <w:t xml:space="preserve"> </w:t>
      </w:r>
      <w:r>
        <w:rPr>
          <w:rFonts w:eastAsia="Batang"/>
          <w:b/>
          <w:iCs/>
          <w:szCs w:val="22"/>
          <w:lang w:val="en-US" w:eastAsia="ko-KR"/>
        </w:rPr>
        <w:t>the default beam for the case that the DCI has no TCI field is the same as for the case that the DCI has a TCI field.</w:t>
      </w:r>
    </w:p>
    <w:p w14:paraId="1B414D50" w14:textId="77777777" w:rsidR="00B26252" w:rsidRDefault="00B26252" w:rsidP="00B26252">
      <w:pPr>
        <w:rPr>
          <w:rFonts w:eastAsia="Batang"/>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iCs/>
          <w:szCs w:val="22"/>
          <w:lang w:val="en-US" w:eastAsia="ko-KR"/>
        </w:rPr>
        <w:t>The current specification can support implicit determination of a set of BFD-RS from multiple TCI states, e.g. two activated TCI states for one CORESET.</w:t>
      </w:r>
    </w:p>
    <w:p w14:paraId="2F3D8371" w14:textId="77777777" w:rsidR="00B26252" w:rsidRDefault="00B26252" w:rsidP="00B26252">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 xml:space="preserve">One RS index per activated TCI state (for a CORESET) is included in </w:t>
      </w:r>
      <w:r w:rsidRPr="00A75FC6">
        <w:rPr>
          <w:b/>
          <w:bCs/>
          <w:iCs/>
          <w:noProof/>
          <w:position w:val="-10"/>
        </w:rPr>
        <w:drawing>
          <wp:inline distT="0" distB="0" distL="0" distR="0" wp14:anchorId="7DEA59CD" wp14:editId="2284068F">
            <wp:extent cx="182880" cy="1828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Batang"/>
          <w:b/>
          <w:szCs w:val="22"/>
          <w:lang w:val="en-US" w:eastAsia="ko-KR"/>
        </w:rPr>
        <w:t xml:space="preserve">, following the Rel-15/16 principle. For a CORESET with single activated TCI state, a single RS index is included in </w:t>
      </w:r>
      <w:r>
        <w:rPr>
          <w:iCs/>
          <w:noProof/>
          <w:position w:val="-10"/>
        </w:rPr>
        <w:drawing>
          <wp:inline distT="0" distB="0" distL="0" distR="0" wp14:anchorId="3DFC63CE" wp14:editId="168DB719">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Batang"/>
          <w:b/>
          <w:szCs w:val="22"/>
          <w:lang w:val="en-US" w:eastAsia="ko-KR"/>
        </w:rPr>
        <w:t xml:space="preserve">. For a CORESET with two activated TCI states, two RS indexes are included in </w:t>
      </w:r>
      <w:r>
        <w:rPr>
          <w:iCs/>
          <w:noProof/>
          <w:position w:val="-10"/>
        </w:rPr>
        <w:drawing>
          <wp:inline distT="0" distB="0" distL="0" distR="0" wp14:anchorId="55B5E4B7" wp14:editId="3E1427E2">
            <wp:extent cx="182880" cy="182880"/>
            <wp:effectExtent l="0" t="0" r="762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Batang"/>
          <w:b/>
          <w:szCs w:val="22"/>
          <w:lang w:val="en-US" w:eastAsia="ko-KR"/>
        </w:rPr>
        <w:t>.</w:t>
      </w:r>
    </w:p>
    <w:p w14:paraId="1A862F9D" w14:textId="77777777" w:rsidR="00B26252" w:rsidRDefault="00B26252" w:rsidP="00B26252">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 xml:space="preserve">Support </w:t>
      </w:r>
      <w:r w:rsidRPr="00EB0DD8">
        <w:rPr>
          <w:rFonts w:eastAsia="Batang"/>
          <w:b/>
          <w:szCs w:val="22"/>
          <w:lang w:val="en-US" w:eastAsia="ko-KR"/>
        </w:rPr>
        <w:t>Alt 2-2: Reuse the existing Rel-15/Rel-16 approach for BFD RS configuration</w:t>
      </w:r>
      <w:r>
        <w:rPr>
          <w:rFonts w:eastAsia="Batang"/>
          <w:b/>
          <w:szCs w:val="22"/>
          <w:lang w:val="en-US" w:eastAsia="ko-KR"/>
        </w:rPr>
        <w:t>.</w:t>
      </w:r>
    </w:p>
    <w:p w14:paraId="3386B0CA" w14:textId="77777777" w:rsidR="002E3E47" w:rsidRDefault="002E3E47" w:rsidP="002020DF">
      <w:pPr>
        <w:rPr>
          <w:rFonts w:eastAsia="Batang"/>
          <w:bCs/>
          <w:iCs/>
          <w:lang w:val="en-US" w:eastAsia="ko-KR"/>
        </w:rPr>
      </w:pPr>
    </w:p>
    <w:p w14:paraId="2DA0C3AF" w14:textId="18544A81" w:rsidR="00A650EE" w:rsidRPr="00A650EE" w:rsidRDefault="00A650EE" w:rsidP="000D6FAC">
      <w:pPr>
        <w:pStyle w:val="Heading1"/>
        <w:spacing w:before="0" w:after="120"/>
      </w:pPr>
      <w:r w:rsidRPr="00A650EE">
        <w:t>Reference</w:t>
      </w:r>
      <w:r w:rsidR="004D29B6">
        <w:t>s</w:t>
      </w:r>
    </w:p>
    <w:p w14:paraId="3370F24E" w14:textId="7F240DCF" w:rsidR="00B17430"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0" w:name="_Ref528924709"/>
      <w:bookmarkStart w:id="1" w:name="_Ref47472804"/>
      <w:bookmarkStart w:id="2" w:name="_Ref54184315"/>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0"/>
      <w:bookmarkEnd w:id="1"/>
      <w:r w:rsidR="005B5FF5">
        <w:rPr>
          <w:rFonts w:ascii="Times New Roman" w:eastAsia="PMingLiU" w:hAnsi="Times New Roman" w:cs="Times New Roman"/>
          <w:color w:val="000000" w:themeColor="text1"/>
          <w:sz w:val="20"/>
        </w:rPr>
        <w:t>20</w:t>
      </w:r>
      <w:bookmarkEnd w:id="2"/>
    </w:p>
    <w:p w14:paraId="2532CD9D" w14:textId="453EA5FC" w:rsidR="00674C92" w:rsidRPr="00CD1E4D" w:rsidRDefault="00EA7E50" w:rsidP="00B46F66">
      <w:pPr>
        <w:pStyle w:val="iReference"/>
        <w:numPr>
          <w:ilvl w:val="0"/>
          <w:numId w:val="5"/>
        </w:numPr>
        <w:spacing w:before="0" w:after="120"/>
        <w:rPr>
          <w:rFonts w:ascii="Times New Roman" w:eastAsia="PMingLiU" w:hAnsi="Times New Roman" w:cs="Times New Roman"/>
          <w:color w:val="000000" w:themeColor="text1"/>
          <w:sz w:val="20"/>
        </w:rPr>
      </w:pPr>
      <w:bookmarkStart w:id="3" w:name="_Ref71545462"/>
      <w:r w:rsidRPr="00EA7E50">
        <w:rPr>
          <w:rFonts w:ascii="Times New Roman" w:eastAsia="PMingLiU" w:hAnsi="Times New Roman" w:cs="Times New Roman"/>
          <w:color w:val="000000" w:themeColor="text1"/>
          <w:sz w:val="20"/>
        </w:rPr>
        <w:t>3GPP TS 38.213</w:t>
      </w:r>
      <w:r>
        <w:rPr>
          <w:rFonts w:ascii="Times New Roman" w:eastAsia="PMingLiU" w:hAnsi="Times New Roman" w:cs="Times New Roman"/>
          <w:color w:val="000000" w:themeColor="text1"/>
          <w:sz w:val="20"/>
        </w:rPr>
        <w:t>, “</w:t>
      </w:r>
      <w:r w:rsidRPr="00EA7E50">
        <w:rPr>
          <w:rFonts w:ascii="Times New Roman" w:eastAsia="PMingLiU" w:hAnsi="Times New Roman" w:cs="Times New Roman"/>
          <w:color w:val="000000" w:themeColor="text1"/>
          <w:sz w:val="20"/>
        </w:rPr>
        <w:t>Physical layer procedures for control</w:t>
      </w:r>
      <w:r>
        <w:rPr>
          <w:rFonts w:ascii="Times New Roman" w:eastAsia="PMingLiU" w:hAnsi="Times New Roman" w:cs="Times New Roman"/>
          <w:color w:val="000000" w:themeColor="text1"/>
          <w:sz w:val="20"/>
        </w:rPr>
        <w:t>”,</w:t>
      </w:r>
      <w:r w:rsidRPr="00EA7E50">
        <w:rPr>
          <w:rFonts w:ascii="Times New Roman" w:eastAsia="PMingLiU" w:hAnsi="Times New Roman" w:cs="Times New Roman"/>
          <w:color w:val="000000" w:themeColor="text1"/>
          <w:sz w:val="20"/>
        </w:rPr>
        <w:t xml:space="preserve"> V16.5.0</w:t>
      </w:r>
      <w:r>
        <w:rPr>
          <w:rFonts w:ascii="Times New Roman" w:eastAsia="PMingLiU" w:hAnsi="Times New Roman" w:cs="Times New Roman"/>
          <w:color w:val="000000" w:themeColor="text1"/>
          <w:sz w:val="20"/>
        </w:rPr>
        <w:t>,</w:t>
      </w:r>
      <w:r w:rsidRPr="00EA7E50">
        <w:rPr>
          <w:rFonts w:ascii="Times New Roman" w:eastAsia="PMingLiU" w:hAnsi="Times New Roman" w:cs="Times New Roman"/>
          <w:color w:val="000000" w:themeColor="text1"/>
          <w:sz w:val="20"/>
        </w:rPr>
        <w:t xml:space="preserve"> </w:t>
      </w:r>
      <w:r>
        <w:rPr>
          <w:rFonts w:ascii="Times New Roman" w:eastAsia="PMingLiU" w:hAnsi="Times New Roman" w:cs="Times New Roman"/>
          <w:color w:val="000000" w:themeColor="text1"/>
          <w:sz w:val="20"/>
        </w:rPr>
        <w:t>Mar</w:t>
      </w:r>
      <w:r w:rsidR="001A7B3E">
        <w:rPr>
          <w:rFonts w:ascii="Times New Roman" w:eastAsia="PMingLiU" w:hAnsi="Times New Roman" w:cs="Times New Roman"/>
          <w:color w:val="000000" w:themeColor="text1"/>
          <w:sz w:val="20"/>
        </w:rPr>
        <w:t>ch</w:t>
      </w:r>
      <w:r>
        <w:rPr>
          <w:rFonts w:ascii="Times New Roman" w:eastAsia="PMingLiU" w:hAnsi="Times New Roman" w:cs="Times New Roman"/>
          <w:color w:val="000000" w:themeColor="text1"/>
          <w:sz w:val="20"/>
        </w:rPr>
        <w:t xml:space="preserve"> 2021</w:t>
      </w:r>
      <w:bookmarkEnd w:id="3"/>
    </w:p>
    <w:sectPr w:rsidR="00674C92" w:rsidRPr="00CD1E4D">
      <w:footerReference w:type="defaul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0221D" w14:textId="77777777" w:rsidR="00FD04A0" w:rsidRDefault="00FD04A0">
      <w:r>
        <w:separator/>
      </w:r>
    </w:p>
  </w:endnote>
  <w:endnote w:type="continuationSeparator" w:id="0">
    <w:p w14:paraId="05703F1C" w14:textId="77777777" w:rsidR="00FD04A0" w:rsidRDefault="00FD0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E35EB3" w:rsidRDefault="00E35EB3">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6BAAE4CC" w14:textId="77777777" w:rsidR="00E35EB3" w:rsidRDefault="00E35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E35EB3" w:rsidRDefault="00E35EB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BB4A199" w14:textId="77777777" w:rsidR="00E35EB3" w:rsidRDefault="00E3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D5F0A" w14:textId="77777777" w:rsidR="00FD04A0" w:rsidRDefault="00FD04A0">
      <w:r>
        <w:separator/>
      </w:r>
    </w:p>
  </w:footnote>
  <w:footnote w:type="continuationSeparator" w:id="0">
    <w:p w14:paraId="14277E27" w14:textId="77777777" w:rsidR="00FD04A0" w:rsidRDefault="00FD0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2B16B16"/>
    <w:multiLevelType w:val="hybridMultilevel"/>
    <w:tmpl w:val="1474E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BC5A8D"/>
    <w:multiLevelType w:val="hybridMultilevel"/>
    <w:tmpl w:val="325AF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22B3F28"/>
    <w:multiLevelType w:val="hybridMultilevel"/>
    <w:tmpl w:val="E2766EE4"/>
    <w:lvl w:ilvl="0" w:tplc="5D227A6C">
      <w:start w:val="2"/>
      <w:numFmt w:val="decimal"/>
      <w:lvlText w:val="%1."/>
      <w:lvlJc w:val="left"/>
      <w:pPr>
        <w:ind w:left="1080" w:hanging="360"/>
      </w:pPr>
      <w:rPr>
        <w:rFonts w:hint="default"/>
      </w:rPr>
    </w:lvl>
    <w:lvl w:ilvl="1" w:tplc="779C0D7E">
      <w:start w:val="4"/>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CF3110"/>
    <w:multiLevelType w:val="hybridMultilevel"/>
    <w:tmpl w:val="F636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3"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6BC3A43"/>
    <w:multiLevelType w:val="hybridMultilevel"/>
    <w:tmpl w:val="CAB2A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BB876DC"/>
    <w:multiLevelType w:val="hybridMultilevel"/>
    <w:tmpl w:val="73AAB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5"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2D434D0"/>
    <w:multiLevelType w:val="hybridMultilevel"/>
    <w:tmpl w:val="840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602B21"/>
    <w:multiLevelType w:val="hybridMultilevel"/>
    <w:tmpl w:val="AC443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0"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2DC252E"/>
    <w:multiLevelType w:val="hybridMultilevel"/>
    <w:tmpl w:val="D7685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33A4B35"/>
    <w:multiLevelType w:val="hybridMultilevel"/>
    <w:tmpl w:val="D1462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8"/>
  </w:num>
  <w:num w:numId="2">
    <w:abstractNumId w:val="36"/>
  </w:num>
  <w:num w:numId="3">
    <w:abstractNumId w:val="28"/>
  </w:num>
  <w:num w:numId="4">
    <w:abstractNumId w:val="8"/>
  </w:num>
  <w:num w:numId="5">
    <w:abstractNumId w:val="2"/>
  </w:num>
  <w:num w:numId="6">
    <w:abstractNumId w:val="25"/>
  </w:num>
  <w:num w:numId="7">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4"/>
  </w:num>
  <w:num w:numId="10">
    <w:abstractNumId w:val="29"/>
  </w:num>
  <w:num w:numId="11">
    <w:abstractNumId w:val="35"/>
  </w:num>
  <w:num w:numId="12">
    <w:abstractNumId w:val="3"/>
  </w:num>
  <w:num w:numId="13">
    <w:abstractNumId w:val="23"/>
    <w:lvlOverride w:ilvl="0"/>
    <w:lvlOverride w:ilvl="1">
      <w:startOverride w:val="1"/>
    </w:lvlOverride>
    <w:lvlOverride w:ilvl="2"/>
    <w:lvlOverride w:ilvl="3"/>
    <w:lvlOverride w:ilvl="4"/>
    <w:lvlOverride w:ilvl="5"/>
    <w:lvlOverride w:ilvl="6"/>
    <w:lvlOverride w:ilvl="7"/>
    <w:lvlOverride w:ilvl="8"/>
  </w:num>
  <w:num w:numId="14">
    <w:abstractNumId w:val="23"/>
  </w:num>
  <w:num w:numId="15">
    <w:abstractNumId w:val="41"/>
  </w:num>
  <w:num w:numId="16">
    <w:abstractNumId w:val="42"/>
  </w:num>
  <w:num w:numId="17">
    <w:abstractNumId w:val="27"/>
  </w:num>
  <w:num w:numId="18">
    <w:abstractNumId w:val="13"/>
  </w:num>
  <w:num w:numId="19">
    <w:abstractNumId w:val="33"/>
  </w:num>
  <w:num w:numId="20">
    <w:abstractNumId w:val="12"/>
  </w:num>
  <w:num w:numId="21">
    <w:abstractNumId w:val="30"/>
  </w:num>
  <w:num w:numId="22">
    <w:abstractNumId w:val="46"/>
  </w:num>
  <w:num w:numId="23">
    <w:abstractNumId w:val="16"/>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5"/>
  </w:num>
  <w:num w:numId="26">
    <w:abstractNumId w:val="17"/>
  </w:num>
  <w:num w:numId="27">
    <w:abstractNumId w:val="39"/>
  </w:num>
  <w:num w:numId="28">
    <w:abstractNumId w:val="7"/>
  </w:num>
  <w:num w:numId="29">
    <w:abstractNumId w:val="53"/>
  </w:num>
  <w:num w:numId="30">
    <w:abstractNumId w:val="5"/>
  </w:num>
  <w:num w:numId="31">
    <w:abstractNumId w:val="45"/>
  </w:num>
  <w:num w:numId="32">
    <w:abstractNumId w:val="11"/>
  </w:num>
  <w:num w:numId="33">
    <w:abstractNumId w:val="38"/>
  </w:num>
  <w:num w:numId="34">
    <w:abstractNumId w:val="47"/>
  </w:num>
  <w:num w:numId="35">
    <w:abstractNumId w:val="45"/>
  </w:num>
  <w:num w:numId="36">
    <w:abstractNumId w:val="34"/>
  </w:num>
  <w:num w:numId="37">
    <w:abstractNumId w:val="21"/>
  </w:num>
  <w:num w:numId="38">
    <w:abstractNumId w:val="19"/>
  </w:num>
  <w:num w:numId="39">
    <w:abstractNumId w:val="15"/>
  </w:num>
  <w:num w:numId="40">
    <w:abstractNumId w:val="24"/>
  </w:num>
  <w:num w:numId="41">
    <w:abstractNumId w:val="44"/>
  </w:num>
  <w:num w:numId="42">
    <w:abstractNumId w:val="10"/>
  </w:num>
  <w:num w:numId="43">
    <w:abstractNumId w:val="20"/>
  </w:num>
  <w:num w:numId="44">
    <w:abstractNumId w:val="57"/>
  </w:num>
  <w:num w:numId="45">
    <w:abstractNumId w:val="52"/>
  </w:num>
  <w:num w:numId="46">
    <w:abstractNumId w:val="18"/>
  </w:num>
  <w:num w:numId="47">
    <w:abstractNumId w:val="59"/>
  </w:num>
  <w:num w:numId="48">
    <w:abstractNumId w:val="32"/>
  </w:num>
  <w:num w:numId="49">
    <w:abstractNumId w:val="40"/>
  </w:num>
  <w:num w:numId="50">
    <w:abstractNumId w:val="9"/>
  </w:num>
  <w:num w:numId="51">
    <w:abstractNumId w:val="4"/>
  </w:num>
  <w:num w:numId="52">
    <w:abstractNumId w:val="22"/>
  </w:num>
  <w:num w:numId="53">
    <w:abstractNumId w:val="31"/>
  </w:num>
  <w:num w:numId="54">
    <w:abstractNumId w:val="58"/>
  </w:num>
  <w:num w:numId="55">
    <w:abstractNumId w:val="50"/>
  </w:num>
  <w:num w:numId="56">
    <w:abstractNumId w:val="54"/>
  </w:num>
  <w:num w:numId="57">
    <w:abstractNumId w:val="1"/>
  </w:num>
  <w:num w:numId="58">
    <w:abstractNumId w:val="56"/>
  </w:num>
  <w:num w:numId="59">
    <w:abstractNumId w:val="37"/>
  </w:num>
  <w:num w:numId="60">
    <w:abstractNumId w:val="51"/>
  </w:num>
  <w:num w:numId="61">
    <w:abstractNumId w:val="43"/>
  </w:num>
  <w:num w:numId="62">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29ED"/>
    <w:rsid w:val="0000451D"/>
    <w:rsid w:val="00004BBC"/>
    <w:rsid w:val="0000527F"/>
    <w:rsid w:val="000104C8"/>
    <w:rsid w:val="000127DD"/>
    <w:rsid w:val="000146B8"/>
    <w:rsid w:val="0001495C"/>
    <w:rsid w:val="00014FCB"/>
    <w:rsid w:val="000154B1"/>
    <w:rsid w:val="00021505"/>
    <w:rsid w:val="00022641"/>
    <w:rsid w:val="00022E5D"/>
    <w:rsid w:val="00024B1D"/>
    <w:rsid w:val="00025F13"/>
    <w:rsid w:val="000260AB"/>
    <w:rsid w:val="00026407"/>
    <w:rsid w:val="00027AF5"/>
    <w:rsid w:val="00030457"/>
    <w:rsid w:val="000319FD"/>
    <w:rsid w:val="00032BAB"/>
    <w:rsid w:val="00034568"/>
    <w:rsid w:val="0004009F"/>
    <w:rsid w:val="00040139"/>
    <w:rsid w:val="00041008"/>
    <w:rsid w:val="0004388B"/>
    <w:rsid w:val="00044018"/>
    <w:rsid w:val="000469F4"/>
    <w:rsid w:val="00046EB2"/>
    <w:rsid w:val="00047AC3"/>
    <w:rsid w:val="00051F4B"/>
    <w:rsid w:val="00053E0E"/>
    <w:rsid w:val="000550E1"/>
    <w:rsid w:val="00056214"/>
    <w:rsid w:val="000564E3"/>
    <w:rsid w:val="00060555"/>
    <w:rsid w:val="0006095E"/>
    <w:rsid w:val="00060EA9"/>
    <w:rsid w:val="00061116"/>
    <w:rsid w:val="00061670"/>
    <w:rsid w:val="000626F5"/>
    <w:rsid w:val="00062DF5"/>
    <w:rsid w:val="0006398C"/>
    <w:rsid w:val="000656E1"/>
    <w:rsid w:val="00065F7D"/>
    <w:rsid w:val="00066683"/>
    <w:rsid w:val="000674FE"/>
    <w:rsid w:val="0007151D"/>
    <w:rsid w:val="000716B0"/>
    <w:rsid w:val="00073D47"/>
    <w:rsid w:val="00073F85"/>
    <w:rsid w:val="00074357"/>
    <w:rsid w:val="00074D8A"/>
    <w:rsid w:val="000765FB"/>
    <w:rsid w:val="00077788"/>
    <w:rsid w:val="00077A26"/>
    <w:rsid w:val="000812C6"/>
    <w:rsid w:val="00081884"/>
    <w:rsid w:val="0008211B"/>
    <w:rsid w:val="0008236D"/>
    <w:rsid w:val="00083978"/>
    <w:rsid w:val="000855C5"/>
    <w:rsid w:val="00085D8C"/>
    <w:rsid w:val="0008754B"/>
    <w:rsid w:val="00087893"/>
    <w:rsid w:val="00090A7E"/>
    <w:rsid w:val="000914B8"/>
    <w:rsid w:val="000950C5"/>
    <w:rsid w:val="00095157"/>
    <w:rsid w:val="00095298"/>
    <w:rsid w:val="000955F8"/>
    <w:rsid w:val="000964E6"/>
    <w:rsid w:val="000A26C4"/>
    <w:rsid w:val="000A32F7"/>
    <w:rsid w:val="000A4A9E"/>
    <w:rsid w:val="000A6177"/>
    <w:rsid w:val="000B13AF"/>
    <w:rsid w:val="000B5D47"/>
    <w:rsid w:val="000B7FB2"/>
    <w:rsid w:val="000C13A5"/>
    <w:rsid w:val="000C40EF"/>
    <w:rsid w:val="000C4548"/>
    <w:rsid w:val="000C4A21"/>
    <w:rsid w:val="000C5A3E"/>
    <w:rsid w:val="000C5B22"/>
    <w:rsid w:val="000C6E01"/>
    <w:rsid w:val="000C7349"/>
    <w:rsid w:val="000C73DE"/>
    <w:rsid w:val="000D00F4"/>
    <w:rsid w:val="000D27A6"/>
    <w:rsid w:val="000D37D3"/>
    <w:rsid w:val="000D496B"/>
    <w:rsid w:val="000D5BC8"/>
    <w:rsid w:val="000D6FAC"/>
    <w:rsid w:val="000E0AD8"/>
    <w:rsid w:val="000E251D"/>
    <w:rsid w:val="000E49FF"/>
    <w:rsid w:val="000E4F61"/>
    <w:rsid w:val="000E52F2"/>
    <w:rsid w:val="000F1176"/>
    <w:rsid w:val="000F1BFC"/>
    <w:rsid w:val="000F1D8D"/>
    <w:rsid w:val="000F2AFF"/>
    <w:rsid w:val="000F354D"/>
    <w:rsid w:val="000F421F"/>
    <w:rsid w:val="000F507D"/>
    <w:rsid w:val="0010131F"/>
    <w:rsid w:val="0010140B"/>
    <w:rsid w:val="001015B6"/>
    <w:rsid w:val="001048EB"/>
    <w:rsid w:val="001052F3"/>
    <w:rsid w:val="00106373"/>
    <w:rsid w:val="001064FA"/>
    <w:rsid w:val="00111482"/>
    <w:rsid w:val="0011533B"/>
    <w:rsid w:val="001171DF"/>
    <w:rsid w:val="0012018B"/>
    <w:rsid w:val="001205DA"/>
    <w:rsid w:val="001219FC"/>
    <w:rsid w:val="00131B39"/>
    <w:rsid w:val="0013382B"/>
    <w:rsid w:val="0013405D"/>
    <w:rsid w:val="00135F20"/>
    <w:rsid w:val="00140681"/>
    <w:rsid w:val="00141A9E"/>
    <w:rsid w:val="001447A7"/>
    <w:rsid w:val="00145D40"/>
    <w:rsid w:val="00146D58"/>
    <w:rsid w:val="00147878"/>
    <w:rsid w:val="00147FB4"/>
    <w:rsid w:val="00153720"/>
    <w:rsid w:val="00153B57"/>
    <w:rsid w:val="0015426C"/>
    <w:rsid w:val="0015653D"/>
    <w:rsid w:val="00156BD3"/>
    <w:rsid w:val="00160DCF"/>
    <w:rsid w:val="0016320C"/>
    <w:rsid w:val="0016380F"/>
    <w:rsid w:val="00165BCE"/>
    <w:rsid w:val="001669AF"/>
    <w:rsid w:val="00167063"/>
    <w:rsid w:val="00167220"/>
    <w:rsid w:val="00167285"/>
    <w:rsid w:val="001676E1"/>
    <w:rsid w:val="00167F51"/>
    <w:rsid w:val="00171758"/>
    <w:rsid w:val="00171F92"/>
    <w:rsid w:val="00172677"/>
    <w:rsid w:val="001760E5"/>
    <w:rsid w:val="00180D5B"/>
    <w:rsid w:val="001835C4"/>
    <w:rsid w:val="0018429D"/>
    <w:rsid w:val="00185133"/>
    <w:rsid w:val="00186EBA"/>
    <w:rsid w:val="00187149"/>
    <w:rsid w:val="00187541"/>
    <w:rsid w:val="00187738"/>
    <w:rsid w:val="00191A01"/>
    <w:rsid w:val="00194C19"/>
    <w:rsid w:val="001965A3"/>
    <w:rsid w:val="00196925"/>
    <w:rsid w:val="0019755F"/>
    <w:rsid w:val="001A2C84"/>
    <w:rsid w:val="001A33D3"/>
    <w:rsid w:val="001A36E9"/>
    <w:rsid w:val="001A3AD4"/>
    <w:rsid w:val="001A41A1"/>
    <w:rsid w:val="001A5BE4"/>
    <w:rsid w:val="001A7B3E"/>
    <w:rsid w:val="001A7F3B"/>
    <w:rsid w:val="001B03EA"/>
    <w:rsid w:val="001B1AC3"/>
    <w:rsid w:val="001B2C52"/>
    <w:rsid w:val="001B304A"/>
    <w:rsid w:val="001B3AF1"/>
    <w:rsid w:val="001B453F"/>
    <w:rsid w:val="001C032D"/>
    <w:rsid w:val="001C225C"/>
    <w:rsid w:val="001C2409"/>
    <w:rsid w:val="001C2568"/>
    <w:rsid w:val="001C27D9"/>
    <w:rsid w:val="001C2FE6"/>
    <w:rsid w:val="001C329F"/>
    <w:rsid w:val="001C3D01"/>
    <w:rsid w:val="001D0B5E"/>
    <w:rsid w:val="001D4151"/>
    <w:rsid w:val="001E18D6"/>
    <w:rsid w:val="001E3155"/>
    <w:rsid w:val="001E3B88"/>
    <w:rsid w:val="001E5393"/>
    <w:rsid w:val="001E7BE7"/>
    <w:rsid w:val="001F2C83"/>
    <w:rsid w:val="001F3AF9"/>
    <w:rsid w:val="001F3E2D"/>
    <w:rsid w:val="001F4117"/>
    <w:rsid w:val="001F50A1"/>
    <w:rsid w:val="001F76F0"/>
    <w:rsid w:val="002002DA"/>
    <w:rsid w:val="00200E11"/>
    <w:rsid w:val="00202075"/>
    <w:rsid w:val="002020DF"/>
    <w:rsid w:val="00202D78"/>
    <w:rsid w:val="00203BC3"/>
    <w:rsid w:val="00205625"/>
    <w:rsid w:val="00206DAF"/>
    <w:rsid w:val="00207871"/>
    <w:rsid w:val="00211705"/>
    <w:rsid w:val="002119E3"/>
    <w:rsid w:val="00213E51"/>
    <w:rsid w:val="0021469E"/>
    <w:rsid w:val="00214FB9"/>
    <w:rsid w:val="00215377"/>
    <w:rsid w:val="00215E4F"/>
    <w:rsid w:val="0021798C"/>
    <w:rsid w:val="002209C8"/>
    <w:rsid w:val="002238F8"/>
    <w:rsid w:val="00231627"/>
    <w:rsid w:val="00231AEA"/>
    <w:rsid w:val="00231E42"/>
    <w:rsid w:val="00232C5E"/>
    <w:rsid w:val="00233C1E"/>
    <w:rsid w:val="002372D7"/>
    <w:rsid w:val="00237D50"/>
    <w:rsid w:val="002409F4"/>
    <w:rsid w:val="00242995"/>
    <w:rsid w:val="002441DB"/>
    <w:rsid w:val="00245364"/>
    <w:rsid w:val="00251415"/>
    <w:rsid w:val="00252218"/>
    <w:rsid w:val="002522C6"/>
    <w:rsid w:val="0025363F"/>
    <w:rsid w:val="0025464A"/>
    <w:rsid w:val="002551AE"/>
    <w:rsid w:val="002609A6"/>
    <w:rsid w:val="002628AB"/>
    <w:rsid w:val="00263E95"/>
    <w:rsid w:val="00264F06"/>
    <w:rsid w:val="002657E1"/>
    <w:rsid w:val="00266C98"/>
    <w:rsid w:val="00267AC3"/>
    <w:rsid w:val="00267C3C"/>
    <w:rsid w:val="00273ABF"/>
    <w:rsid w:val="002748B2"/>
    <w:rsid w:val="0027762E"/>
    <w:rsid w:val="00282603"/>
    <w:rsid w:val="002833A6"/>
    <w:rsid w:val="0029241C"/>
    <w:rsid w:val="0029577D"/>
    <w:rsid w:val="00296489"/>
    <w:rsid w:val="00296818"/>
    <w:rsid w:val="002A244E"/>
    <w:rsid w:val="002A4DB3"/>
    <w:rsid w:val="002A56D3"/>
    <w:rsid w:val="002A62EA"/>
    <w:rsid w:val="002A700C"/>
    <w:rsid w:val="002A7310"/>
    <w:rsid w:val="002A7871"/>
    <w:rsid w:val="002B1F9E"/>
    <w:rsid w:val="002B21C8"/>
    <w:rsid w:val="002B22E3"/>
    <w:rsid w:val="002B26A1"/>
    <w:rsid w:val="002B3C03"/>
    <w:rsid w:val="002B41E7"/>
    <w:rsid w:val="002B4F54"/>
    <w:rsid w:val="002B5C4F"/>
    <w:rsid w:val="002B5EBB"/>
    <w:rsid w:val="002B728D"/>
    <w:rsid w:val="002D0FA4"/>
    <w:rsid w:val="002D0FF9"/>
    <w:rsid w:val="002D2246"/>
    <w:rsid w:val="002D32BE"/>
    <w:rsid w:val="002D3345"/>
    <w:rsid w:val="002D40BC"/>
    <w:rsid w:val="002D49E1"/>
    <w:rsid w:val="002D577A"/>
    <w:rsid w:val="002E0321"/>
    <w:rsid w:val="002E166E"/>
    <w:rsid w:val="002E2D87"/>
    <w:rsid w:val="002E3E47"/>
    <w:rsid w:val="002E68AC"/>
    <w:rsid w:val="002F2971"/>
    <w:rsid w:val="002F4A9B"/>
    <w:rsid w:val="002F5AC4"/>
    <w:rsid w:val="002F71FE"/>
    <w:rsid w:val="002F734B"/>
    <w:rsid w:val="00300915"/>
    <w:rsid w:val="00300B40"/>
    <w:rsid w:val="00300E4B"/>
    <w:rsid w:val="003026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D89"/>
    <w:rsid w:val="00323FE3"/>
    <w:rsid w:val="003252F1"/>
    <w:rsid w:val="00327B5B"/>
    <w:rsid w:val="003318CF"/>
    <w:rsid w:val="00331FCD"/>
    <w:rsid w:val="00333875"/>
    <w:rsid w:val="00335638"/>
    <w:rsid w:val="0034187F"/>
    <w:rsid w:val="0034220C"/>
    <w:rsid w:val="00342A22"/>
    <w:rsid w:val="00342F9F"/>
    <w:rsid w:val="0034578E"/>
    <w:rsid w:val="0034698C"/>
    <w:rsid w:val="00350B27"/>
    <w:rsid w:val="00350B4E"/>
    <w:rsid w:val="0035131A"/>
    <w:rsid w:val="00352982"/>
    <w:rsid w:val="003540FE"/>
    <w:rsid w:val="00354940"/>
    <w:rsid w:val="00356541"/>
    <w:rsid w:val="0035657A"/>
    <w:rsid w:val="003567E2"/>
    <w:rsid w:val="00361A94"/>
    <w:rsid w:val="00363305"/>
    <w:rsid w:val="003673C1"/>
    <w:rsid w:val="00367BD7"/>
    <w:rsid w:val="00372E07"/>
    <w:rsid w:val="0037449C"/>
    <w:rsid w:val="00374EF2"/>
    <w:rsid w:val="0037504A"/>
    <w:rsid w:val="003752FD"/>
    <w:rsid w:val="00377439"/>
    <w:rsid w:val="00381ACB"/>
    <w:rsid w:val="0038356D"/>
    <w:rsid w:val="00383AFB"/>
    <w:rsid w:val="003840BD"/>
    <w:rsid w:val="003856BC"/>
    <w:rsid w:val="00386636"/>
    <w:rsid w:val="003924C5"/>
    <w:rsid w:val="00395832"/>
    <w:rsid w:val="003A05C1"/>
    <w:rsid w:val="003A0958"/>
    <w:rsid w:val="003A3D06"/>
    <w:rsid w:val="003A4AC7"/>
    <w:rsid w:val="003A675E"/>
    <w:rsid w:val="003A7117"/>
    <w:rsid w:val="003B0525"/>
    <w:rsid w:val="003B0B45"/>
    <w:rsid w:val="003B1408"/>
    <w:rsid w:val="003B29FB"/>
    <w:rsid w:val="003B3E19"/>
    <w:rsid w:val="003B45F3"/>
    <w:rsid w:val="003B4D90"/>
    <w:rsid w:val="003B58AC"/>
    <w:rsid w:val="003B73E9"/>
    <w:rsid w:val="003B79CB"/>
    <w:rsid w:val="003B7FEE"/>
    <w:rsid w:val="003C09C2"/>
    <w:rsid w:val="003C2E9F"/>
    <w:rsid w:val="003C337C"/>
    <w:rsid w:val="003C53E5"/>
    <w:rsid w:val="003C6CD9"/>
    <w:rsid w:val="003C6DE5"/>
    <w:rsid w:val="003D00D8"/>
    <w:rsid w:val="003D1C3A"/>
    <w:rsid w:val="003D4ADD"/>
    <w:rsid w:val="003D5B78"/>
    <w:rsid w:val="003D5F1F"/>
    <w:rsid w:val="003D77C4"/>
    <w:rsid w:val="003E1C7C"/>
    <w:rsid w:val="003E2C75"/>
    <w:rsid w:val="003E2ECE"/>
    <w:rsid w:val="003E2F0B"/>
    <w:rsid w:val="003E3C09"/>
    <w:rsid w:val="003E4D15"/>
    <w:rsid w:val="003E4EE2"/>
    <w:rsid w:val="003E5963"/>
    <w:rsid w:val="003E6639"/>
    <w:rsid w:val="003F1277"/>
    <w:rsid w:val="003F1A6C"/>
    <w:rsid w:val="003F20B7"/>
    <w:rsid w:val="003F2578"/>
    <w:rsid w:val="003F4522"/>
    <w:rsid w:val="003F4847"/>
    <w:rsid w:val="003F7D47"/>
    <w:rsid w:val="00403FC2"/>
    <w:rsid w:val="00410F6A"/>
    <w:rsid w:val="00411664"/>
    <w:rsid w:val="00413152"/>
    <w:rsid w:val="00414BC3"/>
    <w:rsid w:val="00414C99"/>
    <w:rsid w:val="00417CBD"/>
    <w:rsid w:val="00420A8E"/>
    <w:rsid w:val="004214CF"/>
    <w:rsid w:val="00421EB3"/>
    <w:rsid w:val="004224C0"/>
    <w:rsid w:val="00424E3F"/>
    <w:rsid w:val="00424F5E"/>
    <w:rsid w:val="00425CB4"/>
    <w:rsid w:val="0042624C"/>
    <w:rsid w:val="00427637"/>
    <w:rsid w:val="00427F95"/>
    <w:rsid w:val="00431779"/>
    <w:rsid w:val="0043276F"/>
    <w:rsid w:val="004417C6"/>
    <w:rsid w:val="00444C54"/>
    <w:rsid w:val="004453C1"/>
    <w:rsid w:val="00446ACE"/>
    <w:rsid w:val="00446C35"/>
    <w:rsid w:val="00447234"/>
    <w:rsid w:val="0044790C"/>
    <w:rsid w:val="00447DE7"/>
    <w:rsid w:val="00450F5F"/>
    <w:rsid w:val="004523AC"/>
    <w:rsid w:val="00453ABA"/>
    <w:rsid w:val="004554F3"/>
    <w:rsid w:val="00455DE8"/>
    <w:rsid w:val="00457076"/>
    <w:rsid w:val="00457A80"/>
    <w:rsid w:val="004607C3"/>
    <w:rsid w:val="00460DD8"/>
    <w:rsid w:val="00461C38"/>
    <w:rsid w:val="004631FB"/>
    <w:rsid w:val="004636A7"/>
    <w:rsid w:val="00463A51"/>
    <w:rsid w:val="00464453"/>
    <w:rsid w:val="0046467D"/>
    <w:rsid w:val="00466D99"/>
    <w:rsid w:val="00466DEE"/>
    <w:rsid w:val="00467491"/>
    <w:rsid w:val="00470178"/>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4D23"/>
    <w:rsid w:val="004A5A4F"/>
    <w:rsid w:val="004A6090"/>
    <w:rsid w:val="004A6BBB"/>
    <w:rsid w:val="004A6DD8"/>
    <w:rsid w:val="004A71E2"/>
    <w:rsid w:val="004A7BB0"/>
    <w:rsid w:val="004B12D7"/>
    <w:rsid w:val="004B2D48"/>
    <w:rsid w:val="004B547B"/>
    <w:rsid w:val="004B5C52"/>
    <w:rsid w:val="004B5D0C"/>
    <w:rsid w:val="004B5F26"/>
    <w:rsid w:val="004C1E00"/>
    <w:rsid w:val="004C301F"/>
    <w:rsid w:val="004C38CC"/>
    <w:rsid w:val="004C3F7D"/>
    <w:rsid w:val="004C52B0"/>
    <w:rsid w:val="004C6229"/>
    <w:rsid w:val="004D0136"/>
    <w:rsid w:val="004D1205"/>
    <w:rsid w:val="004D1EEE"/>
    <w:rsid w:val="004D21A4"/>
    <w:rsid w:val="004D29B6"/>
    <w:rsid w:val="004D30A1"/>
    <w:rsid w:val="004D67EC"/>
    <w:rsid w:val="004D7818"/>
    <w:rsid w:val="004E257E"/>
    <w:rsid w:val="004E2EEE"/>
    <w:rsid w:val="004E39AF"/>
    <w:rsid w:val="004E5D0A"/>
    <w:rsid w:val="004F438B"/>
    <w:rsid w:val="004F6086"/>
    <w:rsid w:val="004F657E"/>
    <w:rsid w:val="004F7473"/>
    <w:rsid w:val="0050403F"/>
    <w:rsid w:val="005072FC"/>
    <w:rsid w:val="005079EB"/>
    <w:rsid w:val="0051216D"/>
    <w:rsid w:val="005123E1"/>
    <w:rsid w:val="00512E3B"/>
    <w:rsid w:val="00517545"/>
    <w:rsid w:val="00517852"/>
    <w:rsid w:val="00521D95"/>
    <w:rsid w:val="005225C5"/>
    <w:rsid w:val="00525DAB"/>
    <w:rsid w:val="0053076A"/>
    <w:rsid w:val="00532F9A"/>
    <w:rsid w:val="0053548C"/>
    <w:rsid w:val="0053623F"/>
    <w:rsid w:val="005362C5"/>
    <w:rsid w:val="0053719A"/>
    <w:rsid w:val="005412EA"/>
    <w:rsid w:val="005420B3"/>
    <w:rsid w:val="005428A4"/>
    <w:rsid w:val="005430DC"/>
    <w:rsid w:val="00543B6D"/>
    <w:rsid w:val="0054451F"/>
    <w:rsid w:val="00545E4E"/>
    <w:rsid w:val="00546B64"/>
    <w:rsid w:val="005506CE"/>
    <w:rsid w:val="00550A71"/>
    <w:rsid w:val="00550FF9"/>
    <w:rsid w:val="00552448"/>
    <w:rsid w:val="00554E84"/>
    <w:rsid w:val="00554EFC"/>
    <w:rsid w:val="00556315"/>
    <w:rsid w:val="00557B02"/>
    <w:rsid w:val="00562E21"/>
    <w:rsid w:val="00563274"/>
    <w:rsid w:val="005658B2"/>
    <w:rsid w:val="00566B53"/>
    <w:rsid w:val="005675C8"/>
    <w:rsid w:val="0056771B"/>
    <w:rsid w:val="0057035B"/>
    <w:rsid w:val="005729BA"/>
    <w:rsid w:val="00575257"/>
    <w:rsid w:val="00576525"/>
    <w:rsid w:val="00577770"/>
    <w:rsid w:val="0058027D"/>
    <w:rsid w:val="0058238B"/>
    <w:rsid w:val="00585A69"/>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EC7"/>
    <w:rsid w:val="005B0411"/>
    <w:rsid w:val="005B0639"/>
    <w:rsid w:val="005B0A41"/>
    <w:rsid w:val="005B1D2F"/>
    <w:rsid w:val="005B2076"/>
    <w:rsid w:val="005B4701"/>
    <w:rsid w:val="005B5FF5"/>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7958"/>
    <w:rsid w:val="005F1649"/>
    <w:rsid w:val="005F216B"/>
    <w:rsid w:val="005F318B"/>
    <w:rsid w:val="005F3AFD"/>
    <w:rsid w:val="005F55FE"/>
    <w:rsid w:val="005F6E51"/>
    <w:rsid w:val="005F6EB2"/>
    <w:rsid w:val="00600805"/>
    <w:rsid w:val="006016E9"/>
    <w:rsid w:val="00602F21"/>
    <w:rsid w:val="0060347B"/>
    <w:rsid w:val="00605FA3"/>
    <w:rsid w:val="00607022"/>
    <w:rsid w:val="006073B3"/>
    <w:rsid w:val="0061035B"/>
    <w:rsid w:val="006140F5"/>
    <w:rsid w:val="0061417F"/>
    <w:rsid w:val="00614D21"/>
    <w:rsid w:val="00615492"/>
    <w:rsid w:val="006204C2"/>
    <w:rsid w:val="006207AF"/>
    <w:rsid w:val="00620E89"/>
    <w:rsid w:val="00621C05"/>
    <w:rsid w:val="0062449A"/>
    <w:rsid w:val="00630F3A"/>
    <w:rsid w:val="00634154"/>
    <w:rsid w:val="0063639A"/>
    <w:rsid w:val="0063698E"/>
    <w:rsid w:val="00636A94"/>
    <w:rsid w:val="0063778E"/>
    <w:rsid w:val="0064095D"/>
    <w:rsid w:val="00641A9E"/>
    <w:rsid w:val="0064318F"/>
    <w:rsid w:val="0064458A"/>
    <w:rsid w:val="00645A3D"/>
    <w:rsid w:val="0064615E"/>
    <w:rsid w:val="00646DA4"/>
    <w:rsid w:val="00652082"/>
    <w:rsid w:val="006535EC"/>
    <w:rsid w:val="00654A39"/>
    <w:rsid w:val="00657BE5"/>
    <w:rsid w:val="006616F6"/>
    <w:rsid w:val="00664455"/>
    <w:rsid w:val="00665941"/>
    <w:rsid w:val="00665A31"/>
    <w:rsid w:val="0066614E"/>
    <w:rsid w:val="00667FDF"/>
    <w:rsid w:val="006715E6"/>
    <w:rsid w:val="00672584"/>
    <w:rsid w:val="006733DB"/>
    <w:rsid w:val="00673C22"/>
    <w:rsid w:val="00674C92"/>
    <w:rsid w:val="00675062"/>
    <w:rsid w:val="006758DE"/>
    <w:rsid w:val="00676839"/>
    <w:rsid w:val="00677A39"/>
    <w:rsid w:val="00677DC3"/>
    <w:rsid w:val="00681CF4"/>
    <w:rsid w:val="00681D02"/>
    <w:rsid w:val="00682F72"/>
    <w:rsid w:val="006861F8"/>
    <w:rsid w:val="006866CD"/>
    <w:rsid w:val="00687F23"/>
    <w:rsid w:val="0069390B"/>
    <w:rsid w:val="00693DAB"/>
    <w:rsid w:val="00695505"/>
    <w:rsid w:val="00695704"/>
    <w:rsid w:val="006A192B"/>
    <w:rsid w:val="006A3A7C"/>
    <w:rsid w:val="006A59CE"/>
    <w:rsid w:val="006A5E39"/>
    <w:rsid w:val="006A7BB8"/>
    <w:rsid w:val="006A7DD0"/>
    <w:rsid w:val="006B0323"/>
    <w:rsid w:val="006B1113"/>
    <w:rsid w:val="006B11D2"/>
    <w:rsid w:val="006B1946"/>
    <w:rsid w:val="006B2412"/>
    <w:rsid w:val="006B2C44"/>
    <w:rsid w:val="006B565F"/>
    <w:rsid w:val="006B6D77"/>
    <w:rsid w:val="006B6E8B"/>
    <w:rsid w:val="006C36C1"/>
    <w:rsid w:val="006C3FEE"/>
    <w:rsid w:val="006C528D"/>
    <w:rsid w:val="006C649A"/>
    <w:rsid w:val="006C70ED"/>
    <w:rsid w:val="006D0BF7"/>
    <w:rsid w:val="006E01B4"/>
    <w:rsid w:val="006E4459"/>
    <w:rsid w:val="006E4518"/>
    <w:rsid w:val="006E5968"/>
    <w:rsid w:val="006E5DD2"/>
    <w:rsid w:val="006F1E5A"/>
    <w:rsid w:val="006F458B"/>
    <w:rsid w:val="006F4D73"/>
    <w:rsid w:val="006F55A6"/>
    <w:rsid w:val="006F6C1B"/>
    <w:rsid w:val="006F73F9"/>
    <w:rsid w:val="00700FCA"/>
    <w:rsid w:val="00703627"/>
    <w:rsid w:val="00705C2B"/>
    <w:rsid w:val="00706291"/>
    <w:rsid w:val="0070678F"/>
    <w:rsid w:val="00710440"/>
    <w:rsid w:val="00712B4E"/>
    <w:rsid w:val="00713B04"/>
    <w:rsid w:val="00713B1C"/>
    <w:rsid w:val="007140D2"/>
    <w:rsid w:val="00714AF3"/>
    <w:rsid w:val="007150A9"/>
    <w:rsid w:val="00715BF3"/>
    <w:rsid w:val="0071741D"/>
    <w:rsid w:val="00720387"/>
    <w:rsid w:val="0072141F"/>
    <w:rsid w:val="00721DA7"/>
    <w:rsid w:val="00722B22"/>
    <w:rsid w:val="00724391"/>
    <w:rsid w:val="00724995"/>
    <w:rsid w:val="007264C3"/>
    <w:rsid w:val="00727C17"/>
    <w:rsid w:val="007324F6"/>
    <w:rsid w:val="007371AC"/>
    <w:rsid w:val="00741959"/>
    <w:rsid w:val="00743C7E"/>
    <w:rsid w:val="00743D03"/>
    <w:rsid w:val="00750CCA"/>
    <w:rsid w:val="0075483A"/>
    <w:rsid w:val="00754DAD"/>
    <w:rsid w:val="00755E66"/>
    <w:rsid w:val="00757856"/>
    <w:rsid w:val="00760265"/>
    <w:rsid w:val="007607AE"/>
    <w:rsid w:val="00760B23"/>
    <w:rsid w:val="00770BA8"/>
    <w:rsid w:val="00775B3C"/>
    <w:rsid w:val="007766E7"/>
    <w:rsid w:val="00777A6A"/>
    <w:rsid w:val="007816A0"/>
    <w:rsid w:val="007822D8"/>
    <w:rsid w:val="00782D32"/>
    <w:rsid w:val="00786B7C"/>
    <w:rsid w:val="00790C82"/>
    <w:rsid w:val="007917CA"/>
    <w:rsid w:val="0079200B"/>
    <w:rsid w:val="00793E15"/>
    <w:rsid w:val="007941F5"/>
    <w:rsid w:val="00794234"/>
    <w:rsid w:val="00794CE7"/>
    <w:rsid w:val="00795985"/>
    <w:rsid w:val="0079648D"/>
    <w:rsid w:val="0079724C"/>
    <w:rsid w:val="007A11D7"/>
    <w:rsid w:val="007A3330"/>
    <w:rsid w:val="007A71C0"/>
    <w:rsid w:val="007B06D3"/>
    <w:rsid w:val="007B1D71"/>
    <w:rsid w:val="007B2090"/>
    <w:rsid w:val="007B36FF"/>
    <w:rsid w:val="007B5072"/>
    <w:rsid w:val="007B5BAA"/>
    <w:rsid w:val="007B6D05"/>
    <w:rsid w:val="007C144B"/>
    <w:rsid w:val="007C558D"/>
    <w:rsid w:val="007C5C1A"/>
    <w:rsid w:val="007C6943"/>
    <w:rsid w:val="007C78C8"/>
    <w:rsid w:val="007C796A"/>
    <w:rsid w:val="007D69B1"/>
    <w:rsid w:val="007D7131"/>
    <w:rsid w:val="007D7A47"/>
    <w:rsid w:val="007E0A63"/>
    <w:rsid w:val="007E1F09"/>
    <w:rsid w:val="007E1FB7"/>
    <w:rsid w:val="007E3CA1"/>
    <w:rsid w:val="007E42CC"/>
    <w:rsid w:val="007E69FE"/>
    <w:rsid w:val="007F03BB"/>
    <w:rsid w:val="007F3E89"/>
    <w:rsid w:val="007F5921"/>
    <w:rsid w:val="007F6351"/>
    <w:rsid w:val="007F6CBE"/>
    <w:rsid w:val="007F6D3F"/>
    <w:rsid w:val="0080034B"/>
    <w:rsid w:val="0080150C"/>
    <w:rsid w:val="00801B7D"/>
    <w:rsid w:val="0080303A"/>
    <w:rsid w:val="00804A00"/>
    <w:rsid w:val="00804AC2"/>
    <w:rsid w:val="00804ACD"/>
    <w:rsid w:val="00806ACE"/>
    <w:rsid w:val="008071D9"/>
    <w:rsid w:val="00807AFB"/>
    <w:rsid w:val="0081071B"/>
    <w:rsid w:val="008114B2"/>
    <w:rsid w:val="008121C9"/>
    <w:rsid w:val="0081272E"/>
    <w:rsid w:val="008127C1"/>
    <w:rsid w:val="00820F09"/>
    <w:rsid w:val="00821C45"/>
    <w:rsid w:val="00821CE8"/>
    <w:rsid w:val="00822236"/>
    <w:rsid w:val="008232FC"/>
    <w:rsid w:val="00824394"/>
    <w:rsid w:val="008243D3"/>
    <w:rsid w:val="008254B6"/>
    <w:rsid w:val="008265BA"/>
    <w:rsid w:val="008269E9"/>
    <w:rsid w:val="008275F7"/>
    <w:rsid w:val="00832094"/>
    <w:rsid w:val="008325D3"/>
    <w:rsid w:val="008333D0"/>
    <w:rsid w:val="00833404"/>
    <w:rsid w:val="00834051"/>
    <w:rsid w:val="00837728"/>
    <w:rsid w:val="008416A1"/>
    <w:rsid w:val="00841927"/>
    <w:rsid w:val="00842B97"/>
    <w:rsid w:val="00844138"/>
    <w:rsid w:val="00846A90"/>
    <w:rsid w:val="00846A9B"/>
    <w:rsid w:val="00847425"/>
    <w:rsid w:val="00850F01"/>
    <w:rsid w:val="00852084"/>
    <w:rsid w:val="00855868"/>
    <w:rsid w:val="00861449"/>
    <w:rsid w:val="00861C54"/>
    <w:rsid w:val="00861CE7"/>
    <w:rsid w:val="00866F74"/>
    <w:rsid w:val="00871771"/>
    <w:rsid w:val="00871C72"/>
    <w:rsid w:val="008720A5"/>
    <w:rsid w:val="00872874"/>
    <w:rsid w:val="00875276"/>
    <w:rsid w:val="0087532F"/>
    <w:rsid w:val="0087679A"/>
    <w:rsid w:val="00876A64"/>
    <w:rsid w:val="00876F4B"/>
    <w:rsid w:val="008818BC"/>
    <w:rsid w:val="008832BB"/>
    <w:rsid w:val="0089044B"/>
    <w:rsid w:val="008911D1"/>
    <w:rsid w:val="00891200"/>
    <w:rsid w:val="008917F5"/>
    <w:rsid w:val="0089215D"/>
    <w:rsid w:val="00893E68"/>
    <w:rsid w:val="0089588C"/>
    <w:rsid w:val="00896881"/>
    <w:rsid w:val="00896AE8"/>
    <w:rsid w:val="00896F73"/>
    <w:rsid w:val="008A35D5"/>
    <w:rsid w:val="008A4A48"/>
    <w:rsid w:val="008A7500"/>
    <w:rsid w:val="008A76EA"/>
    <w:rsid w:val="008A7A18"/>
    <w:rsid w:val="008B2885"/>
    <w:rsid w:val="008B3854"/>
    <w:rsid w:val="008B5DD4"/>
    <w:rsid w:val="008C273C"/>
    <w:rsid w:val="008C27D4"/>
    <w:rsid w:val="008C5907"/>
    <w:rsid w:val="008D4447"/>
    <w:rsid w:val="008E4BDE"/>
    <w:rsid w:val="008E4BED"/>
    <w:rsid w:val="008E5423"/>
    <w:rsid w:val="008F5451"/>
    <w:rsid w:val="00901A38"/>
    <w:rsid w:val="00903880"/>
    <w:rsid w:val="009046D6"/>
    <w:rsid w:val="00904CBF"/>
    <w:rsid w:val="009072FB"/>
    <w:rsid w:val="009149C6"/>
    <w:rsid w:val="00914FD3"/>
    <w:rsid w:val="009155A8"/>
    <w:rsid w:val="0092466A"/>
    <w:rsid w:val="00931755"/>
    <w:rsid w:val="00932113"/>
    <w:rsid w:val="00932371"/>
    <w:rsid w:val="0093245F"/>
    <w:rsid w:val="00933BFF"/>
    <w:rsid w:val="009404A5"/>
    <w:rsid w:val="00940ED3"/>
    <w:rsid w:val="0094595C"/>
    <w:rsid w:val="00945D2B"/>
    <w:rsid w:val="0094621A"/>
    <w:rsid w:val="00946429"/>
    <w:rsid w:val="00947740"/>
    <w:rsid w:val="00953495"/>
    <w:rsid w:val="009548B8"/>
    <w:rsid w:val="00954D86"/>
    <w:rsid w:val="0095582D"/>
    <w:rsid w:val="0095662E"/>
    <w:rsid w:val="009577A4"/>
    <w:rsid w:val="0096105B"/>
    <w:rsid w:val="009622CE"/>
    <w:rsid w:val="009623EE"/>
    <w:rsid w:val="00963C8F"/>
    <w:rsid w:val="0096456E"/>
    <w:rsid w:val="00964CA4"/>
    <w:rsid w:val="009671DC"/>
    <w:rsid w:val="00970ADB"/>
    <w:rsid w:val="00971151"/>
    <w:rsid w:val="00973BF0"/>
    <w:rsid w:val="00973CE5"/>
    <w:rsid w:val="00974B00"/>
    <w:rsid w:val="0097693A"/>
    <w:rsid w:val="00980B39"/>
    <w:rsid w:val="00980D88"/>
    <w:rsid w:val="00981AF1"/>
    <w:rsid w:val="009828DD"/>
    <w:rsid w:val="009839BD"/>
    <w:rsid w:val="00983D81"/>
    <w:rsid w:val="00985F86"/>
    <w:rsid w:val="009867B5"/>
    <w:rsid w:val="0099033E"/>
    <w:rsid w:val="00991831"/>
    <w:rsid w:val="00994C8F"/>
    <w:rsid w:val="00995AA0"/>
    <w:rsid w:val="009962C7"/>
    <w:rsid w:val="00996AFB"/>
    <w:rsid w:val="00997F6A"/>
    <w:rsid w:val="009A0AAB"/>
    <w:rsid w:val="009A153D"/>
    <w:rsid w:val="009A2629"/>
    <w:rsid w:val="009A4F65"/>
    <w:rsid w:val="009B21C3"/>
    <w:rsid w:val="009B2E97"/>
    <w:rsid w:val="009B75D2"/>
    <w:rsid w:val="009C0FCE"/>
    <w:rsid w:val="009C3031"/>
    <w:rsid w:val="009C5D61"/>
    <w:rsid w:val="009C6E6E"/>
    <w:rsid w:val="009D15E0"/>
    <w:rsid w:val="009D5348"/>
    <w:rsid w:val="009D5B19"/>
    <w:rsid w:val="009D7759"/>
    <w:rsid w:val="009D7B86"/>
    <w:rsid w:val="009E0CF4"/>
    <w:rsid w:val="009E1249"/>
    <w:rsid w:val="009E3D47"/>
    <w:rsid w:val="009E43C5"/>
    <w:rsid w:val="009E703D"/>
    <w:rsid w:val="009F0DC4"/>
    <w:rsid w:val="009F19D8"/>
    <w:rsid w:val="009F44B1"/>
    <w:rsid w:val="009F6ABD"/>
    <w:rsid w:val="00A020AC"/>
    <w:rsid w:val="00A02943"/>
    <w:rsid w:val="00A02E18"/>
    <w:rsid w:val="00A0741E"/>
    <w:rsid w:val="00A07508"/>
    <w:rsid w:val="00A07B65"/>
    <w:rsid w:val="00A102CA"/>
    <w:rsid w:val="00A10CD0"/>
    <w:rsid w:val="00A1110C"/>
    <w:rsid w:val="00A202CB"/>
    <w:rsid w:val="00A2299C"/>
    <w:rsid w:val="00A23578"/>
    <w:rsid w:val="00A235B7"/>
    <w:rsid w:val="00A23793"/>
    <w:rsid w:val="00A2457E"/>
    <w:rsid w:val="00A31B85"/>
    <w:rsid w:val="00A3212F"/>
    <w:rsid w:val="00A33D88"/>
    <w:rsid w:val="00A3558F"/>
    <w:rsid w:val="00A361F7"/>
    <w:rsid w:val="00A3704A"/>
    <w:rsid w:val="00A40EFB"/>
    <w:rsid w:val="00A4122B"/>
    <w:rsid w:val="00A43392"/>
    <w:rsid w:val="00A4374B"/>
    <w:rsid w:val="00A43F36"/>
    <w:rsid w:val="00A44733"/>
    <w:rsid w:val="00A45A88"/>
    <w:rsid w:val="00A464C9"/>
    <w:rsid w:val="00A53BF9"/>
    <w:rsid w:val="00A55592"/>
    <w:rsid w:val="00A574EC"/>
    <w:rsid w:val="00A57ACE"/>
    <w:rsid w:val="00A60019"/>
    <w:rsid w:val="00A60D0F"/>
    <w:rsid w:val="00A61D28"/>
    <w:rsid w:val="00A650EE"/>
    <w:rsid w:val="00A67031"/>
    <w:rsid w:val="00A71472"/>
    <w:rsid w:val="00A72511"/>
    <w:rsid w:val="00A77147"/>
    <w:rsid w:val="00A81CA6"/>
    <w:rsid w:val="00A83382"/>
    <w:rsid w:val="00A840FA"/>
    <w:rsid w:val="00A853EB"/>
    <w:rsid w:val="00A85A4A"/>
    <w:rsid w:val="00A91310"/>
    <w:rsid w:val="00A921DF"/>
    <w:rsid w:val="00A92725"/>
    <w:rsid w:val="00A93C94"/>
    <w:rsid w:val="00A95DC8"/>
    <w:rsid w:val="00A96440"/>
    <w:rsid w:val="00A96B4B"/>
    <w:rsid w:val="00A97AD4"/>
    <w:rsid w:val="00A97DE8"/>
    <w:rsid w:val="00AA2675"/>
    <w:rsid w:val="00AA293A"/>
    <w:rsid w:val="00AA39C3"/>
    <w:rsid w:val="00AA3D8F"/>
    <w:rsid w:val="00AA59F1"/>
    <w:rsid w:val="00AB29D4"/>
    <w:rsid w:val="00AB36E6"/>
    <w:rsid w:val="00AB43C0"/>
    <w:rsid w:val="00AB4813"/>
    <w:rsid w:val="00AB5791"/>
    <w:rsid w:val="00AB6B86"/>
    <w:rsid w:val="00AC3C67"/>
    <w:rsid w:val="00AC45F7"/>
    <w:rsid w:val="00AC4E42"/>
    <w:rsid w:val="00AD041A"/>
    <w:rsid w:val="00AD577C"/>
    <w:rsid w:val="00AD60CF"/>
    <w:rsid w:val="00AD7100"/>
    <w:rsid w:val="00AE09FF"/>
    <w:rsid w:val="00AE0C3F"/>
    <w:rsid w:val="00AE1547"/>
    <w:rsid w:val="00AE4A3B"/>
    <w:rsid w:val="00AE50A3"/>
    <w:rsid w:val="00AE5752"/>
    <w:rsid w:val="00AE5B9D"/>
    <w:rsid w:val="00AF101D"/>
    <w:rsid w:val="00AF1A9E"/>
    <w:rsid w:val="00B00662"/>
    <w:rsid w:val="00B00782"/>
    <w:rsid w:val="00B01D6E"/>
    <w:rsid w:val="00B02FC9"/>
    <w:rsid w:val="00B0429F"/>
    <w:rsid w:val="00B05349"/>
    <w:rsid w:val="00B05456"/>
    <w:rsid w:val="00B0577E"/>
    <w:rsid w:val="00B05A81"/>
    <w:rsid w:val="00B05B02"/>
    <w:rsid w:val="00B105A1"/>
    <w:rsid w:val="00B13E61"/>
    <w:rsid w:val="00B151B1"/>
    <w:rsid w:val="00B15573"/>
    <w:rsid w:val="00B17430"/>
    <w:rsid w:val="00B174AD"/>
    <w:rsid w:val="00B2125D"/>
    <w:rsid w:val="00B243A9"/>
    <w:rsid w:val="00B25943"/>
    <w:rsid w:val="00B25D14"/>
    <w:rsid w:val="00B26252"/>
    <w:rsid w:val="00B26372"/>
    <w:rsid w:val="00B30739"/>
    <w:rsid w:val="00B30E79"/>
    <w:rsid w:val="00B329B4"/>
    <w:rsid w:val="00B33471"/>
    <w:rsid w:val="00B41368"/>
    <w:rsid w:val="00B422FF"/>
    <w:rsid w:val="00B46F66"/>
    <w:rsid w:val="00B47ABA"/>
    <w:rsid w:val="00B50D27"/>
    <w:rsid w:val="00B51075"/>
    <w:rsid w:val="00B5290D"/>
    <w:rsid w:val="00B54EFF"/>
    <w:rsid w:val="00B552E3"/>
    <w:rsid w:val="00B56608"/>
    <w:rsid w:val="00B5790C"/>
    <w:rsid w:val="00B61F5A"/>
    <w:rsid w:val="00B62BE9"/>
    <w:rsid w:val="00B6320E"/>
    <w:rsid w:val="00B6380F"/>
    <w:rsid w:val="00B6490D"/>
    <w:rsid w:val="00B6494D"/>
    <w:rsid w:val="00B65E0E"/>
    <w:rsid w:val="00B660DA"/>
    <w:rsid w:val="00B66C86"/>
    <w:rsid w:val="00B67519"/>
    <w:rsid w:val="00B67785"/>
    <w:rsid w:val="00B67BB0"/>
    <w:rsid w:val="00B703E5"/>
    <w:rsid w:val="00B704F3"/>
    <w:rsid w:val="00B70D83"/>
    <w:rsid w:val="00B7470F"/>
    <w:rsid w:val="00B74D69"/>
    <w:rsid w:val="00B7530F"/>
    <w:rsid w:val="00B75AEE"/>
    <w:rsid w:val="00B76C2E"/>
    <w:rsid w:val="00B76DE3"/>
    <w:rsid w:val="00B7736F"/>
    <w:rsid w:val="00B7758E"/>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784D"/>
    <w:rsid w:val="00BB1314"/>
    <w:rsid w:val="00BB17E4"/>
    <w:rsid w:val="00BB2590"/>
    <w:rsid w:val="00BB2C28"/>
    <w:rsid w:val="00BB4249"/>
    <w:rsid w:val="00BB47D8"/>
    <w:rsid w:val="00BB4925"/>
    <w:rsid w:val="00BB5865"/>
    <w:rsid w:val="00BB5A66"/>
    <w:rsid w:val="00BB5C0C"/>
    <w:rsid w:val="00BB5E8F"/>
    <w:rsid w:val="00BC1306"/>
    <w:rsid w:val="00BC3119"/>
    <w:rsid w:val="00BC43B9"/>
    <w:rsid w:val="00BC5F29"/>
    <w:rsid w:val="00BC6C49"/>
    <w:rsid w:val="00BC706F"/>
    <w:rsid w:val="00BD07B8"/>
    <w:rsid w:val="00BD0937"/>
    <w:rsid w:val="00BD302C"/>
    <w:rsid w:val="00BD4A64"/>
    <w:rsid w:val="00BD516B"/>
    <w:rsid w:val="00BD5E42"/>
    <w:rsid w:val="00BD625E"/>
    <w:rsid w:val="00BE169E"/>
    <w:rsid w:val="00BE27C3"/>
    <w:rsid w:val="00BE29C7"/>
    <w:rsid w:val="00BE3FDB"/>
    <w:rsid w:val="00BE628F"/>
    <w:rsid w:val="00BE67A0"/>
    <w:rsid w:val="00BE6ABC"/>
    <w:rsid w:val="00BE6C6A"/>
    <w:rsid w:val="00BF00F3"/>
    <w:rsid w:val="00BF0E08"/>
    <w:rsid w:val="00BF1C6E"/>
    <w:rsid w:val="00BF261C"/>
    <w:rsid w:val="00BF37A6"/>
    <w:rsid w:val="00BF391D"/>
    <w:rsid w:val="00BF5A8B"/>
    <w:rsid w:val="00C00954"/>
    <w:rsid w:val="00C00997"/>
    <w:rsid w:val="00C01753"/>
    <w:rsid w:val="00C01BD3"/>
    <w:rsid w:val="00C01F46"/>
    <w:rsid w:val="00C12FF8"/>
    <w:rsid w:val="00C162D4"/>
    <w:rsid w:val="00C23138"/>
    <w:rsid w:val="00C23E8D"/>
    <w:rsid w:val="00C260CD"/>
    <w:rsid w:val="00C26EA8"/>
    <w:rsid w:val="00C27918"/>
    <w:rsid w:val="00C30A98"/>
    <w:rsid w:val="00C31DA7"/>
    <w:rsid w:val="00C31FCB"/>
    <w:rsid w:val="00C32EA5"/>
    <w:rsid w:val="00C33066"/>
    <w:rsid w:val="00C33A64"/>
    <w:rsid w:val="00C3596C"/>
    <w:rsid w:val="00C37233"/>
    <w:rsid w:val="00C40BDC"/>
    <w:rsid w:val="00C40DB0"/>
    <w:rsid w:val="00C42A98"/>
    <w:rsid w:val="00C43C21"/>
    <w:rsid w:val="00C46FFD"/>
    <w:rsid w:val="00C47595"/>
    <w:rsid w:val="00C507CE"/>
    <w:rsid w:val="00C52784"/>
    <w:rsid w:val="00C531E4"/>
    <w:rsid w:val="00C53B5E"/>
    <w:rsid w:val="00C5571A"/>
    <w:rsid w:val="00C57433"/>
    <w:rsid w:val="00C6005C"/>
    <w:rsid w:val="00C607CA"/>
    <w:rsid w:val="00C61C1D"/>
    <w:rsid w:val="00C623FF"/>
    <w:rsid w:val="00C62BEE"/>
    <w:rsid w:val="00C62FFA"/>
    <w:rsid w:val="00C630B5"/>
    <w:rsid w:val="00C6462E"/>
    <w:rsid w:val="00C64B61"/>
    <w:rsid w:val="00C662A7"/>
    <w:rsid w:val="00C66CA7"/>
    <w:rsid w:val="00C67031"/>
    <w:rsid w:val="00C7022E"/>
    <w:rsid w:val="00C7082A"/>
    <w:rsid w:val="00C70B8B"/>
    <w:rsid w:val="00C70E00"/>
    <w:rsid w:val="00C71CC1"/>
    <w:rsid w:val="00C71F3C"/>
    <w:rsid w:val="00C71F7F"/>
    <w:rsid w:val="00C73DDF"/>
    <w:rsid w:val="00C7417D"/>
    <w:rsid w:val="00C747FB"/>
    <w:rsid w:val="00C80C75"/>
    <w:rsid w:val="00C82663"/>
    <w:rsid w:val="00C83260"/>
    <w:rsid w:val="00C86C00"/>
    <w:rsid w:val="00C9164B"/>
    <w:rsid w:val="00C93F92"/>
    <w:rsid w:val="00C94273"/>
    <w:rsid w:val="00C962D4"/>
    <w:rsid w:val="00CA2985"/>
    <w:rsid w:val="00CA320E"/>
    <w:rsid w:val="00CA47FD"/>
    <w:rsid w:val="00CA4AD1"/>
    <w:rsid w:val="00CA74DA"/>
    <w:rsid w:val="00CA7687"/>
    <w:rsid w:val="00CA7D84"/>
    <w:rsid w:val="00CB1B6A"/>
    <w:rsid w:val="00CB1C8A"/>
    <w:rsid w:val="00CB32AF"/>
    <w:rsid w:val="00CB5B92"/>
    <w:rsid w:val="00CC26B7"/>
    <w:rsid w:val="00CC279F"/>
    <w:rsid w:val="00CC4D45"/>
    <w:rsid w:val="00CC6447"/>
    <w:rsid w:val="00CC657E"/>
    <w:rsid w:val="00CC6E1F"/>
    <w:rsid w:val="00CC76BE"/>
    <w:rsid w:val="00CD1E4D"/>
    <w:rsid w:val="00CD2ADC"/>
    <w:rsid w:val="00CD3705"/>
    <w:rsid w:val="00CD3811"/>
    <w:rsid w:val="00CD4C12"/>
    <w:rsid w:val="00CD672F"/>
    <w:rsid w:val="00CD7558"/>
    <w:rsid w:val="00CD77C0"/>
    <w:rsid w:val="00CE58D7"/>
    <w:rsid w:val="00CE5F34"/>
    <w:rsid w:val="00CE73F6"/>
    <w:rsid w:val="00CF2ABA"/>
    <w:rsid w:val="00CF3D40"/>
    <w:rsid w:val="00CF5B94"/>
    <w:rsid w:val="00CF666E"/>
    <w:rsid w:val="00CF7955"/>
    <w:rsid w:val="00D009A7"/>
    <w:rsid w:val="00D00ED0"/>
    <w:rsid w:val="00D0127D"/>
    <w:rsid w:val="00D03252"/>
    <w:rsid w:val="00D04C7A"/>
    <w:rsid w:val="00D06481"/>
    <w:rsid w:val="00D067A0"/>
    <w:rsid w:val="00D067A6"/>
    <w:rsid w:val="00D06A4B"/>
    <w:rsid w:val="00D111C4"/>
    <w:rsid w:val="00D11289"/>
    <w:rsid w:val="00D136CF"/>
    <w:rsid w:val="00D13AA2"/>
    <w:rsid w:val="00D142A0"/>
    <w:rsid w:val="00D14411"/>
    <w:rsid w:val="00D15FCF"/>
    <w:rsid w:val="00D162CF"/>
    <w:rsid w:val="00D16604"/>
    <w:rsid w:val="00D16EF3"/>
    <w:rsid w:val="00D16F81"/>
    <w:rsid w:val="00D1792D"/>
    <w:rsid w:val="00D20405"/>
    <w:rsid w:val="00D209D5"/>
    <w:rsid w:val="00D215D2"/>
    <w:rsid w:val="00D21D3E"/>
    <w:rsid w:val="00D224B7"/>
    <w:rsid w:val="00D230EE"/>
    <w:rsid w:val="00D23D86"/>
    <w:rsid w:val="00D2510D"/>
    <w:rsid w:val="00D25212"/>
    <w:rsid w:val="00D26F3E"/>
    <w:rsid w:val="00D303B9"/>
    <w:rsid w:val="00D312E6"/>
    <w:rsid w:val="00D3144E"/>
    <w:rsid w:val="00D42774"/>
    <w:rsid w:val="00D44896"/>
    <w:rsid w:val="00D448BD"/>
    <w:rsid w:val="00D45D88"/>
    <w:rsid w:val="00D46345"/>
    <w:rsid w:val="00D54B6C"/>
    <w:rsid w:val="00D54E7D"/>
    <w:rsid w:val="00D54FAD"/>
    <w:rsid w:val="00D55D1F"/>
    <w:rsid w:val="00D57C94"/>
    <w:rsid w:val="00D60C04"/>
    <w:rsid w:val="00D62BFE"/>
    <w:rsid w:val="00D63CF7"/>
    <w:rsid w:val="00D649A6"/>
    <w:rsid w:val="00D64C83"/>
    <w:rsid w:val="00D6552D"/>
    <w:rsid w:val="00D6618A"/>
    <w:rsid w:val="00D677EE"/>
    <w:rsid w:val="00D71808"/>
    <w:rsid w:val="00D71A24"/>
    <w:rsid w:val="00D72D7B"/>
    <w:rsid w:val="00D72EEC"/>
    <w:rsid w:val="00D736EC"/>
    <w:rsid w:val="00D7655F"/>
    <w:rsid w:val="00D80C95"/>
    <w:rsid w:val="00D81508"/>
    <w:rsid w:val="00D81682"/>
    <w:rsid w:val="00D83ED2"/>
    <w:rsid w:val="00D83F5E"/>
    <w:rsid w:val="00D843B8"/>
    <w:rsid w:val="00D84586"/>
    <w:rsid w:val="00D849E4"/>
    <w:rsid w:val="00D84FF1"/>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2B"/>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44E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583D"/>
    <w:rsid w:val="00E06E33"/>
    <w:rsid w:val="00E109B4"/>
    <w:rsid w:val="00E124A6"/>
    <w:rsid w:val="00E144CB"/>
    <w:rsid w:val="00E148CB"/>
    <w:rsid w:val="00E16C44"/>
    <w:rsid w:val="00E200E0"/>
    <w:rsid w:val="00E202A4"/>
    <w:rsid w:val="00E2039C"/>
    <w:rsid w:val="00E2199A"/>
    <w:rsid w:val="00E23CA5"/>
    <w:rsid w:val="00E23FAD"/>
    <w:rsid w:val="00E24AD0"/>
    <w:rsid w:val="00E24F55"/>
    <w:rsid w:val="00E27376"/>
    <w:rsid w:val="00E31EB1"/>
    <w:rsid w:val="00E33AF8"/>
    <w:rsid w:val="00E34777"/>
    <w:rsid w:val="00E34FE4"/>
    <w:rsid w:val="00E35011"/>
    <w:rsid w:val="00E35EB3"/>
    <w:rsid w:val="00E36916"/>
    <w:rsid w:val="00E415C0"/>
    <w:rsid w:val="00E43412"/>
    <w:rsid w:val="00E43E4F"/>
    <w:rsid w:val="00E444E5"/>
    <w:rsid w:val="00E44CC6"/>
    <w:rsid w:val="00E45B93"/>
    <w:rsid w:val="00E51C4B"/>
    <w:rsid w:val="00E52F47"/>
    <w:rsid w:val="00E57638"/>
    <w:rsid w:val="00E606A5"/>
    <w:rsid w:val="00E6471F"/>
    <w:rsid w:val="00E65367"/>
    <w:rsid w:val="00E654BD"/>
    <w:rsid w:val="00E65649"/>
    <w:rsid w:val="00E66E7E"/>
    <w:rsid w:val="00E67712"/>
    <w:rsid w:val="00E73247"/>
    <w:rsid w:val="00E734E3"/>
    <w:rsid w:val="00E73DD1"/>
    <w:rsid w:val="00E74E37"/>
    <w:rsid w:val="00E774F8"/>
    <w:rsid w:val="00E80548"/>
    <w:rsid w:val="00E822F4"/>
    <w:rsid w:val="00E8262A"/>
    <w:rsid w:val="00E84F2E"/>
    <w:rsid w:val="00E8584B"/>
    <w:rsid w:val="00E87580"/>
    <w:rsid w:val="00E913DC"/>
    <w:rsid w:val="00E94688"/>
    <w:rsid w:val="00E95F7C"/>
    <w:rsid w:val="00E961B7"/>
    <w:rsid w:val="00E97948"/>
    <w:rsid w:val="00EA249A"/>
    <w:rsid w:val="00EA4532"/>
    <w:rsid w:val="00EA4CA8"/>
    <w:rsid w:val="00EA50F2"/>
    <w:rsid w:val="00EA5108"/>
    <w:rsid w:val="00EA52A2"/>
    <w:rsid w:val="00EA69F3"/>
    <w:rsid w:val="00EA712B"/>
    <w:rsid w:val="00EA7E50"/>
    <w:rsid w:val="00EB0DD8"/>
    <w:rsid w:val="00EB16FB"/>
    <w:rsid w:val="00EB18E4"/>
    <w:rsid w:val="00EB2671"/>
    <w:rsid w:val="00EB7CDB"/>
    <w:rsid w:val="00EC105A"/>
    <w:rsid w:val="00EC3FFA"/>
    <w:rsid w:val="00EC5E9C"/>
    <w:rsid w:val="00EC733C"/>
    <w:rsid w:val="00ED0062"/>
    <w:rsid w:val="00ED1C01"/>
    <w:rsid w:val="00ED218B"/>
    <w:rsid w:val="00ED24CC"/>
    <w:rsid w:val="00ED2F30"/>
    <w:rsid w:val="00ED34FA"/>
    <w:rsid w:val="00ED4E56"/>
    <w:rsid w:val="00ED65C1"/>
    <w:rsid w:val="00EE08FB"/>
    <w:rsid w:val="00EE1FB7"/>
    <w:rsid w:val="00EE288D"/>
    <w:rsid w:val="00EE2A38"/>
    <w:rsid w:val="00EE348F"/>
    <w:rsid w:val="00EE3859"/>
    <w:rsid w:val="00EE4538"/>
    <w:rsid w:val="00EF036E"/>
    <w:rsid w:val="00EF056E"/>
    <w:rsid w:val="00EF0759"/>
    <w:rsid w:val="00EF1127"/>
    <w:rsid w:val="00EF142E"/>
    <w:rsid w:val="00EF22BD"/>
    <w:rsid w:val="00EF4360"/>
    <w:rsid w:val="00EF449C"/>
    <w:rsid w:val="00EF65BD"/>
    <w:rsid w:val="00F01EB7"/>
    <w:rsid w:val="00F02052"/>
    <w:rsid w:val="00F02081"/>
    <w:rsid w:val="00F04973"/>
    <w:rsid w:val="00F04B56"/>
    <w:rsid w:val="00F051BA"/>
    <w:rsid w:val="00F05BB8"/>
    <w:rsid w:val="00F11C46"/>
    <w:rsid w:val="00F12037"/>
    <w:rsid w:val="00F12CD8"/>
    <w:rsid w:val="00F14CFA"/>
    <w:rsid w:val="00F15784"/>
    <w:rsid w:val="00F162BE"/>
    <w:rsid w:val="00F1701A"/>
    <w:rsid w:val="00F20417"/>
    <w:rsid w:val="00F21C8C"/>
    <w:rsid w:val="00F303C9"/>
    <w:rsid w:val="00F31D6C"/>
    <w:rsid w:val="00F32F70"/>
    <w:rsid w:val="00F33AB2"/>
    <w:rsid w:val="00F34084"/>
    <w:rsid w:val="00F34A34"/>
    <w:rsid w:val="00F358DB"/>
    <w:rsid w:val="00F35F53"/>
    <w:rsid w:val="00F35FDC"/>
    <w:rsid w:val="00F40CB9"/>
    <w:rsid w:val="00F41C53"/>
    <w:rsid w:val="00F435BD"/>
    <w:rsid w:val="00F43B1A"/>
    <w:rsid w:val="00F44FBF"/>
    <w:rsid w:val="00F45429"/>
    <w:rsid w:val="00F5031B"/>
    <w:rsid w:val="00F51CA2"/>
    <w:rsid w:val="00F51DFE"/>
    <w:rsid w:val="00F5323C"/>
    <w:rsid w:val="00F53FBE"/>
    <w:rsid w:val="00F541C0"/>
    <w:rsid w:val="00F54392"/>
    <w:rsid w:val="00F552B4"/>
    <w:rsid w:val="00F6026A"/>
    <w:rsid w:val="00F61E44"/>
    <w:rsid w:val="00F62FFA"/>
    <w:rsid w:val="00F63219"/>
    <w:rsid w:val="00F63B75"/>
    <w:rsid w:val="00F63CC7"/>
    <w:rsid w:val="00F67BA5"/>
    <w:rsid w:val="00F67FB4"/>
    <w:rsid w:val="00F7115E"/>
    <w:rsid w:val="00F72B40"/>
    <w:rsid w:val="00F737F5"/>
    <w:rsid w:val="00F73CD0"/>
    <w:rsid w:val="00F75651"/>
    <w:rsid w:val="00F76D95"/>
    <w:rsid w:val="00F80282"/>
    <w:rsid w:val="00F810CC"/>
    <w:rsid w:val="00F81DEF"/>
    <w:rsid w:val="00F8561A"/>
    <w:rsid w:val="00F87750"/>
    <w:rsid w:val="00F87D63"/>
    <w:rsid w:val="00F90856"/>
    <w:rsid w:val="00F9440D"/>
    <w:rsid w:val="00F964C5"/>
    <w:rsid w:val="00FA02A6"/>
    <w:rsid w:val="00FA0C10"/>
    <w:rsid w:val="00FA0C14"/>
    <w:rsid w:val="00FA0E05"/>
    <w:rsid w:val="00FA2F1A"/>
    <w:rsid w:val="00FA343C"/>
    <w:rsid w:val="00FA4BE6"/>
    <w:rsid w:val="00FA592D"/>
    <w:rsid w:val="00FA593B"/>
    <w:rsid w:val="00FA701D"/>
    <w:rsid w:val="00FA7F3B"/>
    <w:rsid w:val="00FB0A19"/>
    <w:rsid w:val="00FB1107"/>
    <w:rsid w:val="00FB25D3"/>
    <w:rsid w:val="00FB4787"/>
    <w:rsid w:val="00FB71E8"/>
    <w:rsid w:val="00FC0AF0"/>
    <w:rsid w:val="00FC1337"/>
    <w:rsid w:val="00FC6FE4"/>
    <w:rsid w:val="00FC73F7"/>
    <w:rsid w:val="00FD04A0"/>
    <w:rsid w:val="00FD104C"/>
    <w:rsid w:val="00FD27DE"/>
    <w:rsid w:val="00FD3503"/>
    <w:rsid w:val="00FD520A"/>
    <w:rsid w:val="00FD58A3"/>
    <w:rsid w:val="00FD5B97"/>
    <w:rsid w:val="00FE31F6"/>
    <w:rsid w:val="00FE33C7"/>
    <w:rsid w:val="00FE3AD9"/>
    <w:rsid w:val="00FE4A55"/>
    <w:rsid w:val="00FE5696"/>
    <w:rsid w:val="00FE6F70"/>
    <w:rsid w:val="00FE6FA2"/>
    <w:rsid w:val="00FF04D0"/>
    <w:rsid w:val="00FF0536"/>
    <w:rsid w:val="00FF1174"/>
    <w:rsid w:val="00FF22C3"/>
    <w:rsid w:val="00FF2AD6"/>
    <w:rsid w:val="00FF2F89"/>
    <w:rsid w:val="00FF6C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B7758E"/>
    <w:rPr>
      <w:b/>
      <w:bCs/>
    </w:rPr>
  </w:style>
  <w:style w:type="character" w:styleId="PlaceholderText">
    <w:name w:val="Placeholder Text"/>
    <w:basedOn w:val="DefaultParagraphFont"/>
    <w:uiPriority w:val="99"/>
    <w:semiHidden/>
    <w:rsid w:val="00D009A7"/>
    <w:rPr>
      <w:color w:val="808080"/>
    </w:rPr>
  </w:style>
  <w:style w:type="paragraph" w:customStyle="1" w:styleId="xmsonormal">
    <w:name w:val="x_msonormal"/>
    <w:basedOn w:val="Normal"/>
    <w:rsid w:val="00C3596C"/>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C3596C"/>
    <w:pPr>
      <w:spacing w:before="0" w:after="0"/>
      <w:jc w:val="left"/>
    </w:pPr>
    <w:rPr>
      <w:rFonts w:ascii="Calibri" w:eastAsia="Malgun Gothic" w:hAnsi="Calibri" w:cs="Calibri"/>
      <w:sz w:val="22"/>
      <w:szCs w:val="22"/>
      <w:lang w:val="en-US" w:eastAsia="ko-KR"/>
    </w:rPr>
  </w:style>
  <w:style w:type="character" w:customStyle="1" w:styleId="apple-converted-space">
    <w:name w:val="apple-converted-space"/>
    <w:basedOn w:val="DefaultParagraphFont"/>
    <w:qFormat/>
    <w:rsid w:val="00C67031"/>
  </w:style>
  <w:style w:type="paragraph" w:styleId="NormalWeb">
    <w:name w:val="Normal (Web)"/>
    <w:basedOn w:val="Normal"/>
    <w:uiPriority w:val="99"/>
    <w:qFormat/>
    <w:rsid w:val="00C46FFD"/>
    <w:pPr>
      <w:spacing w:before="100" w:beforeAutospacing="1" w:after="100" w:afterAutospacing="1"/>
      <w:jc w:val="left"/>
    </w:pPr>
    <w:rPr>
      <w:rFonts w:ascii="Arial" w:eastAsia="SimSun" w:hAnsi="Arial" w:cs="Arial"/>
      <w:color w:val="493118"/>
      <w:sz w:val="18"/>
      <w:szCs w:val="18"/>
      <w:lang w:val="en-US" w:eastAsia="zh-CN"/>
    </w:rPr>
  </w:style>
  <w:style w:type="paragraph" w:customStyle="1" w:styleId="xmsonormal0">
    <w:name w:val="xmsonormal"/>
    <w:basedOn w:val="Normal"/>
    <w:uiPriority w:val="99"/>
    <w:rsid w:val="00A202CB"/>
    <w:pPr>
      <w:spacing w:before="100" w:beforeAutospacing="1" w:after="100" w:afterAutospacing="1"/>
      <w:jc w:val="left"/>
    </w:pPr>
    <w:rPr>
      <w:rFonts w:eastAsia="SimSun"/>
      <w:sz w:val="24"/>
      <w:szCs w:val="24"/>
      <w:lang w:val="en-US" w:eastAsia="zh-CN"/>
    </w:rPr>
  </w:style>
  <w:style w:type="paragraph" w:customStyle="1" w:styleId="xa0">
    <w:name w:val="xa0"/>
    <w:basedOn w:val="Normal"/>
    <w:qFormat/>
    <w:rsid w:val="00A202CB"/>
    <w:pPr>
      <w:spacing w:before="100" w:beforeAutospacing="1" w:after="100" w:afterAutospacing="1"/>
      <w:jc w:val="left"/>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10523BB6-D5A6-43BC-A59D-28F77328D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1589</Words>
  <Characters>9059</Characters>
  <Application>Microsoft Office Word</Application>
  <DocSecurity>4</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2021-10-02T03:20:00Z</dcterms:created>
  <dcterms:modified xsi:type="dcterms:W3CDTF">2021-10-02T03:20:00Z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