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792DC5CF"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133F2F">
        <w:rPr>
          <w:rFonts w:ascii="Arial" w:hAnsi="Arial" w:cs="Arial"/>
          <w:bCs/>
          <w:sz w:val="28"/>
          <w:szCs w:val="28"/>
        </w:rPr>
        <w:t>6</w:t>
      </w:r>
      <w:r w:rsidR="002C43D0">
        <w:rPr>
          <w:rFonts w:ascii="Arial" w:hAnsi="Arial" w:cs="Arial"/>
          <w:bCs/>
          <w:sz w:val="28"/>
          <w:szCs w:val="28"/>
        </w:rPr>
        <w:t>bis</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72214A" w:rsidRPr="0072214A">
        <w:t xml:space="preserve"> </w:t>
      </w:r>
      <w:r w:rsidR="006A087E" w:rsidRPr="006A087E">
        <w:rPr>
          <w:rFonts w:ascii="Arial" w:hAnsi="Arial" w:cs="Arial"/>
          <w:bCs/>
          <w:sz w:val="28"/>
          <w:szCs w:val="28"/>
        </w:rPr>
        <w:t>2110051</w:t>
      </w:r>
    </w:p>
    <w:p w14:paraId="3ED772E9" w14:textId="3F53DA62"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C43D0">
        <w:rPr>
          <w:rFonts w:ascii="Arial" w:eastAsia="MS Mincho" w:hAnsi="Arial" w:cs="Arial"/>
          <w:b/>
          <w:bCs/>
          <w:sz w:val="28"/>
          <w:lang w:eastAsia="ja-JP"/>
        </w:rPr>
        <w:t>October</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2C43D0">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C43D0">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1FE5C708" w:rsidR="00E90E49" w:rsidRPr="00460F8C" w:rsidRDefault="00E90E49" w:rsidP="00311702">
      <w:pPr>
        <w:pStyle w:val="3GPPHeader"/>
        <w:rPr>
          <w:rFonts w:ascii="Arial" w:hAnsi="Arial" w:cs="Arial"/>
          <w:sz w:val="22"/>
          <w:szCs w:val="22"/>
        </w:rPr>
      </w:pPr>
      <w:r w:rsidRPr="00460F8C">
        <w:rPr>
          <w:rFonts w:ascii="Arial" w:hAnsi="Arial" w:cs="Arial"/>
          <w:sz w:val="22"/>
          <w:szCs w:val="22"/>
        </w:rPr>
        <w:t>Agenda Item:</w:t>
      </w:r>
      <w:r w:rsidRPr="00460F8C">
        <w:rPr>
          <w:rFonts w:ascii="Arial" w:hAnsi="Arial" w:cs="Arial"/>
          <w:sz w:val="22"/>
          <w:szCs w:val="22"/>
        </w:rPr>
        <w:tab/>
      </w:r>
      <w:r w:rsidR="002E78A1" w:rsidRPr="00460F8C">
        <w:rPr>
          <w:rFonts w:ascii="Arial" w:hAnsi="Arial" w:cs="Arial"/>
          <w:sz w:val="22"/>
          <w:szCs w:val="22"/>
        </w:rPr>
        <w:t>8.</w:t>
      </w:r>
      <w:r w:rsidR="005320E9" w:rsidRPr="00460F8C">
        <w:rPr>
          <w:rFonts w:ascii="Arial" w:hAnsi="Arial" w:cs="Arial"/>
          <w:sz w:val="22"/>
          <w:szCs w:val="22"/>
        </w:rPr>
        <w:t>10</w:t>
      </w:r>
      <w:r w:rsidR="002E78A1" w:rsidRPr="00460F8C">
        <w:rPr>
          <w:rFonts w:ascii="Arial" w:hAnsi="Arial" w:cs="Arial"/>
          <w:sz w:val="22"/>
          <w:szCs w:val="22"/>
        </w:rPr>
        <w:t>.</w:t>
      </w:r>
      <w:r w:rsidR="008E5FA7" w:rsidRPr="00460F8C">
        <w:rPr>
          <w:rFonts w:ascii="Arial" w:hAnsi="Arial" w:cs="Arial"/>
          <w:sz w:val="22"/>
          <w:szCs w:val="22"/>
        </w:rPr>
        <w:t>1</w:t>
      </w:r>
    </w:p>
    <w:p w14:paraId="3D5AB017" w14:textId="77777777" w:rsidR="00E90E49" w:rsidRPr="00460F8C" w:rsidRDefault="003D3C45" w:rsidP="00F64C2B">
      <w:pPr>
        <w:pStyle w:val="3GPPHeader"/>
        <w:rPr>
          <w:rFonts w:ascii="Arial" w:hAnsi="Arial" w:cs="Arial"/>
          <w:sz w:val="22"/>
          <w:szCs w:val="22"/>
        </w:rPr>
      </w:pPr>
      <w:r w:rsidRPr="00460F8C">
        <w:rPr>
          <w:rFonts w:ascii="Arial" w:hAnsi="Arial" w:cs="Arial"/>
          <w:sz w:val="22"/>
          <w:szCs w:val="22"/>
        </w:rPr>
        <w:t>Source:</w:t>
      </w:r>
      <w:r w:rsidR="00E90E49" w:rsidRPr="00460F8C">
        <w:rPr>
          <w:rFonts w:ascii="Arial" w:hAnsi="Arial" w:cs="Arial"/>
          <w:sz w:val="22"/>
          <w:szCs w:val="22"/>
        </w:rPr>
        <w:tab/>
      </w:r>
      <w:r w:rsidR="00F12DE8" w:rsidRPr="00460F8C">
        <w:rPr>
          <w:rFonts w:ascii="Arial" w:hAnsi="Arial" w:cs="Arial"/>
          <w:sz w:val="22"/>
          <w:szCs w:val="22"/>
        </w:rPr>
        <w:t>Apple</w:t>
      </w:r>
      <w:r w:rsidR="009A524B" w:rsidRPr="00460F8C">
        <w:rPr>
          <w:rFonts w:ascii="Arial" w:hAnsi="Arial" w:cs="Arial"/>
          <w:sz w:val="22"/>
          <w:szCs w:val="22"/>
        </w:rPr>
        <w:t xml:space="preserve"> </w:t>
      </w:r>
      <w:r w:rsidR="00A20E07" w:rsidRPr="00460F8C">
        <w:rPr>
          <w:rFonts w:ascii="Arial" w:hAnsi="Arial" w:cs="Arial"/>
          <w:sz w:val="22"/>
          <w:szCs w:val="22"/>
        </w:rPr>
        <w:t>Inc.</w:t>
      </w:r>
    </w:p>
    <w:p w14:paraId="5B22300E" w14:textId="0D10EF91" w:rsidR="00E90E49" w:rsidRPr="00460F8C" w:rsidRDefault="003D3C45" w:rsidP="00311702">
      <w:pPr>
        <w:pStyle w:val="3GPPHeader"/>
        <w:rPr>
          <w:rFonts w:ascii="Arial" w:hAnsi="Arial" w:cs="Arial"/>
          <w:sz w:val="22"/>
          <w:szCs w:val="22"/>
        </w:rPr>
      </w:pPr>
      <w:r w:rsidRPr="00460F8C">
        <w:rPr>
          <w:rFonts w:ascii="Arial" w:hAnsi="Arial" w:cs="Arial"/>
          <w:sz w:val="22"/>
          <w:szCs w:val="22"/>
        </w:rPr>
        <w:t>Title:</w:t>
      </w:r>
      <w:r w:rsidR="00193533" w:rsidRPr="00460F8C">
        <w:rPr>
          <w:rFonts w:ascii="Arial" w:hAnsi="Arial" w:cs="Arial"/>
          <w:sz w:val="22"/>
          <w:szCs w:val="22"/>
        </w:rPr>
        <w:tab/>
      </w:r>
      <w:r w:rsidR="002032DA" w:rsidRPr="00460F8C">
        <w:rPr>
          <w:rFonts w:ascii="Arial" w:hAnsi="Arial" w:cs="Arial"/>
          <w:sz w:val="22"/>
          <w:szCs w:val="22"/>
        </w:rPr>
        <w:t xml:space="preserve">Enhanced resource multiplexing within </w:t>
      </w:r>
      <w:r w:rsidR="000709CA" w:rsidRPr="00460F8C">
        <w:rPr>
          <w:rFonts w:ascii="Arial" w:hAnsi="Arial" w:cs="Arial"/>
          <w:sz w:val="22"/>
          <w:szCs w:val="22"/>
        </w:rPr>
        <w:t>an</w:t>
      </w:r>
      <w:r w:rsidR="002032DA" w:rsidRPr="00460F8C">
        <w:rPr>
          <w:rFonts w:ascii="Arial" w:hAnsi="Arial" w:cs="Arial"/>
          <w:sz w:val="22"/>
          <w:szCs w:val="22"/>
        </w:rPr>
        <w:t xml:space="preserve"> IAB node</w:t>
      </w:r>
      <w:r w:rsidR="00502BD9" w:rsidRPr="00460F8C">
        <w:rPr>
          <w:rFonts w:ascii="Arial" w:hAnsi="Arial" w:cs="Arial"/>
          <w:sz w:val="22"/>
          <w:szCs w:val="22"/>
        </w:rPr>
        <w:t xml:space="preserve"> </w:t>
      </w:r>
    </w:p>
    <w:p w14:paraId="499A70C9" w14:textId="77777777" w:rsidR="00E90E49" w:rsidRPr="00460F8C" w:rsidRDefault="00E90E49" w:rsidP="00396685">
      <w:pPr>
        <w:pStyle w:val="3GPPHeader"/>
        <w:rPr>
          <w:rFonts w:ascii="Arial" w:hAnsi="Arial" w:cs="Arial"/>
          <w:sz w:val="22"/>
          <w:szCs w:val="22"/>
        </w:rPr>
      </w:pPr>
      <w:r w:rsidRPr="00460F8C">
        <w:rPr>
          <w:rFonts w:ascii="Arial" w:hAnsi="Arial" w:cs="Arial"/>
          <w:sz w:val="22"/>
          <w:szCs w:val="22"/>
        </w:rPr>
        <w:t>Document for:</w:t>
      </w:r>
      <w:r w:rsidRPr="00460F8C">
        <w:rPr>
          <w:rFonts w:ascii="Arial" w:hAnsi="Arial" w:cs="Arial"/>
          <w:sz w:val="22"/>
          <w:szCs w:val="22"/>
        </w:rPr>
        <w:tab/>
        <w:t>Discussion, Decision</w:t>
      </w:r>
    </w:p>
    <w:p w14:paraId="7C1A2FA9" w14:textId="39155F8B" w:rsidR="004D0D84" w:rsidRPr="00460F8C" w:rsidRDefault="00E90E49" w:rsidP="002050A6">
      <w:pPr>
        <w:pStyle w:val="Heading1"/>
        <w:rPr>
          <w:rFonts w:ascii="Arial" w:hAnsi="Arial" w:cs="Arial"/>
          <w:b/>
          <w:bCs/>
          <w:sz w:val="32"/>
          <w:szCs w:val="32"/>
        </w:rPr>
      </w:pPr>
      <w:bookmarkStart w:id="0" w:name="_Ref4510574"/>
      <w:r w:rsidRPr="00460F8C">
        <w:rPr>
          <w:rFonts w:ascii="Arial" w:hAnsi="Arial" w:cs="Arial"/>
          <w:b/>
          <w:bCs/>
          <w:sz w:val="32"/>
          <w:szCs w:val="32"/>
        </w:rPr>
        <w:t>Introduction</w:t>
      </w:r>
      <w:bookmarkEnd w:id="0"/>
    </w:p>
    <w:p w14:paraId="439E3C9B" w14:textId="27F8AD6D" w:rsidR="00941E13" w:rsidRDefault="00797E71" w:rsidP="00F838FC">
      <w:pPr>
        <w:jc w:val="both"/>
        <w:rPr>
          <w:sz w:val="20"/>
          <w:szCs w:val="20"/>
        </w:rPr>
      </w:pPr>
      <w:r>
        <w:rPr>
          <w:sz w:val="20"/>
          <w:szCs w:val="20"/>
        </w:rPr>
        <w:t>Rel-17</w:t>
      </w:r>
      <w:r w:rsidR="00941E13">
        <w:rPr>
          <w:sz w:val="20"/>
          <w:szCs w:val="20"/>
        </w:rPr>
        <w:t xml:space="preserve"> WI to enhance integrated access and backhaul (IAB)</w:t>
      </w:r>
      <w:r w:rsidR="002516D5">
        <w:rPr>
          <w:sz w:val="20"/>
          <w:szCs w:val="20"/>
        </w:rPr>
        <w:t xml:space="preserve"> </w:t>
      </w:r>
      <w:r w:rsidR="00941E13">
        <w:rPr>
          <w:sz w:val="20"/>
          <w:szCs w:val="20"/>
        </w:rPr>
        <w:t>aims the following RAN1-led objectives, related to duplexing enhancements</w:t>
      </w:r>
      <w:r w:rsidR="002516D5">
        <w:rPr>
          <w:sz w:val="20"/>
          <w:szCs w:val="20"/>
        </w:rPr>
        <w:t xml:space="preserve"> </w:t>
      </w:r>
      <w:r w:rsidR="00941E13">
        <w:rPr>
          <w:sz w:val="20"/>
          <w:szCs w:val="20"/>
        </w:rPr>
        <w:t>[1]:</w:t>
      </w:r>
    </w:p>
    <w:p w14:paraId="2E804EE7" w14:textId="77777777" w:rsidR="00941E13" w:rsidRPr="00941E13" w:rsidRDefault="00941E13" w:rsidP="00941E13">
      <w:pPr>
        <w:numPr>
          <w:ilvl w:val="0"/>
          <w:numId w:val="23"/>
        </w:numPr>
        <w:jc w:val="both"/>
        <w:rPr>
          <w:sz w:val="20"/>
          <w:szCs w:val="20"/>
        </w:rPr>
      </w:pPr>
      <w:r w:rsidRPr="00941E13">
        <w:rPr>
          <w:sz w:val="20"/>
          <w:szCs w:val="20"/>
          <w:lang w:val="en-GB"/>
        </w:rPr>
        <w:t>Specification of enhancements to the resource multiplexing between child and parent links of an IAB node, including:</w:t>
      </w:r>
    </w:p>
    <w:p w14:paraId="0B5FCC1D" w14:textId="77777777" w:rsidR="00941E13" w:rsidRPr="00941E13" w:rsidRDefault="00941E13" w:rsidP="00941E13">
      <w:pPr>
        <w:numPr>
          <w:ilvl w:val="1"/>
          <w:numId w:val="23"/>
        </w:numPr>
        <w:jc w:val="both"/>
        <w:rPr>
          <w:sz w:val="20"/>
          <w:szCs w:val="20"/>
          <w:lang w:val="en-GB"/>
        </w:rPr>
      </w:pPr>
      <w:bookmarkStart w:id="1" w:name="_Hlk26193173"/>
      <w:r w:rsidRPr="00941E13">
        <w:rPr>
          <w:sz w:val="20"/>
          <w:szCs w:val="20"/>
          <w:lang w:val="en-GB"/>
        </w:rPr>
        <w:t>Support of simultaneous operation (transmission and/or reception) of IAB-node’s child and parent links (i.e., MT Tx/DU Tx, MT Tx/DU Rx, MT Rx/DU Tx, MT Rx/DU Rx).</w:t>
      </w:r>
    </w:p>
    <w:p w14:paraId="75261FFE" w14:textId="77777777" w:rsidR="00941E13" w:rsidRPr="00941E13" w:rsidRDefault="00941E13" w:rsidP="00941E13">
      <w:pPr>
        <w:numPr>
          <w:ilvl w:val="1"/>
          <w:numId w:val="23"/>
        </w:numPr>
        <w:jc w:val="both"/>
        <w:rPr>
          <w:sz w:val="20"/>
          <w:szCs w:val="20"/>
          <w:lang w:val="en-GB"/>
        </w:rPr>
      </w:pPr>
      <w:r w:rsidRPr="00941E13">
        <w:rPr>
          <w:sz w:val="20"/>
          <w:szCs w:val="20"/>
          <w:lang w:val="en-GB"/>
        </w:rPr>
        <w:t>Support for dual-connectivity scenarios defined by RAN2/RAN3 in the context of topology redundancy for improved robustness and load balancing.</w:t>
      </w:r>
    </w:p>
    <w:bookmarkEnd w:id="1"/>
    <w:p w14:paraId="52A63A99" w14:textId="77777777" w:rsidR="00941E13" w:rsidRPr="00941E13" w:rsidRDefault="00941E13" w:rsidP="00941E13">
      <w:pPr>
        <w:numPr>
          <w:ilvl w:val="0"/>
          <w:numId w:val="23"/>
        </w:numPr>
        <w:jc w:val="both"/>
        <w:rPr>
          <w:sz w:val="20"/>
          <w:szCs w:val="20"/>
          <w:lang w:val="en-GB"/>
        </w:rPr>
      </w:pPr>
      <w:r w:rsidRPr="00941E13">
        <w:rPr>
          <w:sz w:val="20"/>
          <w:szCs w:val="20"/>
          <w:lang w:val="en-GB"/>
        </w:rPr>
        <w:t>Specification of IAB-node timing mode(s), extensions for DL/UL power control, and CLI and interference measurements of BH links, as needed, to support simultaneous operation (transmission and/or reception) by IAB-node’s child and parent links.</w:t>
      </w:r>
    </w:p>
    <w:p w14:paraId="5C1BB757" w14:textId="77777777" w:rsidR="00941E13" w:rsidRDefault="00941E13" w:rsidP="00F838FC">
      <w:pPr>
        <w:jc w:val="both"/>
        <w:rPr>
          <w:sz w:val="20"/>
          <w:szCs w:val="20"/>
        </w:rPr>
      </w:pPr>
    </w:p>
    <w:p w14:paraId="6B6CA718" w14:textId="77777777" w:rsidR="00F838FC" w:rsidRPr="00F838FC" w:rsidRDefault="00F838FC" w:rsidP="00F838FC">
      <w:pPr>
        <w:jc w:val="both"/>
        <w:rPr>
          <w:sz w:val="20"/>
          <w:szCs w:val="20"/>
        </w:rPr>
      </w:pPr>
    </w:p>
    <w:p w14:paraId="56BEE1FA" w14:textId="2D4E62AF" w:rsidR="005B1FBD"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w:t>
      </w:r>
      <w:r w:rsidR="00D12C2E">
        <w:rPr>
          <w:sz w:val="20"/>
          <w:szCs w:val="20"/>
          <w:lang w:val="en-GB"/>
        </w:rPr>
        <w:t xml:space="preserve">resource </w:t>
      </w:r>
      <w:r w:rsidR="008C2B48">
        <w:rPr>
          <w:sz w:val="20"/>
          <w:szCs w:val="20"/>
          <w:lang w:val="en-GB"/>
        </w:rPr>
        <w:t>multiplexing</w:t>
      </w:r>
      <w:r w:rsidR="001B1922">
        <w:rPr>
          <w:sz w:val="20"/>
          <w:szCs w:val="20"/>
          <w:lang w:val="en-GB"/>
        </w:rPr>
        <w:t xml:space="preserve"> </w:t>
      </w:r>
      <w:r w:rsidR="008C2B48">
        <w:rPr>
          <w:sz w:val="20"/>
          <w:szCs w:val="20"/>
          <w:lang w:val="en-GB"/>
        </w:rPr>
        <w:t>between IAB node’s child and parent links</w:t>
      </w:r>
      <w:r w:rsidR="001B1922">
        <w:rPr>
          <w:sz w:val="20"/>
          <w:szCs w:val="20"/>
          <w:lang w:val="en-GB"/>
        </w:rPr>
        <w:t>.</w:t>
      </w:r>
    </w:p>
    <w:p w14:paraId="07ED24B1" w14:textId="77777777" w:rsidR="00177341" w:rsidRPr="00460F8C" w:rsidRDefault="00177341" w:rsidP="00177341">
      <w:pPr>
        <w:pStyle w:val="Heading1"/>
        <w:rPr>
          <w:rFonts w:ascii="Arial" w:hAnsi="Arial" w:cs="Arial"/>
          <w:b/>
          <w:bCs/>
          <w:sz w:val="32"/>
          <w:szCs w:val="32"/>
        </w:rPr>
      </w:pPr>
      <w:r w:rsidRPr="00460F8C">
        <w:rPr>
          <w:rFonts w:ascii="Arial" w:hAnsi="Arial" w:cs="Arial"/>
          <w:b/>
          <w:bCs/>
          <w:sz w:val="32"/>
          <w:szCs w:val="32"/>
        </w:rPr>
        <w:t>Multi-Parent IAB-MT</w:t>
      </w:r>
    </w:p>
    <w:p w14:paraId="2FA55306" w14:textId="02DEC6D8" w:rsidR="00177341" w:rsidRDefault="00177341" w:rsidP="00177341">
      <w:pPr>
        <w:jc w:val="both"/>
        <w:rPr>
          <w:sz w:val="20"/>
          <w:szCs w:val="20"/>
        </w:rPr>
      </w:pPr>
      <w:r>
        <w:rPr>
          <w:sz w:val="20"/>
          <w:szCs w:val="20"/>
        </w:rPr>
        <w:t>An IAB-MT with multi-parent has been discussed in Rel-17. Specifically, for the case that IAB-MT is not capable to receive and transmit simultaneously, the following agreements were reached in RAN1#106-e on how to resolve the conflict in link directions where conflict is due to independent indication from different parents</w:t>
      </w:r>
      <w:r w:rsidR="00F61D6A">
        <w:rPr>
          <w:sz w:val="20"/>
          <w:szCs w:val="20"/>
        </w:rPr>
        <w:t xml:space="preserve"> [2]</w:t>
      </w:r>
      <w:r>
        <w:rPr>
          <w:sz w:val="20"/>
          <w:szCs w:val="20"/>
        </w:rPr>
        <w:t>:</w:t>
      </w:r>
    </w:p>
    <w:p w14:paraId="377EFF45" w14:textId="77777777" w:rsidR="00F61D6A" w:rsidRDefault="00F61D6A" w:rsidP="00177341">
      <w:pPr>
        <w:jc w:val="both"/>
        <w:rPr>
          <w:sz w:val="20"/>
          <w:szCs w:val="20"/>
        </w:rPr>
      </w:pPr>
    </w:p>
    <w:p w14:paraId="746ED3E9" w14:textId="77777777" w:rsidR="00177341" w:rsidRPr="00484329" w:rsidRDefault="00177341" w:rsidP="00177341">
      <w:pPr>
        <w:rPr>
          <w:rFonts w:cs="Times"/>
          <w:b/>
          <w:sz w:val="20"/>
          <w:szCs w:val="20"/>
        </w:rPr>
      </w:pPr>
      <w:r w:rsidRPr="00484329">
        <w:rPr>
          <w:rFonts w:cs="Times"/>
          <w:b/>
          <w:sz w:val="20"/>
          <w:szCs w:val="20"/>
          <w:highlight w:val="green"/>
        </w:rPr>
        <w:t>Agreement</w:t>
      </w:r>
    </w:p>
    <w:p w14:paraId="5AC47D77" w14:textId="77777777" w:rsidR="00177341" w:rsidRPr="00484329" w:rsidRDefault="00177341" w:rsidP="00177341">
      <w:pPr>
        <w:rPr>
          <w:rFonts w:cs="Times"/>
          <w:bCs/>
          <w:sz w:val="20"/>
          <w:szCs w:val="20"/>
        </w:rPr>
      </w:pPr>
      <w:r w:rsidRPr="00484329">
        <w:rPr>
          <w:rFonts w:cs="Times"/>
          <w:bCs/>
          <w:sz w:val="20"/>
          <w:szCs w:val="20"/>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3F0E26C1" w14:textId="77777777" w:rsidR="00177341" w:rsidRPr="00484329" w:rsidRDefault="00177341" w:rsidP="00177341">
      <w:pPr>
        <w:pStyle w:val="ListParagraph"/>
        <w:numPr>
          <w:ilvl w:val="0"/>
          <w:numId w:val="33"/>
        </w:numPr>
        <w:contextualSpacing w:val="0"/>
        <w:rPr>
          <w:rFonts w:cs="Times"/>
          <w:bCs/>
          <w:sz w:val="20"/>
          <w:szCs w:val="20"/>
          <w:lang w:eastAsia="zh-CN"/>
        </w:rPr>
      </w:pPr>
      <w:r w:rsidRPr="00484329">
        <w:rPr>
          <w:rFonts w:cs="Times"/>
          <w:bCs/>
          <w:sz w:val="20"/>
          <w:szCs w:val="20"/>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CF1A2DE" w14:textId="77777777" w:rsidR="00177341" w:rsidRPr="00484329" w:rsidRDefault="00177341" w:rsidP="00177341">
      <w:pPr>
        <w:pStyle w:val="ListParagraph"/>
        <w:numPr>
          <w:ilvl w:val="0"/>
          <w:numId w:val="33"/>
        </w:numPr>
        <w:contextualSpacing w:val="0"/>
        <w:rPr>
          <w:rFonts w:cs="Times"/>
          <w:bCs/>
          <w:sz w:val="20"/>
          <w:szCs w:val="20"/>
          <w:lang w:eastAsia="zh-CN"/>
        </w:rPr>
      </w:pPr>
      <w:r w:rsidRPr="00484329">
        <w:rPr>
          <w:rFonts w:cs="Times"/>
          <w:bCs/>
          <w:sz w:val="20"/>
          <w:szCs w:val="20"/>
          <w:lang w:eastAsia="zh-CN"/>
        </w:rPr>
        <w:t>Alt. 6. The IAB-MT is expected to operate according to the non-flexible configuration.</w:t>
      </w:r>
    </w:p>
    <w:p w14:paraId="7D01CF93" w14:textId="77777777" w:rsidR="00177341" w:rsidRPr="00484329" w:rsidRDefault="00177341" w:rsidP="00177341">
      <w:pPr>
        <w:ind w:left="360"/>
        <w:rPr>
          <w:rFonts w:cs="Times"/>
          <w:b/>
          <w:bCs/>
          <w:sz w:val="20"/>
          <w:szCs w:val="20"/>
        </w:rPr>
      </w:pPr>
    </w:p>
    <w:p w14:paraId="49852BB2" w14:textId="77777777" w:rsidR="00177341" w:rsidRPr="00484329" w:rsidRDefault="00177341" w:rsidP="00177341">
      <w:pPr>
        <w:rPr>
          <w:rFonts w:cs="Times"/>
          <w:b/>
          <w:sz w:val="20"/>
          <w:szCs w:val="20"/>
        </w:rPr>
      </w:pPr>
      <w:r w:rsidRPr="00484329">
        <w:rPr>
          <w:rFonts w:cs="Times"/>
          <w:b/>
          <w:sz w:val="20"/>
          <w:szCs w:val="20"/>
          <w:highlight w:val="green"/>
        </w:rPr>
        <w:t>Agreement</w:t>
      </w:r>
    </w:p>
    <w:p w14:paraId="14EA17B8" w14:textId="77777777" w:rsidR="00177341" w:rsidRPr="00484329" w:rsidRDefault="00177341" w:rsidP="00177341">
      <w:pPr>
        <w:rPr>
          <w:rFonts w:cs="Times"/>
          <w:sz w:val="20"/>
          <w:szCs w:val="20"/>
        </w:rPr>
      </w:pPr>
      <w:r w:rsidRPr="00484329">
        <w:rPr>
          <w:rFonts w:cs="Times"/>
          <w:bCs/>
          <w:color w:val="000000"/>
          <w:sz w:val="20"/>
          <w:szCs w:val="20"/>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739CAF54" w14:textId="77777777" w:rsidR="00177341" w:rsidRPr="00484329" w:rsidRDefault="00177341" w:rsidP="00177341">
      <w:pPr>
        <w:pStyle w:val="ListParagraph"/>
        <w:numPr>
          <w:ilvl w:val="0"/>
          <w:numId w:val="34"/>
        </w:numPr>
        <w:contextualSpacing w:val="0"/>
        <w:rPr>
          <w:rFonts w:cs="Times"/>
          <w:bCs/>
          <w:color w:val="000000"/>
          <w:sz w:val="20"/>
          <w:szCs w:val="20"/>
          <w:lang w:eastAsia="zh-CN"/>
        </w:rPr>
      </w:pPr>
      <w:r w:rsidRPr="00484329">
        <w:rPr>
          <w:rFonts w:cs="Times"/>
          <w:bCs/>
          <w:color w:val="000000"/>
          <w:sz w:val="20"/>
          <w:szCs w:val="20"/>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5CFF2047" w14:textId="77777777" w:rsidR="00177341" w:rsidRPr="00484329" w:rsidRDefault="00177341" w:rsidP="00177341">
      <w:pPr>
        <w:pStyle w:val="ListParagraph"/>
        <w:numPr>
          <w:ilvl w:val="0"/>
          <w:numId w:val="34"/>
        </w:numPr>
        <w:contextualSpacing w:val="0"/>
        <w:rPr>
          <w:rFonts w:cs="Times"/>
          <w:bCs/>
          <w:color w:val="000000"/>
          <w:sz w:val="20"/>
          <w:szCs w:val="20"/>
          <w:lang w:eastAsia="zh-CN"/>
        </w:rPr>
      </w:pPr>
      <w:r w:rsidRPr="00484329">
        <w:rPr>
          <w:rFonts w:cs="Times"/>
          <w:bCs/>
          <w:color w:val="000000"/>
          <w:sz w:val="20"/>
          <w:szCs w:val="20"/>
          <w:lang w:eastAsia="zh-CN"/>
        </w:rPr>
        <w:t>Alt. 5: If a conflict occurs, the IAB MT is expected to perform as scheduled by MCG</w:t>
      </w:r>
    </w:p>
    <w:p w14:paraId="428619E3" w14:textId="77777777" w:rsidR="00177341" w:rsidRPr="00484329" w:rsidRDefault="00177341" w:rsidP="00177341">
      <w:pPr>
        <w:pStyle w:val="ListParagraph"/>
        <w:numPr>
          <w:ilvl w:val="0"/>
          <w:numId w:val="34"/>
        </w:numPr>
        <w:contextualSpacing w:val="0"/>
        <w:rPr>
          <w:rFonts w:cs="Times"/>
          <w:bCs/>
          <w:color w:val="000000"/>
          <w:sz w:val="20"/>
          <w:szCs w:val="20"/>
          <w:lang w:eastAsia="zh-CN"/>
        </w:rPr>
      </w:pPr>
      <w:r w:rsidRPr="00484329">
        <w:rPr>
          <w:rFonts w:cs="Times"/>
          <w:bCs/>
          <w:color w:val="000000"/>
          <w:sz w:val="20"/>
          <w:szCs w:val="20"/>
          <w:lang w:eastAsia="zh-CN"/>
        </w:rPr>
        <w:t>FFS: Consideration of the impact of parent node’s H/S/NA when specifying the prioritization rules in case of UL/DL conflict</w:t>
      </w:r>
    </w:p>
    <w:p w14:paraId="2D9BE7FE" w14:textId="77777777" w:rsidR="00177341" w:rsidRDefault="00177341" w:rsidP="00177341">
      <w:pPr>
        <w:jc w:val="both"/>
        <w:rPr>
          <w:sz w:val="20"/>
          <w:szCs w:val="20"/>
        </w:rPr>
      </w:pPr>
    </w:p>
    <w:p w14:paraId="511FBC89" w14:textId="7ED44906" w:rsidR="00177341" w:rsidRDefault="00177341" w:rsidP="00177341">
      <w:pPr>
        <w:jc w:val="both"/>
        <w:rPr>
          <w:sz w:val="20"/>
          <w:szCs w:val="20"/>
        </w:rPr>
      </w:pPr>
      <w:r>
        <w:rPr>
          <w:sz w:val="20"/>
          <w:szCs w:val="20"/>
        </w:rPr>
        <w:lastRenderedPageBreak/>
        <w:t>In our view, for the case of inter-donor DC when symbols from one parent is configured as semi-static flexible and indication from that parent (</w:t>
      </w:r>
      <w:r w:rsidR="00F61D6A">
        <w:rPr>
          <w:sz w:val="20"/>
          <w:szCs w:val="20"/>
        </w:rPr>
        <w:t>e.g.,</w:t>
      </w:r>
      <w:r>
        <w:rPr>
          <w:sz w:val="20"/>
          <w:szCs w:val="20"/>
        </w:rPr>
        <w:t xml:space="preserve"> DL) </w:t>
      </w:r>
      <w:proofErr w:type="gramStart"/>
      <w:r>
        <w:rPr>
          <w:sz w:val="20"/>
          <w:szCs w:val="20"/>
        </w:rPr>
        <w:t>is in conflict with</w:t>
      </w:r>
      <w:proofErr w:type="gramEnd"/>
      <w:r>
        <w:rPr>
          <w:sz w:val="20"/>
          <w:szCs w:val="20"/>
        </w:rPr>
        <w:t xml:space="preserve"> semi-static symbol configuration of the other parent (</w:t>
      </w:r>
      <w:r w:rsidR="00F61D6A">
        <w:rPr>
          <w:sz w:val="20"/>
          <w:szCs w:val="20"/>
        </w:rPr>
        <w:t>e.g.,</w:t>
      </w:r>
      <w:r>
        <w:rPr>
          <w:sz w:val="20"/>
          <w:szCs w:val="20"/>
        </w:rPr>
        <w:t xml:space="preserve"> UL), IAB-MT should follow the link direction indicated by MCG, regardless of the indication from MCG is over a semi-static flexible symbol or a semi-static D/U symbol. Similar procedure is applicable to the case both parents indicate overlapping allocations over symbols initially RRC configured as semi-statically flexible by both parents. Based on what we discussed, we have the following proposal.  </w:t>
      </w:r>
    </w:p>
    <w:p w14:paraId="0E558885" w14:textId="77777777" w:rsidR="00990C27" w:rsidRDefault="00990C27" w:rsidP="00177341">
      <w:pPr>
        <w:jc w:val="both"/>
        <w:rPr>
          <w:sz w:val="20"/>
          <w:szCs w:val="20"/>
        </w:rPr>
      </w:pPr>
    </w:p>
    <w:p w14:paraId="4990B5A0" w14:textId="15D34D8C" w:rsidR="00177341" w:rsidRDefault="00177341" w:rsidP="00177341">
      <w:pPr>
        <w:jc w:val="both"/>
        <w:rPr>
          <w:sz w:val="20"/>
          <w:szCs w:val="20"/>
        </w:rPr>
      </w:pPr>
      <w:r w:rsidRPr="000143DE">
        <w:rPr>
          <w:b/>
          <w:bCs/>
          <w:sz w:val="20"/>
          <w:szCs w:val="20"/>
        </w:rPr>
        <w:t xml:space="preserve">Proposal </w:t>
      </w:r>
      <w:r w:rsidR="000E382E">
        <w:rPr>
          <w:b/>
          <w:bCs/>
          <w:sz w:val="20"/>
          <w:szCs w:val="20"/>
        </w:rPr>
        <w:t>1</w:t>
      </w:r>
      <w:r w:rsidRPr="000143DE">
        <w:rPr>
          <w:sz w:val="20"/>
          <w:szCs w:val="20"/>
        </w:rPr>
        <w:t xml:space="preserve">: For the case of </w:t>
      </w:r>
      <w:r>
        <w:rPr>
          <w:sz w:val="20"/>
          <w:szCs w:val="20"/>
        </w:rPr>
        <w:t>inter-donor DC if IAB-MT incapable of simultaneous transmission and reception is indicated by conflicting allocations from multi-parents, IAB-MT is expected to operate as indicated by MCG.</w:t>
      </w:r>
    </w:p>
    <w:p w14:paraId="763AFB9F" w14:textId="6432D63A" w:rsidR="00E17B90" w:rsidRPr="00460F8C" w:rsidRDefault="00E17B90" w:rsidP="00177341">
      <w:pPr>
        <w:pStyle w:val="Heading1"/>
        <w:rPr>
          <w:rFonts w:ascii="Arial" w:hAnsi="Arial" w:cs="Arial"/>
          <w:b/>
          <w:bCs/>
          <w:sz w:val="32"/>
          <w:szCs w:val="32"/>
        </w:rPr>
      </w:pPr>
      <w:r w:rsidRPr="00460F8C">
        <w:rPr>
          <w:rFonts w:ascii="Arial" w:hAnsi="Arial" w:cs="Arial"/>
          <w:b/>
          <w:bCs/>
          <w:sz w:val="32"/>
          <w:szCs w:val="32"/>
        </w:rPr>
        <w:t>SDM Resource Multiplexing within an IAB-node</w:t>
      </w:r>
    </w:p>
    <w:p w14:paraId="149B6187" w14:textId="2D4022F5" w:rsidR="00E17B90" w:rsidRDefault="00E17B90" w:rsidP="00E17B90">
      <w:pPr>
        <w:jc w:val="both"/>
        <w:rPr>
          <w:sz w:val="20"/>
          <w:szCs w:val="20"/>
        </w:rPr>
      </w:pPr>
      <w:r>
        <w:rPr>
          <w:sz w:val="20"/>
          <w:szCs w:val="20"/>
        </w:rPr>
        <w:t>IAB specification in Rel-16 is mainly limited to TDM operation within DU and MT components of an IAB node. In Rel-17, and as part of enhanced resource multiplexing, SDM and FDM multiplexing within an IAB node is being discussed. In that regard, it was agreed i</w:t>
      </w:r>
      <w:r w:rsidRPr="00F838FC">
        <w:rPr>
          <w:sz w:val="20"/>
          <w:szCs w:val="20"/>
        </w:rPr>
        <w:t>n RAN</w:t>
      </w:r>
      <w:r>
        <w:rPr>
          <w:sz w:val="20"/>
          <w:szCs w:val="20"/>
        </w:rPr>
        <w:t>1</w:t>
      </w:r>
      <w:r w:rsidRPr="00F838FC">
        <w:rPr>
          <w:sz w:val="20"/>
          <w:szCs w:val="20"/>
        </w:rPr>
        <w:t>#</w:t>
      </w:r>
      <w:r>
        <w:rPr>
          <w:sz w:val="20"/>
          <w:szCs w:val="20"/>
        </w:rPr>
        <w:t>104b-e that [</w:t>
      </w:r>
      <w:r w:rsidR="00F61D6A">
        <w:rPr>
          <w:sz w:val="20"/>
          <w:szCs w:val="20"/>
        </w:rPr>
        <w:t>3</w:t>
      </w:r>
      <w:r>
        <w:rPr>
          <w:sz w:val="20"/>
          <w:szCs w:val="20"/>
        </w:rPr>
        <w:t>]:</w:t>
      </w:r>
    </w:p>
    <w:p w14:paraId="27F93928" w14:textId="77777777" w:rsidR="00E17B90" w:rsidRDefault="00E17B90" w:rsidP="00E17B90">
      <w:pPr>
        <w:jc w:val="both"/>
        <w:rPr>
          <w:sz w:val="20"/>
          <w:szCs w:val="20"/>
        </w:rPr>
      </w:pPr>
    </w:p>
    <w:p w14:paraId="1F128774" w14:textId="77777777" w:rsidR="00E17B90" w:rsidRPr="00D67025" w:rsidRDefault="00E17B90" w:rsidP="00E17B90">
      <w:pPr>
        <w:jc w:val="both"/>
        <w:rPr>
          <w:sz w:val="20"/>
          <w:szCs w:val="20"/>
        </w:rPr>
      </w:pPr>
      <w:r w:rsidRPr="009D5CD1">
        <w:rPr>
          <w:b/>
          <w:bCs/>
          <w:sz w:val="20"/>
          <w:szCs w:val="20"/>
          <w:highlight w:val="green"/>
        </w:rPr>
        <w:t>Agreement</w:t>
      </w:r>
      <w:r>
        <w:rPr>
          <w:sz w:val="20"/>
          <w:szCs w:val="20"/>
        </w:rPr>
        <w:t xml:space="preserve">: </w:t>
      </w:r>
      <w:r w:rsidRPr="00D67025">
        <w:rPr>
          <w:sz w:val="20"/>
          <w:szCs w:val="20"/>
        </w:rPr>
        <w:t xml:space="preserve">Adaptation of an IAB-node’s multiplexing operation is supported. The adaptation may be based on multiple factors, for example (not necessary to support </w:t>
      </w:r>
      <w:proofErr w:type="gramStart"/>
      <w:r w:rsidRPr="00D67025">
        <w:rPr>
          <w:sz w:val="20"/>
          <w:szCs w:val="20"/>
        </w:rPr>
        <w:t>all of</w:t>
      </w:r>
      <w:proofErr w:type="gramEnd"/>
      <w:r w:rsidRPr="00D67025">
        <w:rPr>
          <w:sz w:val="20"/>
          <w:szCs w:val="20"/>
        </w:rPr>
        <w:t xml:space="preserve"> the following):</w:t>
      </w:r>
    </w:p>
    <w:p w14:paraId="24E33167" w14:textId="77777777" w:rsidR="00E17B90" w:rsidRPr="00D67025" w:rsidRDefault="00E17B90" w:rsidP="00E17B90">
      <w:pPr>
        <w:numPr>
          <w:ilvl w:val="0"/>
          <w:numId w:val="29"/>
        </w:numPr>
        <w:jc w:val="both"/>
        <w:rPr>
          <w:sz w:val="20"/>
          <w:szCs w:val="20"/>
        </w:rPr>
      </w:pPr>
      <w:r w:rsidRPr="00D67025">
        <w:rPr>
          <w:sz w:val="20"/>
          <w:szCs w:val="20"/>
        </w:rPr>
        <w:t xml:space="preserve">Resource type (D/U/F) at the IAB-DU and IAB-MT </w:t>
      </w:r>
    </w:p>
    <w:p w14:paraId="3AEB021A" w14:textId="77777777" w:rsidR="00E17B90" w:rsidRPr="00D67025" w:rsidRDefault="00E17B90" w:rsidP="00E17B90">
      <w:pPr>
        <w:numPr>
          <w:ilvl w:val="0"/>
          <w:numId w:val="29"/>
        </w:numPr>
        <w:jc w:val="both"/>
        <w:rPr>
          <w:sz w:val="20"/>
          <w:szCs w:val="20"/>
        </w:rPr>
      </w:pPr>
      <w:r w:rsidRPr="00D67025">
        <w:rPr>
          <w:sz w:val="20"/>
          <w:szCs w:val="20"/>
        </w:rPr>
        <w:t>Specific sets of time/frequency resources</w:t>
      </w:r>
    </w:p>
    <w:p w14:paraId="64BC766F" w14:textId="77777777" w:rsidR="00E17B90" w:rsidRPr="00D67025" w:rsidRDefault="00E17B90" w:rsidP="00E17B90">
      <w:pPr>
        <w:numPr>
          <w:ilvl w:val="0"/>
          <w:numId w:val="29"/>
        </w:numPr>
        <w:jc w:val="both"/>
        <w:rPr>
          <w:sz w:val="20"/>
          <w:szCs w:val="20"/>
        </w:rPr>
      </w:pPr>
      <w:r w:rsidRPr="00D67025">
        <w:rPr>
          <w:sz w:val="20"/>
          <w:szCs w:val="20"/>
        </w:rPr>
        <w:t>Certain conditions being met (</w:t>
      </w:r>
      <w:proofErr w:type="gramStart"/>
      <w:r w:rsidRPr="00D67025">
        <w:rPr>
          <w:sz w:val="20"/>
          <w:szCs w:val="20"/>
        </w:rPr>
        <w:t>e.g.</w:t>
      </w:r>
      <w:proofErr w:type="gramEnd"/>
      <w:r w:rsidRPr="00D67025">
        <w:rPr>
          <w:sz w:val="20"/>
          <w:szCs w:val="20"/>
        </w:rPr>
        <w:t xml:space="preserve"> supported timing modes, power control enhancements (if supported), etc.)</w:t>
      </w:r>
    </w:p>
    <w:p w14:paraId="2D187C1B" w14:textId="77777777" w:rsidR="00E17B90" w:rsidRPr="00D67025" w:rsidRDefault="00E17B90" w:rsidP="00E17B90">
      <w:pPr>
        <w:jc w:val="both"/>
        <w:rPr>
          <w:sz w:val="20"/>
          <w:szCs w:val="20"/>
        </w:rPr>
      </w:pPr>
      <w:r w:rsidRPr="00D67025">
        <w:rPr>
          <w:sz w:val="20"/>
          <w:szCs w:val="20"/>
        </w:rPr>
        <w:t>FFS:  Mechanisms for informing/coordination the change in multiplexing operation(s) between child and parent nodes (including whether the adaptation is dynamic or semi-static)</w:t>
      </w:r>
    </w:p>
    <w:p w14:paraId="1F5DF459" w14:textId="77777777" w:rsidR="00E17B90" w:rsidRPr="00D67025" w:rsidRDefault="00E17B90" w:rsidP="00E17B90">
      <w:pPr>
        <w:jc w:val="both"/>
        <w:rPr>
          <w:sz w:val="20"/>
          <w:szCs w:val="20"/>
        </w:rPr>
      </w:pPr>
      <w:r w:rsidRPr="00D67025">
        <w:rPr>
          <w:sz w:val="20"/>
          <w:szCs w:val="20"/>
        </w:rPr>
        <w:t xml:space="preserve">FFS: Need for explicit linkage between indicated multiplexing operations and other features/enhancements – </w:t>
      </w:r>
      <w:proofErr w:type="gramStart"/>
      <w:r w:rsidRPr="00D67025">
        <w:rPr>
          <w:sz w:val="20"/>
          <w:szCs w:val="20"/>
        </w:rPr>
        <w:t>e.g.</w:t>
      </w:r>
      <w:proofErr w:type="gramEnd"/>
      <w:r w:rsidRPr="00D67025">
        <w:rPr>
          <w:sz w:val="20"/>
          <w:szCs w:val="20"/>
        </w:rPr>
        <w:t xml:space="preserve"> number of required guard symbols, supported timing modes, and power control enhancements (if supported)</w:t>
      </w:r>
    </w:p>
    <w:p w14:paraId="7273BA51" w14:textId="77777777" w:rsidR="00E17B90" w:rsidRDefault="00E17B90" w:rsidP="00E17B90">
      <w:pPr>
        <w:jc w:val="both"/>
        <w:rPr>
          <w:sz w:val="20"/>
          <w:szCs w:val="20"/>
        </w:rPr>
      </w:pPr>
    </w:p>
    <w:p w14:paraId="5CBFBA46" w14:textId="127C9AC1" w:rsidR="00E17B90" w:rsidRDefault="00E17B90" w:rsidP="00E17B90">
      <w:pPr>
        <w:jc w:val="both"/>
        <w:rPr>
          <w:sz w:val="20"/>
          <w:szCs w:val="20"/>
        </w:rPr>
      </w:pPr>
      <w:r>
        <w:rPr>
          <w:sz w:val="20"/>
          <w:szCs w:val="20"/>
        </w:rPr>
        <w:t>Later, in RAN1#106-e, it was agreed that [</w:t>
      </w:r>
      <w:r w:rsidR="00F61D6A">
        <w:rPr>
          <w:sz w:val="20"/>
          <w:szCs w:val="20"/>
        </w:rPr>
        <w:t>2</w:t>
      </w:r>
      <w:r>
        <w:rPr>
          <w:sz w:val="20"/>
          <w:szCs w:val="20"/>
        </w:rPr>
        <w:t>]:</w:t>
      </w:r>
    </w:p>
    <w:p w14:paraId="4259EB38" w14:textId="77777777" w:rsidR="00E17B90" w:rsidRPr="00E17B90" w:rsidRDefault="00E17B90" w:rsidP="00E17B90">
      <w:pPr>
        <w:rPr>
          <w:rFonts w:cs="Times"/>
          <w:b/>
          <w:sz w:val="20"/>
          <w:szCs w:val="20"/>
          <w:highlight w:val="green"/>
        </w:rPr>
      </w:pPr>
      <w:r w:rsidRPr="00E17B90">
        <w:rPr>
          <w:rFonts w:cs="Times"/>
          <w:b/>
          <w:sz w:val="20"/>
          <w:szCs w:val="20"/>
          <w:highlight w:val="green"/>
        </w:rPr>
        <w:t>Agreement</w:t>
      </w:r>
    </w:p>
    <w:p w14:paraId="0EA18A61" w14:textId="77777777" w:rsidR="00E17B90" w:rsidRPr="00E17B90" w:rsidRDefault="00E17B90" w:rsidP="00E17B90">
      <w:pPr>
        <w:rPr>
          <w:rFonts w:eastAsia="Calibri" w:cs="Times"/>
          <w:bCs/>
          <w:sz w:val="20"/>
          <w:szCs w:val="20"/>
        </w:rPr>
      </w:pPr>
      <w:r w:rsidRPr="00E17B90">
        <w:rPr>
          <w:rFonts w:eastAsia="Calibri" w:cs="Times"/>
          <w:bCs/>
          <w:sz w:val="20"/>
          <w:szCs w:val="20"/>
        </w:rPr>
        <w:t xml:space="preserve">Spatial domain restrictions from a parent node or recommendations from a child node </w:t>
      </w:r>
      <w:r w:rsidRPr="00E17B90">
        <w:rPr>
          <w:rFonts w:eastAsia="Calibri" w:cs="Times"/>
          <w:bCs/>
          <w:color w:val="FF0000"/>
          <w:sz w:val="20"/>
          <w:szCs w:val="20"/>
        </w:rPr>
        <w:t>is</w:t>
      </w:r>
      <w:r w:rsidRPr="00E17B90">
        <w:rPr>
          <w:rFonts w:eastAsia="Calibri" w:cs="Times"/>
          <w:bCs/>
          <w:sz w:val="20"/>
          <w:szCs w:val="20"/>
        </w:rPr>
        <w:t xml:space="preserve"> limited to a subset of time resources in which simultaneous operation is applied.</w:t>
      </w:r>
    </w:p>
    <w:p w14:paraId="66466634" w14:textId="77777777" w:rsidR="00E17B90" w:rsidRPr="00E17B90" w:rsidRDefault="00E17B90" w:rsidP="00E17B90">
      <w:pPr>
        <w:pStyle w:val="ListParagraph"/>
        <w:numPr>
          <w:ilvl w:val="0"/>
          <w:numId w:val="32"/>
        </w:numPr>
        <w:jc w:val="both"/>
        <w:rPr>
          <w:rFonts w:eastAsia="Calibri" w:cs="Times"/>
          <w:bCs/>
          <w:sz w:val="20"/>
          <w:szCs w:val="20"/>
        </w:rPr>
      </w:pPr>
      <w:r w:rsidRPr="00E17B90">
        <w:rPr>
          <w:rFonts w:eastAsia="Calibri" w:cs="Times"/>
          <w:bCs/>
          <w:sz w:val="20"/>
          <w:szCs w:val="20"/>
        </w:rPr>
        <w:t>FFS: Handling of frequency resources in case of FDM operation</w:t>
      </w:r>
    </w:p>
    <w:p w14:paraId="35CBD738" w14:textId="77777777" w:rsidR="00E17B90" w:rsidRPr="00E17B90" w:rsidRDefault="00E17B90" w:rsidP="00E17B90">
      <w:pPr>
        <w:pStyle w:val="ListParagraph"/>
        <w:numPr>
          <w:ilvl w:val="0"/>
          <w:numId w:val="32"/>
        </w:numPr>
        <w:jc w:val="both"/>
        <w:rPr>
          <w:rFonts w:cs="Times"/>
          <w:sz w:val="20"/>
          <w:szCs w:val="20"/>
        </w:rPr>
      </w:pPr>
      <w:r w:rsidRPr="00E17B90">
        <w:rPr>
          <w:rFonts w:eastAsia="Calibri" w:cs="Times"/>
          <w:bCs/>
          <w:sz w:val="20"/>
          <w:szCs w:val="20"/>
        </w:rPr>
        <w:t>FFS: Support for implicit/explicit indication of the simultaneous operation mode</w:t>
      </w:r>
    </w:p>
    <w:p w14:paraId="680C629F" w14:textId="77777777" w:rsidR="00E17B90" w:rsidRPr="00E17B90" w:rsidRDefault="00E17B90" w:rsidP="00E17B90">
      <w:pPr>
        <w:rPr>
          <w:rFonts w:cs="Times"/>
          <w:sz w:val="20"/>
          <w:szCs w:val="20"/>
          <w:lang w:eastAsia="x-none"/>
        </w:rPr>
      </w:pPr>
    </w:p>
    <w:p w14:paraId="3E306174" w14:textId="77777777" w:rsidR="00E17B90" w:rsidRPr="00E17B90" w:rsidRDefault="00E17B90" w:rsidP="00E17B90">
      <w:pPr>
        <w:shd w:val="clear" w:color="auto" w:fill="FFFFFF"/>
        <w:rPr>
          <w:rFonts w:cs="Times"/>
          <w:b/>
          <w:bCs/>
          <w:color w:val="222222"/>
          <w:sz w:val="20"/>
          <w:szCs w:val="20"/>
          <w:shd w:val="clear" w:color="auto" w:fill="00FF00"/>
        </w:rPr>
      </w:pPr>
      <w:r w:rsidRPr="00E17B90">
        <w:rPr>
          <w:rFonts w:cs="Times"/>
          <w:b/>
          <w:bCs/>
          <w:color w:val="222222"/>
          <w:sz w:val="20"/>
          <w:szCs w:val="20"/>
          <w:shd w:val="clear" w:color="auto" w:fill="00FF00"/>
        </w:rPr>
        <w:t>Agreement</w:t>
      </w:r>
    </w:p>
    <w:p w14:paraId="611763FF" w14:textId="77777777" w:rsidR="00E17B90" w:rsidRPr="00E17B90" w:rsidRDefault="00E17B90" w:rsidP="00E17B90">
      <w:pPr>
        <w:shd w:val="clear" w:color="auto" w:fill="FFFFFF"/>
        <w:rPr>
          <w:rFonts w:cs="Times"/>
          <w:color w:val="222222"/>
          <w:sz w:val="20"/>
          <w:szCs w:val="20"/>
        </w:rPr>
      </w:pPr>
      <w:r w:rsidRPr="00E17B90">
        <w:rPr>
          <w:rFonts w:cs="Times"/>
          <w:color w:val="222222"/>
          <w:sz w:val="20"/>
          <w:szCs w:val="20"/>
        </w:rPr>
        <w:t>The child node indication of recommended beams to the parent node can include both IAB-MT DL beams and/or IAB-MT UL beams.</w:t>
      </w:r>
    </w:p>
    <w:p w14:paraId="59642B11" w14:textId="77777777" w:rsidR="00E17B90" w:rsidRPr="00E17B90" w:rsidRDefault="00E17B90" w:rsidP="00E17B90">
      <w:pPr>
        <w:pStyle w:val="ListParagraph"/>
        <w:numPr>
          <w:ilvl w:val="0"/>
          <w:numId w:val="32"/>
        </w:numPr>
        <w:jc w:val="both"/>
        <w:rPr>
          <w:rFonts w:eastAsia="Calibri" w:cs="Times"/>
          <w:bCs/>
          <w:sz w:val="20"/>
          <w:szCs w:val="20"/>
        </w:rPr>
      </w:pPr>
      <w:r w:rsidRPr="00E17B90">
        <w:rPr>
          <w:rFonts w:eastAsia="Calibri" w:cs="Times"/>
          <w:bCs/>
          <w:sz w:val="20"/>
          <w:szCs w:val="20"/>
        </w:rPr>
        <w:t>FFS: Indication via MAC-CE or UCI transmission</w:t>
      </w:r>
    </w:p>
    <w:p w14:paraId="72D5078F" w14:textId="77777777" w:rsidR="00E17B90" w:rsidRPr="00E17B90" w:rsidRDefault="00E17B90" w:rsidP="00E17B90">
      <w:pPr>
        <w:pStyle w:val="ListParagraph"/>
        <w:numPr>
          <w:ilvl w:val="0"/>
          <w:numId w:val="32"/>
        </w:numPr>
        <w:jc w:val="both"/>
        <w:rPr>
          <w:rFonts w:eastAsia="Calibri" w:cs="Times"/>
          <w:bCs/>
          <w:sz w:val="20"/>
          <w:szCs w:val="20"/>
        </w:rPr>
      </w:pPr>
      <w:r w:rsidRPr="00E17B90">
        <w:rPr>
          <w:rFonts w:eastAsia="Calibri" w:cs="Times"/>
          <w:bCs/>
          <w:sz w:val="20"/>
          <w:szCs w:val="20"/>
        </w:rPr>
        <w:t>FFS: Definition of IAB-MT DL beams and/or IAB-MT UL beams (</w:t>
      </w:r>
      <w:proofErr w:type="gramStart"/>
      <w:r w:rsidRPr="00E17B90">
        <w:rPr>
          <w:rFonts w:eastAsia="Calibri" w:cs="Times"/>
          <w:bCs/>
          <w:sz w:val="20"/>
          <w:szCs w:val="20"/>
        </w:rPr>
        <w:t>e.g.</w:t>
      </w:r>
      <w:proofErr w:type="gramEnd"/>
      <w:r w:rsidRPr="00E17B90">
        <w:rPr>
          <w:rFonts w:eastAsia="Calibri" w:cs="Times"/>
          <w:bCs/>
          <w:sz w:val="20"/>
          <w:szCs w:val="20"/>
        </w:rPr>
        <w:t xml:space="preserve"> TCI state ID, Spatial relation information ID, RS ID (including CSI-RS, SRS, SSB, etc.))</w:t>
      </w:r>
    </w:p>
    <w:p w14:paraId="718FF7BA" w14:textId="77777777" w:rsidR="00E17B90" w:rsidRPr="00E17B90" w:rsidRDefault="00E17B90" w:rsidP="00E17B90">
      <w:pPr>
        <w:pStyle w:val="ListParagraph"/>
        <w:numPr>
          <w:ilvl w:val="0"/>
          <w:numId w:val="32"/>
        </w:numPr>
        <w:jc w:val="both"/>
        <w:rPr>
          <w:rFonts w:eastAsia="Calibri" w:cs="Times"/>
          <w:bCs/>
          <w:sz w:val="20"/>
          <w:szCs w:val="20"/>
        </w:rPr>
      </w:pPr>
      <w:r w:rsidRPr="00E17B90">
        <w:rPr>
          <w:rFonts w:eastAsia="Calibri" w:cs="Times"/>
          <w:bCs/>
          <w:sz w:val="20"/>
          <w:szCs w:val="20"/>
        </w:rPr>
        <w:t>FFS: Whether indication of “not preferred” beams is supported</w:t>
      </w:r>
    </w:p>
    <w:p w14:paraId="3B1F814C" w14:textId="77777777" w:rsidR="00E17B90" w:rsidRDefault="00E17B90" w:rsidP="00E17B90">
      <w:pPr>
        <w:jc w:val="both"/>
        <w:rPr>
          <w:sz w:val="20"/>
          <w:szCs w:val="20"/>
        </w:rPr>
      </w:pPr>
    </w:p>
    <w:p w14:paraId="42B01BA6" w14:textId="3375C2BE" w:rsidR="00E17B90" w:rsidRDefault="00E17B90" w:rsidP="00E17B90">
      <w:pPr>
        <w:jc w:val="both"/>
        <w:rPr>
          <w:sz w:val="20"/>
          <w:szCs w:val="20"/>
        </w:rPr>
      </w:pPr>
      <w:r>
        <w:rPr>
          <w:sz w:val="20"/>
          <w:szCs w:val="20"/>
        </w:rPr>
        <w:t xml:space="preserve">For </w:t>
      </w:r>
      <w:r w:rsidRPr="004658F3">
        <w:rPr>
          <w:sz w:val="20"/>
          <w:szCs w:val="20"/>
        </w:rPr>
        <w:t xml:space="preserve">a successful </w:t>
      </w:r>
      <w:r>
        <w:rPr>
          <w:sz w:val="20"/>
          <w:szCs w:val="20"/>
        </w:rPr>
        <w:t>simultaneous operation in SDM or FDM multiplexing mode within IAB-DU and IAB-MT</w:t>
      </w:r>
      <w:r w:rsidRPr="004658F3">
        <w:rPr>
          <w:sz w:val="20"/>
          <w:szCs w:val="20"/>
        </w:rPr>
        <w:t>, parent IAB-DU and IAB</w:t>
      </w:r>
      <w:r w:rsidR="00F61D6A">
        <w:rPr>
          <w:sz w:val="20"/>
          <w:szCs w:val="20"/>
        </w:rPr>
        <w:t>-node-DU</w:t>
      </w:r>
      <w:r w:rsidRPr="004658F3">
        <w:rPr>
          <w:sz w:val="20"/>
          <w:szCs w:val="20"/>
        </w:rPr>
        <w:t xml:space="preserve"> should be aware of the desired </w:t>
      </w:r>
      <w:r>
        <w:rPr>
          <w:sz w:val="20"/>
          <w:szCs w:val="20"/>
        </w:rPr>
        <w:t xml:space="preserve">(or used) parameters in the other side like </w:t>
      </w:r>
      <w:r w:rsidRPr="004658F3">
        <w:rPr>
          <w:sz w:val="20"/>
          <w:szCs w:val="20"/>
        </w:rPr>
        <w:t>beam/panel</w:t>
      </w:r>
      <w:r>
        <w:rPr>
          <w:sz w:val="20"/>
          <w:szCs w:val="20"/>
        </w:rPr>
        <w:t>, SLIV, transmit power, DMRS ports, FDRAs, etc</w:t>
      </w:r>
      <w:r w:rsidRPr="004658F3">
        <w:rPr>
          <w:sz w:val="20"/>
          <w:szCs w:val="20"/>
        </w:rPr>
        <w:t xml:space="preserve">. </w:t>
      </w:r>
      <w:r>
        <w:rPr>
          <w:sz w:val="20"/>
          <w:szCs w:val="20"/>
        </w:rPr>
        <w:t>For example,</w:t>
      </w:r>
      <w:r w:rsidRPr="004658F3">
        <w:rPr>
          <w:sz w:val="20"/>
          <w:szCs w:val="20"/>
        </w:rPr>
        <w:t xml:space="preserve"> </w:t>
      </w:r>
      <w:r>
        <w:rPr>
          <w:sz w:val="20"/>
          <w:szCs w:val="20"/>
        </w:rPr>
        <w:t>i</w:t>
      </w:r>
      <w:r w:rsidRPr="004658F3">
        <w:rPr>
          <w:sz w:val="20"/>
          <w:szCs w:val="20"/>
        </w:rPr>
        <w:t xml:space="preserve">f parent IAB-DU wishes to schedule a PDSCH to IAB-MT, ideally it should have some indication from IAB node about which panel/beam for PDSCH transmission is desired </w:t>
      </w:r>
      <w:r>
        <w:rPr>
          <w:sz w:val="20"/>
          <w:szCs w:val="20"/>
        </w:rPr>
        <w:t>once the</w:t>
      </w:r>
      <w:r w:rsidRPr="004658F3">
        <w:rPr>
          <w:sz w:val="20"/>
          <w:szCs w:val="20"/>
        </w:rPr>
        <w:t xml:space="preserve"> IAB-DU </w:t>
      </w:r>
      <w:r>
        <w:rPr>
          <w:sz w:val="20"/>
          <w:szCs w:val="20"/>
        </w:rPr>
        <w:t xml:space="preserve">is </w:t>
      </w:r>
      <w:r w:rsidRPr="004658F3">
        <w:rPr>
          <w:sz w:val="20"/>
          <w:szCs w:val="20"/>
        </w:rPr>
        <w:t xml:space="preserve">simultaneously receiving from </w:t>
      </w:r>
      <w:r>
        <w:rPr>
          <w:sz w:val="20"/>
          <w:szCs w:val="20"/>
        </w:rPr>
        <w:t xml:space="preserve">child IAB-MT (or UE), as shown in Fig. 1. </w:t>
      </w:r>
      <w:r w:rsidRPr="00F001D5">
        <w:rPr>
          <w:sz w:val="20"/>
          <w:szCs w:val="20"/>
        </w:rPr>
        <w:t xml:space="preserve">Alternatively, parent IAB-DU will indicate to the IAB node about the panel/beam to receive </w:t>
      </w:r>
      <w:proofErr w:type="spellStart"/>
      <w:proofErr w:type="gramStart"/>
      <w:r w:rsidRPr="00F001D5">
        <w:rPr>
          <w:sz w:val="20"/>
          <w:szCs w:val="20"/>
        </w:rPr>
        <w:t>L</w:t>
      </w:r>
      <w:r w:rsidRPr="00F001D5">
        <w:rPr>
          <w:sz w:val="20"/>
          <w:szCs w:val="20"/>
          <w:vertAlign w:val="subscript"/>
        </w:rPr>
        <w:t>p,DL</w:t>
      </w:r>
      <w:proofErr w:type="spellEnd"/>
      <w:r>
        <w:rPr>
          <w:sz w:val="20"/>
          <w:szCs w:val="20"/>
        </w:rPr>
        <w:t>.</w:t>
      </w:r>
      <w:proofErr w:type="gramEnd"/>
      <w:r>
        <w:rPr>
          <w:sz w:val="20"/>
          <w:szCs w:val="20"/>
        </w:rPr>
        <w:t xml:space="preserve"> Next</w:t>
      </w:r>
      <w:r w:rsidRPr="00F001D5">
        <w:rPr>
          <w:sz w:val="20"/>
          <w:szCs w:val="20"/>
        </w:rPr>
        <w:t xml:space="preserve">, IAB-DU in IAB-node will choose the reception beam/panel for </w:t>
      </w:r>
      <w:proofErr w:type="gramStart"/>
      <w:r w:rsidRPr="00F001D5">
        <w:rPr>
          <w:sz w:val="20"/>
          <w:szCs w:val="20"/>
        </w:rPr>
        <w:t>L</w:t>
      </w:r>
      <w:r w:rsidRPr="00F001D5">
        <w:rPr>
          <w:sz w:val="20"/>
          <w:szCs w:val="20"/>
          <w:vertAlign w:val="subscript"/>
        </w:rPr>
        <w:t>A,UL</w:t>
      </w:r>
      <w:proofErr w:type="gramEnd"/>
      <w:r w:rsidRPr="00F001D5">
        <w:rPr>
          <w:sz w:val="20"/>
          <w:szCs w:val="20"/>
        </w:rPr>
        <w:t xml:space="preserve"> / </w:t>
      </w:r>
      <w:proofErr w:type="spellStart"/>
      <w:r w:rsidRPr="00F001D5">
        <w:rPr>
          <w:sz w:val="20"/>
          <w:szCs w:val="20"/>
        </w:rPr>
        <w:t>L</w:t>
      </w:r>
      <w:r w:rsidRPr="00F001D5">
        <w:rPr>
          <w:sz w:val="20"/>
          <w:szCs w:val="20"/>
          <w:vertAlign w:val="subscript"/>
        </w:rPr>
        <w:t>c,UL</w:t>
      </w:r>
      <w:proofErr w:type="spellEnd"/>
      <w:r w:rsidRPr="00F001D5">
        <w:rPr>
          <w:sz w:val="20"/>
          <w:szCs w:val="20"/>
          <w:vertAlign w:val="subscript"/>
        </w:rPr>
        <w:t xml:space="preserve"> </w:t>
      </w:r>
      <w:r w:rsidRPr="00F001D5">
        <w:rPr>
          <w:sz w:val="20"/>
          <w:szCs w:val="20"/>
        </w:rPr>
        <w:t xml:space="preserve">links, with minimum impact on </w:t>
      </w:r>
      <w:proofErr w:type="spellStart"/>
      <w:r w:rsidRPr="00F001D5">
        <w:rPr>
          <w:sz w:val="20"/>
          <w:szCs w:val="20"/>
        </w:rPr>
        <w:t>L</w:t>
      </w:r>
      <w:r w:rsidRPr="00F001D5">
        <w:rPr>
          <w:sz w:val="20"/>
          <w:szCs w:val="20"/>
          <w:vertAlign w:val="subscript"/>
        </w:rPr>
        <w:t>p,DL</w:t>
      </w:r>
      <w:proofErr w:type="spellEnd"/>
      <w:r w:rsidRPr="00F001D5">
        <w:rPr>
          <w:sz w:val="20"/>
          <w:szCs w:val="20"/>
          <w:vertAlign w:val="subscript"/>
        </w:rPr>
        <w:t xml:space="preserve"> </w:t>
      </w:r>
      <w:r w:rsidRPr="00F001D5">
        <w:rPr>
          <w:sz w:val="20"/>
          <w:szCs w:val="20"/>
        </w:rPr>
        <w:t>and will consequently indicate to its child IAB and/or access UE about their transmit beam/panel, e.g. through SRI for PUSCH</w:t>
      </w:r>
      <w:r>
        <w:rPr>
          <w:sz w:val="20"/>
          <w:szCs w:val="20"/>
        </w:rPr>
        <w:t>. T</w:t>
      </w:r>
      <w:r w:rsidRPr="00D015E7">
        <w:rPr>
          <w:sz w:val="20"/>
          <w:szCs w:val="20"/>
        </w:rPr>
        <w:t xml:space="preserve">he choice between the above options can be based on </w:t>
      </w:r>
      <w:r>
        <w:rPr>
          <w:sz w:val="20"/>
          <w:szCs w:val="20"/>
        </w:rPr>
        <w:t xml:space="preserve">the </w:t>
      </w:r>
      <w:r w:rsidRPr="00D015E7">
        <w:rPr>
          <w:sz w:val="20"/>
          <w:szCs w:val="20"/>
        </w:rPr>
        <w:t xml:space="preserve">communication link and/or </w:t>
      </w:r>
      <w:r>
        <w:rPr>
          <w:sz w:val="20"/>
          <w:szCs w:val="20"/>
        </w:rPr>
        <w:t xml:space="preserve">data </w:t>
      </w:r>
      <w:r w:rsidRPr="00D015E7">
        <w:rPr>
          <w:sz w:val="20"/>
          <w:szCs w:val="20"/>
        </w:rPr>
        <w:t>priority</w:t>
      </w:r>
      <w:r>
        <w:rPr>
          <w:sz w:val="20"/>
          <w:szCs w:val="20"/>
        </w:rPr>
        <w:t xml:space="preserve">, </w:t>
      </w:r>
      <w:r w:rsidRPr="00D015E7">
        <w:rPr>
          <w:sz w:val="20"/>
          <w:szCs w:val="20"/>
        </w:rPr>
        <w:t xml:space="preserve">e.g. if IAB-DU schedules a UE (on access link </w:t>
      </w:r>
      <w:proofErr w:type="gramStart"/>
      <w:r w:rsidRPr="00D015E7">
        <w:rPr>
          <w:sz w:val="20"/>
          <w:szCs w:val="20"/>
        </w:rPr>
        <w:t>L</w:t>
      </w:r>
      <w:r w:rsidRPr="00D015E7">
        <w:rPr>
          <w:sz w:val="20"/>
          <w:szCs w:val="20"/>
          <w:vertAlign w:val="subscript"/>
        </w:rPr>
        <w:t>A,UL</w:t>
      </w:r>
      <w:proofErr w:type="gramEnd"/>
      <w:r w:rsidRPr="00D015E7">
        <w:rPr>
          <w:sz w:val="20"/>
          <w:szCs w:val="20"/>
        </w:rPr>
        <w:t>)</w:t>
      </w:r>
      <w:r>
        <w:rPr>
          <w:sz w:val="20"/>
          <w:szCs w:val="20"/>
        </w:rPr>
        <w:t xml:space="preserve"> with URLLC traffic</w:t>
      </w:r>
      <w:r w:rsidRPr="00D015E7">
        <w:rPr>
          <w:sz w:val="20"/>
          <w:szCs w:val="20"/>
        </w:rPr>
        <w:t>, it will be IAB-DU that controls the flow</w:t>
      </w:r>
      <w:r>
        <w:rPr>
          <w:sz w:val="20"/>
          <w:szCs w:val="20"/>
        </w:rPr>
        <w:t>. Alternatively, i</w:t>
      </w:r>
      <w:r w:rsidRPr="00D015E7">
        <w:rPr>
          <w:sz w:val="20"/>
          <w:szCs w:val="20"/>
        </w:rPr>
        <w:t xml:space="preserve">f traffic on </w:t>
      </w:r>
      <w:proofErr w:type="spellStart"/>
      <w:proofErr w:type="gramStart"/>
      <w:r w:rsidRPr="00D015E7">
        <w:rPr>
          <w:sz w:val="20"/>
          <w:szCs w:val="20"/>
        </w:rPr>
        <w:t>L</w:t>
      </w:r>
      <w:r w:rsidRPr="00D015E7">
        <w:rPr>
          <w:sz w:val="20"/>
          <w:szCs w:val="20"/>
          <w:vertAlign w:val="subscript"/>
        </w:rPr>
        <w:t>p,DL</w:t>
      </w:r>
      <w:proofErr w:type="spellEnd"/>
      <w:proofErr w:type="gramEnd"/>
      <w:r w:rsidRPr="00D015E7">
        <w:rPr>
          <w:sz w:val="20"/>
          <w:szCs w:val="20"/>
          <w:vertAlign w:val="subscript"/>
        </w:rPr>
        <w:t xml:space="preserve"> </w:t>
      </w:r>
      <w:r w:rsidRPr="00D015E7">
        <w:rPr>
          <w:sz w:val="20"/>
          <w:szCs w:val="20"/>
        </w:rPr>
        <w:t xml:space="preserve">is higher priority than traffic on </w:t>
      </w:r>
      <w:proofErr w:type="spellStart"/>
      <w:r w:rsidRPr="00D015E7">
        <w:rPr>
          <w:sz w:val="20"/>
          <w:szCs w:val="20"/>
        </w:rPr>
        <w:t>L</w:t>
      </w:r>
      <w:r w:rsidRPr="00D015E7">
        <w:rPr>
          <w:sz w:val="20"/>
          <w:szCs w:val="20"/>
          <w:vertAlign w:val="subscript"/>
        </w:rPr>
        <w:t>c,UL</w:t>
      </w:r>
      <w:proofErr w:type="spellEnd"/>
      <w:r w:rsidRPr="00D015E7">
        <w:rPr>
          <w:sz w:val="20"/>
          <w:szCs w:val="20"/>
        </w:rPr>
        <w:t xml:space="preserve">, it will be </w:t>
      </w:r>
      <w:r>
        <w:rPr>
          <w:sz w:val="20"/>
          <w:szCs w:val="20"/>
        </w:rPr>
        <w:t xml:space="preserve">the </w:t>
      </w:r>
      <w:r w:rsidRPr="00D015E7">
        <w:rPr>
          <w:sz w:val="20"/>
          <w:szCs w:val="20"/>
        </w:rPr>
        <w:t>parent IAB-DU that controls the flow</w:t>
      </w:r>
      <w:r>
        <w:rPr>
          <w:sz w:val="20"/>
          <w:szCs w:val="20"/>
        </w:rPr>
        <w:t>. Based on the above discussions, we have the following proposals:</w:t>
      </w:r>
    </w:p>
    <w:p w14:paraId="79217D60" w14:textId="77777777" w:rsidR="00E17B90" w:rsidRPr="009D5CD1" w:rsidRDefault="00E17B90" w:rsidP="00E17B90">
      <w:pPr>
        <w:jc w:val="both"/>
        <w:rPr>
          <w:sz w:val="20"/>
          <w:szCs w:val="20"/>
        </w:rPr>
      </w:pPr>
    </w:p>
    <w:p w14:paraId="14D3D66C" w14:textId="77777777" w:rsidR="00E17B90" w:rsidRDefault="00E17B90" w:rsidP="00E17B90">
      <w:pPr>
        <w:jc w:val="both"/>
        <w:rPr>
          <w:sz w:val="20"/>
          <w:szCs w:val="20"/>
        </w:rPr>
      </w:pPr>
    </w:p>
    <w:p w14:paraId="1DD59B2B" w14:textId="77777777" w:rsidR="00E17B90" w:rsidRDefault="00E17B90" w:rsidP="00E17B90">
      <w:pPr>
        <w:jc w:val="center"/>
        <w:rPr>
          <w:sz w:val="20"/>
          <w:szCs w:val="20"/>
        </w:rPr>
      </w:pPr>
      <w:r w:rsidRPr="007313F2">
        <w:rPr>
          <w:noProof/>
          <w:sz w:val="20"/>
          <w:szCs w:val="20"/>
        </w:rPr>
        <w:lastRenderedPageBreak/>
        <w:drawing>
          <wp:inline distT="0" distB="0" distL="0" distR="0" wp14:anchorId="5321F3A0" wp14:editId="588C2680">
            <wp:extent cx="2005302" cy="1595255"/>
            <wp:effectExtent l="0" t="0" r="1905" b="508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pic:nvPicPr>
                  <pic:blipFill>
                    <a:blip r:embed="rId8"/>
                    <a:stretch>
                      <a:fillRect/>
                    </a:stretch>
                  </pic:blipFill>
                  <pic:spPr>
                    <a:xfrm>
                      <a:off x="0" y="0"/>
                      <a:ext cx="2024088" cy="1610199"/>
                    </a:xfrm>
                    <a:prstGeom prst="rect">
                      <a:avLst/>
                    </a:prstGeom>
                  </pic:spPr>
                </pic:pic>
              </a:graphicData>
            </a:graphic>
          </wp:inline>
        </w:drawing>
      </w:r>
    </w:p>
    <w:p w14:paraId="26AE815C" w14:textId="77777777" w:rsidR="00E17B90" w:rsidRDefault="00E17B90" w:rsidP="00E17B90">
      <w:pPr>
        <w:jc w:val="center"/>
        <w:rPr>
          <w:sz w:val="20"/>
          <w:szCs w:val="20"/>
          <w:lang w:eastAsia="zh-CN"/>
        </w:rPr>
      </w:pPr>
      <w:r w:rsidRPr="003873E7">
        <w:rPr>
          <w:b/>
          <w:bCs/>
          <w:sz w:val="20"/>
          <w:szCs w:val="20"/>
          <w:lang w:eastAsia="zh-CN"/>
        </w:rPr>
        <w:t>Figure 1</w:t>
      </w:r>
      <w:r>
        <w:rPr>
          <w:sz w:val="20"/>
          <w:szCs w:val="20"/>
          <w:lang w:eastAsia="zh-CN"/>
        </w:rPr>
        <w:t>: Simultaneous reception within an IAB-node.</w:t>
      </w:r>
    </w:p>
    <w:p w14:paraId="0FA57DDE" w14:textId="77777777" w:rsidR="00E17B90" w:rsidRDefault="00E17B90" w:rsidP="00E17B90">
      <w:pPr>
        <w:jc w:val="both"/>
        <w:rPr>
          <w:sz w:val="20"/>
          <w:szCs w:val="20"/>
        </w:rPr>
      </w:pPr>
    </w:p>
    <w:p w14:paraId="5ADA6026" w14:textId="77777777" w:rsidR="00E17B90" w:rsidRDefault="00E17B90" w:rsidP="00E17B90">
      <w:pPr>
        <w:jc w:val="both"/>
        <w:rPr>
          <w:sz w:val="20"/>
          <w:szCs w:val="20"/>
        </w:rPr>
      </w:pPr>
    </w:p>
    <w:p w14:paraId="06A77BFB" w14:textId="54478438" w:rsidR="00E17B90" w:rsidRDefault="00E17B90" w:rsidP="00E17B90">
      <w:pPr>
        <w:jc w:val="both"/>
        <w:rPr>
          <w:sz w:val="20"/>
          <w:szCs w:val="20"/>
        </w:rPr>
      </w:pPr>
      <w:r w:rsidRPr="00F001D5">
        <w:rPr>
          <w:b/>
          <w:bCs/>
          <w:sz w:val="20"/>
          <w:szCs w:val="20"/>
        </w:rPr>
        <w:t xml:space="preserve">Proposal </w:t>
      </w:r>
      <w:r w:rsidR="00AB7794">
        <w:rPr>
          <w:b/>
          <w:bCs/>
          <w:sz w:val="20"/>
          <w:szCs w:val="20"/>
        </w:rPr>
        <w:t>2</w:t>
      </w:r>
      <w:r w:rsidRPr="00F001D5">
        <w:rPr>
          <w:sz w:val="20"/>
          <w:szCs w:val="20"/>
        </w:rPr>
        <w:t xml:space="preserve">: </w:t>
      </w:r>
      <w:r>
        <w:rPr>
          <w:sz w:val="20"/>
          <w:szCs w:val="20"/>
        </w:rPr>
        <w:t>For simultaneous operation, either parent IAB-DU or IAB-DU</w:t>
      </w:r>
      <w:r w:rsidR="00AB7794">
        <w:rPr>
          <w:sz w:val="20"/>
          <w:szCs w:val="20"/>
        </w:rPr>
        <w:t xml:space="preserve">, for example depending on data priority order of the link, </w:t>
      </w:r>
      <w:r>
        <w:rPr>
          <w:sz w:val="20"/>
          <w:szCs w:val="20"/>
        </w:rPr>
        <w:t>can initiate and control the flow</w:t>
      </w:r>
      <w:r w:rsidR="00AB7794">
        <w:rPr>
          <w:sz w:val="20"/>
          <w:szCs w:val="20"/>
        </w:rPr>
        <w:t xml:space="preserve">, and </w:t>
      </w:r>
      <w:r w:rsidR="00AB7794" w:rsidRPr="00D015E7">
        <w:rPr>
          <w:sz w:val="20"/>
          <w:szCs w:val="20"/>
        </w:rPr>
        <w:t>indicat</w:t>
      </w:r>
      <w:r w:rsidR="00AB7794">
        <w:rPr>
          <w:sz w:val="20"/>
          <w:szCs w:val="20"/>
        </w:rPr>
        <w:t>e</w:t>
      </w:r>
      <w:r w:rsidR="00AB7794" w:rsidRPr="00D015E7">
        <w:rPr>
          <w:sz w:val="20"/>
          <w:szCs w:val="20"/>
        </w:rPr>
        <w:t xml:space="preserve"> the desired parameters to the other link</w:t>
      </w:r>
      <w:r w:rsidR="00AB7794">
        <w:rPr>
          <w:sz w:val="20"/>
          <w:szCs w:val="20"/>
        </w:rPr>
        <w:t>.</w:t>
      </w:r>
    </w:p>
    <w:p w14:paraId="624C0E6B" w14:textId="77777777" w:rsidR="00E17B90" w:rsidRDefault="00E17B90" w:rsidP="00E17B90">
      <w:pPr>
        <w:jc w:val="both"/>
        <w:rPr>
          <w:b/>
          <w:bCs/>
          <w:sz w:val="20"/>
          <w:szCs w:val="20"/>
        </w:rPr>
      </w:pPr>
    </w:p>
    <w:p w14:paraId="07868A08" w14:textId="77777777" w:rsidR="00E17B90" w:rsidRDefault="00E17B90" w:rsidP="00E17B90">
      <w:pPr>
        <w:jc w:val="both"/>
        <w:rPr>
          <w:sz w:val="20"/>
          <w:szCs w:val="20"/>
        </w:rPr>
      </w:pPr>
    </w:p>
    <w:p w14:paraId="4F69F9D8" w14:textId="77777777" w:rsidR="00E17B90" w:rsidRDefault="00E17B90" w:rsidP="00E17B90">
      <w:pPr>
        <w:jc w:val="both"/>
        <w:rPr>
          <w:sz w:val="20"/>
          <w:szCs w:val="20"/>
        </w:rPr>
      </w:pPr>
      <w:r>
        <w:rPr>
          <w:sz w:val="20"/>
          <w:szCs w:val="20"/>
        </w:rPr>
        <w:t xml:space="preserve">Regardless of whether IAB-node or IAB-parent controls resource coordination for SDM or FDM multiplexing, it should be discussed how to indicate the beam management/coordination parameters. Whether the indication is dynamic or not also depends on the status of communication links, e.g.  </w:t>
      </w:r>
      <w:r w:rsidRPr="003C2966">
        <w:rPr>
          <w:sz w:val="20"/>
          <w:szCs w:val="20"/>
        </w:rPr>
        <w:t>for semi-static/periodic transmissions from parent IAB-DU, like periodic CSI-RS, SSB, SPS-PDSCH</w:t>
      </w:r>
      <w:r>
        <w:rPr>
          <w:sz w:val="20"/>
          <w:szCs w:val="20"/>
        </w:rPr>
        <w:t>, a semi-static beam indication from parent IAB-node is sufficient. While for a dynamic PUSCH scheduling on access link, a quick dynamic beam indication is preferred.</w:t>
      </w:r>
    </w:p>
    <w:p w14:paraId="2FA2C25D" w14:textId="77777777" w:rsidR="00E17B90" w:rsidRPr="003C2966" w:rsidRDefault="00E17B90" w:rsidP="00E17B90">
      <w:pPr>
        <w:jc w:val="both"/>
        <w:rPr>
          <w:sz w:val="20"/>
          <w:szCs w:val="20"/>
        </w:rPr>
      </w:pPr>
    </w:p>
    <w:p w14:paraId="12073D09" w14:textId="77777777" w:rsidR="00E17B90" w:rsidRDefault="00E17B90" w:rsidP="00E17B90">
      <w:pPr>
        <w:jc w:val="both"/>
        <w:rPr>
          <w:sz w:val="20"/>
          <w:szCs w:val="20"/>
        </w:rPr>
      </w:pPr>
      <w:r w:rsidRPr="000143DE">
        <w:rPr>
          <w:b/>
          <w:bCs/>
          <w:sz w:val="20"/>
          <w:szCs w:val="20"/>
        </w:rPr>
        <w:t xml:space="preserve">Proposal </w:t>
      </w:r>
      <w:r>
        <w:rPr>
          <w:b/>
          <w:bCs/>
          <w:sz w:val="20"/>
          <w:szCs w:val="20"/>
        </w:rPr>
        <w:t>3</w:t>
      </w:r>
      <w:r w:rsidRPr="000143DE">
        <w:rPr>
          <w:sz w:val="20"/>
          <w:szCs w:val="20"/>
        </w:rPr>
        <w:t xml:space="preserve">: For the case of parent IAB-DU indicating IAB node about the receiving beams/panels for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can be dynamic and/or semi-static:</w:t>
      </w:r>
    </w:p>
    <w:p w14:paraId="3ABD2E2E" w14:textId="77777777" w:rsidR="00E17B90" w:rsidRDefault="00E17B90" w:rsidP="00E17B90">
      <w:pPr>
        <w:pStyle w:val="ListParagraph"/>
        <w:numPr>
          <w:ilvl w:val="0"/>
          <w:numId w:val="26"/>
        </w:numPr>
        <w:jc w:val="both"/>
        <w:rPr>
          <w:sz w:val="20"/>
          <w:szCs w:val="20"/>
        </w:rPr>
      </w:pPr>
      <w:r w:rsidRPr="003C2966">
        <w:rPr>
          <w:sz w:val="20"/>
          <w:szCs w:val="20"/>
        </w:rPr>
        <w:t xml:space="preserve">Dynamic e.g. through TCI index in DCI for scheduling PDSCH </w:t>
      </w:r>
      <w:proofErr w:type="spellStart"/>
      <w:proofErr w:type="gramStart"/>
      <w:r w:rsidRPr="003C2966">
        <w:rPr>
          <w:sz w:val="20"/>
          <w:szCs w:val="20"/>
        </w:rPr>
        <w:t>L</w:t>
      </w:r>
      <w:r w:rsidRPr="003C2966">
        <w:rPr>
          <w:sz w:val="20"/>
          <w:szCs w:val="20"/>
          <w:vertAlign w:val="subscript"/>
        </w:rPr>
        <w:t>p,DL</w:t>
      </w:r>
      <w:proofErr w:type="spellEnd"/>
      <w:proofErr w:type="gramEnd"/>
      <w:r w:rsidRPr="003C2966">
        <w:rPr>
          <w:sz w:val="20"/>
          <w:szCs w:val="20"/>
          <w:vertAlign w:val="subscript"/>
        </w:rPr>
        <w:t xml:space="preserve"> </w:t>
      </w:r>
      <w:r w:rsidRPr="003C2966">
        <w:rPr>
          <w:sz w:val="20"/>
          <w:szCs w:val="20"/>
        </w:rPr>
        <w:t xml:space="preserve"> </w:t>
      </w:r>
    </w:p>
    <w:p w14:paraId="06A15F20" w14:textId="77777777" w:rsidR="00E17B90" w:rsidRPr="003C2966" w:rsidRDefault="00E17B90" w:rsidP="00E17B90">
      <w:pPr>
        <w:pStyle w:val="ListParagraph"/>
        <w:numPr>
          <w:ilvl w:val="0"/>
          <w:numId w:val="26"/>
        </w:numPr>
        <w:jc w:val="both"/>
        <w:rPr>
          <w:sz w:val="20"/>
          <w:szCs w:val="20"/>
        </w:rPr>
      </w:pPr>
      <w:r w:rsidRPr="003C2966">
        <w:rPr>
          <w:sz w:val="20"/>
          <w:szCs w:val="20"/>
        </w:rPr>
        <w:t xml:space="preserve">Semi-static, </w:t>
      </w:r>
      <w:proofErr w:type="gramStart"/>
      <w:r w:rsidRPr="003C2966">
        <w:rPr>
          <w:sz w:val="20"/>
          <w:szCs w:val="20"/>
        </w:rPr>
        <w:t>e.g.</w:t>
      </w:r>
      <w:proofErr w:type="gramEnd"/>
      <w:r w:rsidRPr="003C2966">
        <w:rPr>
          <w:sz w:val="20"/>
          <w:szCs w:val="20"/>
        </w:rPr>
        <w:t xml:space="preserve"> through MAC-CE/RRC to IAB-MT or through F1 interface to IAB-DU </w:t>
      </w:r>
    </w:p>
    <w:p w14:paraId="77CAFBE1" w14:textId="77777777" w:rsidR="00E17B90" w:rsidRPr="000143DE" w:rsidRDefault="00E17B90" w:rsidP="00E17B90">
      <w:pPr>
        <w:jc w:val="both"/>
        <w:rPr>
          <w:sz w:val="20"/>
          <w:szCs w:val="20"/>
        </w:rPr>
      </w:pPr>
    </w:p>
    <w:p w14:paraId="412DDBDA" w14:textId="77777777" w:rsidR="00E17B90" w:rsidRDefault="00E17B90" w:rsidP="00E17B90">
      <w:pPr>
        <w:jc w:val="both"/>
        <w:rPr>
          <w:sz w:val="20"/>
          <w:szCs w:val="20"/>
        </w:rPr>
      </w:pPr>
      <w:r w:rsidRPr="000143DE">
        <w:rPr>
          <w:b/>
          <w:bCs/>
          <w:sz w:val="20"/>
          <w:szCs w:val="20"/>
        </w:rPr>
        <w:t xml:space="preserve">Proposal </w:t>
      </w:r>
      <w:r>
        <w:rPr>
          <w:b/>
          <w:bCs/>
          <w:sz w:val="20"/>
          <w:szCs w:val="20"/>
        </w:rPr>
        <w:t>4</w:t>
      </w:r>
      <w:r w:rsidRPr="000143DE">
        <w:rPr>
          <w:sz w:val="20"/>
          <w:szCs w:val="20"/>
        </w:rPr>
        <w:t xml:space="preserve">: For the case of IAB indicating desired reception beams/panels on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to parent IAB-DU can be dynamic and/or semi-static:</w:t>
      </w:r>
    </w:p>
    <w:p w14:paraId="17581071" w14:textId="77777777" w:rsidR="00E17B90" w:rsidRDefault="00E17B90" w:rsidP="00E17B90">
      <w:pPr>
        <w:pStyle w:val="ListParagraph"/>
        <w:numPr>
          <w:ilvl w:val="0"/>
          <w:numId w:val="27"/>
        </w:numPr>
        <w:jc w:val="both"/>
        <w:rPr>
          <w:sz w:val="20"/>
          <w:szCs w:val="20"/>
        </w:rPr>
      </w:pPr>
      <w:r w:rsidRPr="003C2966">
        <w:rPr>
          <w:sz w:val="20"/>
          <w:szCs w:val="20"/>
        </w:rPr>
        <w:t xml:space="preserve">Dynamic </w:t>
      </w:r>
      <w:proofErr w:type="gramStart"/>
      <w:r w:rsidRPr="003C2966">
        <w:rPr>
          <w:sz w:val="20"/>
          <w:szCs w:val="20"/>
        </w:rPr>
        <w:t>e.g.</w:t>
      </w:r>
      <w:proofErr w:type="gramEnd"/>
      <w:r w:rsidRPr="003C2966">
        <w:rPr>
          <w:sz w:val="20"/>
          <w:szCs w:val="20"/>
        </w:rPr>
        <w:t xml:space="preserve"> through UCI transmission from IAB-MT to parent DU </w:t>
      </w:r>
    </w:p>
    <w:p w14:paraId="287B7527" w14:textId="77777777" w:rsidR="00E17B90" w:rsidRPr="00E17B90" w:rsidRDefault="00E17B90" w:rsidP="00E17B90">
      <w:pPr>
        <w:pStyle w:val="ListParagraph"/>
        <w:numPr>
          <w:ilvl w:val="0"/>
          <w:numId w:val="27"/>
        </w:numPr>
        <w:jc w:val="both"/>
        <w:rPr>
          <w:sz w:val="20"/>
          <w:szCs w:val="20"/>
        </w:rPr>
      </w:pPr>
      <w:r w:rsidRPr="003C2966">
        <w:rPr>
          <w:sz w:val="20"/>
          <w:szCs w:val="20"/>
        </w:rPr>
        <w:t xml:space="preserve">Semi-static, </w:t>
      </w:r>
      <w:proofErr w:type="gramStart"/>
      <w:r w:rsidRPr="003C2966">
        <w:rPr>
          <w:sz w:val="20"/>
          <w:szCs w:val="20"/>
        </w:rPr>
        <w:t>e.g.</w:t>
      </w:r>
      <w:proofErr w:type="gramEnd"/>
      <w:r w:rsidRPr="003C2966">
        <w:rPr>
          <w:sz w:val="20"/>
          <w:szCs w:val="20"/>
        </w:rPr>
        <w:t xml:space="preserve"> through MAC-CE from IAB-MT or through F1 interface from IAB-DU</w:t>
      </w:r>
    </w:p>
    <w:p w14:paraId="234A1231" w14:textId="77777777" w:rsidR="00E17B90" w:rsidRDefault="00E17B90" w:rsidP="00E17B90">
      <w:pPr>
        <w:jc w:val="both"/>
        <w:rPr>
          <w:sz w:val="20"/>
          <w:szCs w:val="20"/>
        </w:rPr>
      </w:pPr>
    </w:p>
    <w:p w14:paraId="6BA89E0A" w14:textId="77777777" w:rsidR="00E17B90" w:rsidRDefault="00E17B90" w:rsidP="00E17B90">
      <w:pPr>
        <w:jc w:val="both"/>
        <w:rPr>
          <w:sz w:val="20"/>
          <w:szCs w:val="20"/>
        </w:rPr>
      </w:pPr>
      <w:r>
        <w:rPr>
          <w:sz w:val="20"/>
          <w:szCs w:val="20"/>
        </w:rPr>
        <w:t xml:space="preserve">To achieve a better resource efficiency under SDM (or FDM) multiplexing with simultaneous reception within an IAB node, a conditional indication from parent IAB-DU may be deployed, where IAB-node has the chance to provide feedback on allocation by parent IAB-DU, and possibly provide desired set of parameters. Figure 2 shows an example of the procedure. Here we note that, at least in some scenarios, better utilization of SDM resource multiplexing is achieved if PDSCH allocation crosses the slot border, since otherwise tighter slot/symbol alignment is required, which is not always possible/desirable. Based on this discussion, we make the following proposals:  </w:t>
      </w:r>
    </w:p>
    <w:p w14:paraId="3EC3E756" w14:textId="77777777" w:rsidR="00E17B90" w:rsidRDefault="00E17B90" w:rsidP="00E17B90">
      <w:pPr>
        <w:jc w:val="both"/>
        <w:rPr>
          <w:sz w:val="20"/>
          <w:szCs w:val="20"/>
        </w:rPr>
      </w:pPr>
    </w:p>
    <w:p w14:paraId="7C8E91E6" w14:textId="77777777" w:rsidR="00E17B90" w:rsidRDefault="00E17B90" w:rsidP="00E17B90">
      <w:pPr>
        <w:jc w:val="both"/>
        <w:rPr>
          <w:sz w:val="20"/>
          <w:szCs w:val="20"/>
        </w:rPr>
      </w:pPr>
      <w:r w:rsidRPr="00A21ECE">
        <w:rPr>
          <w:b/>
          <w:bCs/>
          <w:sz w:val="20"/>
          <w:szCs w:val="20"/>
        </w:rPr>
        <w:t xml:space="preserve">Proposal </w:t>
      </w:r>
      <w:r>
        <w:rPr>
          <w:b/>
          <w:bCs/>
          <w:sz w:val="20"/>
          <w:szCs w:val="20"/>
        </w:rPr>
        <w:t>5</w:t>
      </w:r>
      <w:r w:rsidRPr="00A21ECE">
        <w:rPr>
          <w:sz w:val="20"/>
          <w:szCs w:val="20"/>
        </w:rPr>
        <w:t xml:space="preserve">: To achieve a simultaneous reception within an IAB node, </w:t>
      </w:r>
      <w:proofErr w:type="gramStart"/>
      <w:r w:rsidRPr="00A21ECE">
        <w:rPr>
          <w:sz w:val="20"/>
          <w:szCs w:val="20"/>
        </w:rPr>
        <w:t>i.e.</w:t>
      </w:r>
      <w:proofErr w:type="gramEnd"/>
      <w:r w:rsidRPr="00A21ECE">
        <w:rPr>
          <w:sz w:val="20"/>
          <w:szCs w:val="20"/>
        </w:rPr>
        <w:t xml:space="preserve"> DU-Rx &amp; MT-Rx, a two</w:t>
      </w:r>
      <w:r>
        <w:rPr>
          <w:sz w:val="20"/>
          <w:szCs w:val="20"/>
        </w:rPr>
        <w:t>-</w:t>
      </w:r>
      <w:r w:rsidRPr="00A21ECE">
        <w:rPr>
          <w:sz w:val="20"/>
          <w:szCs w:val="20"/>
        </w:rPr>
        <w:t>step indication is deployed</w:t>
      </w:r>
    </w:p>
    <w:p w14:paraId="04802596" w14:textId="77777777" w:rsidR="00E17B90" w:rsidRDefault="00E17B90" w:rsidP="00E17B90">
      <w:pPr>
        <w:pStyle w:val="ListParagraph"/>
        <w:numPr>
          <w:ilvl w:val="0"/>
          <w:numId w:val="28"/>
        </w:numPr>
        <w:jc w:val="both"/>
        <w:rPr>
          <w:sz w:val="20"/>
          <w:szCs w:val="20"/>
        </w:rPr>
      </w:pPr>
      <w:r w:rsidRPr="00A21ECE">
        <w:rPr>
          <w:sz w:val="20"/>
          <w:szCs w:val="20"/>
        </w:rPr>
        <w:t>Step1: Parent IAB-DU indicates initial beam/panel, K</w:t>
      </w:r>
      <w:r w:rsidRPr="00A21ECE">
        <w:rPr>
          <w:sz w:val="20"/>
          <w:szCs w:val="20"/>
          <w:vertAlign w:val="subscript"/>
        </w:rPr>
        <w:t>0</w:t>
      </w:r>
      <w:r w:rsidRPr="00A21ECE">
        <w:rPr>
          <w:sz w:val="20"/>
          <w:szCs w:val="20"/>
        </w:rPr>
        <w:t xml:space="preserve">, SLIV, </w:t>
      </w:r>
      <w:proofErr w:type="spellStart"/>
      <w:r w:rsidRPr="00A21ECE">
        <w:rPr>
          <w:sz w:val="20"/>
          <w:szCs w:val="20"/>
        </w:rPr>
        <w:t>etc</w:t>
      </w:r>
      <w:proofErr w:type="spellEnd"/>
      <w:r w:rsidRPr="00A21ECE">
        <w:rPr>
          <w:sz w:val="20"/>
          <w:szCs w:val="20"/>
        </w:rPr>
        <w:t>, and a grace time for IAB node in which IAB-MT can indicate its desired parameters like beam/panel, K</w:t>
      </w:r>
      <w:r w:rsidRPr="00A21ECE">
        <w:rPr>
          <w:sz w:val="20"/>
          <w:szCs w:val="20"/>
          <w:vertAlign w:val="subscript"/>
        </w:rPr>
        <w:t>0</w:t>
      </w:r>
      <w:r w:rsidRPr="00A21ECE">
        <w:rPr>
          <w:sz w:val="20"/>
          <w:szCs w:val="20"/>
        </w:rPr>
        <w:t xml:space="preserve">, SLIV, </w:t>
      </w:r>
      <w:proofErr w:type="spellStart"/>
      <w:r w:rsidRPr="00A21ECE">
        <w:rPr>
          <w:sz w:val="20"/>
          <w:szCs w:val="20"/>
        </w:rPr>
        <w:t>etc</w:t>
      </w:r>
      <w:proofErr w:type="spellEnd"/>
    </w:p>
    <w:p w14:paraId="432E96E0" w14:textId="77777777" w:rsidR="00E17B90" w:rsidRPr="00A21ECE" w:rsidRDefault="00E17B90" w:rsidP="00E17B90">
      <w:pPr>
        <w:pStyle w:val="ListParagraph"/>
        <w:numPr>
          <w:ilvl w:val="0"/>
          <w:numId w:val="28"/>
        </w:numPr>
        <w:jc w:val="both"/>
        <w:rPr>
          <w:sz w:val="20"/>
          <w:szCs w:val="20"/>
        </w:rPr>
      </w:pPr>
      <w:r w:rsidRPr="00A21ECE">
        <w:rPr>
          <w:sz w:val="20"/>
          <w:szCs w:val="20"/>
        </w:rPr>
        <w:t>Step2: IAB indicates its desired parameters (beam/panel, K</w:t>
      </w:r>
      <w:r w:rsidRPr="00A21ECE">
        <w:rPr>
          <w:sz w:val="20"/>
          <w:szCs w:val="20"/>
          <w:vertAlign w:val="subscript"/>
        </w:rPr>
        <w:t>0</w:t>
      </w:r>
      <w:r w:rsidRPr="00A21ECE">
        <w:rPr>
          <w:sz w:val="20"/>
          <w:szCs w:val="20"/>
        </w:rPr>
        <w:t xml:space="preserve">, SLIV, Tx power, </w:t>
      </w:r>
      <w:proofErr w:type="spellStart"/>
      <w:r w:rsidRPr="00A21ECE">
        <w:rPr>
          <w:sz w:val="20"/>
          <w:szCs w:val="20"/>
        </w:rPr>
        <w:t>etc</w:t>
      </w:r>
      <w:proofErr w:type="spellEnd"/>
      <w:r w:rsidRPr="00A21ECE">
        <w:rPr>
          <w:sz w:val="20"/>
          <w:szCs w:val="20"/>
        </w:rPr>
        <w:t>), for example, on PUCCH indicated by DL DCI from parent IAB-DU</w:t>
      </w:r>
    </w:p>
    <w:p w14:paraId="6D5EEFBB" w14:textId="77777777" w:rsidR="00E17B90" w:rsidRDefault="00E17B90" w:rsidP="00E17B90">
      <w:pPr>
        <w:jc w:val="both"/>
        <w:rPr>
          <w:sz w:val="20"/>
          <w:szCs w:val="20"/>
        </w:rPr>
      </w:pPr>
    </w:p>
    <w:p w14:paraId="6E1FC966" w14:textId="77777777" w:rsidR="00E17B90" w:rsidRDefault="00E17B90" w:rsidP="00E17B90">
      <w:pPr>
        <w:jc w:val="both"/>
        <w:rPr>
          <w:sz w:val="20"/>
          <w:szCs w:val="20"/>
        </w:rPr>
      </w:pPr>
      <w:r w:rsidRPr="00A21ECE">
        <w:rPr>
          <w:b/>
          <w:bCs/>
          <w:sz w:val="20"/>
          <w:szCs w:val="20"/>
        </w:rPr>
        <w:t xml:space="preserve">Proposal </w:t>
      </w:r>
      <w:r>
        <w:rPr>
          <w:b/>
          <w:bCs/>
          <w:sz w:val="20"/>
          <w:szCs w:val="20"/>
        </w:rPr>
        <w:t>6</w:t>
      </w:r>
      <w:r w:rsidRPr="00A21ECE">
        <w:rPr>
          <w:sz w:val="20"/>
          <w:szCs w:val="20"/>
        </w:rPr>
        <w:t xml:space="preserve">: </w:t>
      </w:r>
      <w:r>
        <w:rPr>
          <w:sz w:val="20"/>
          <w:szCs w:val="20"/>
        </w:rPr>
        <w:t xml:space="preserve">To utilize SDM resource multiplexing, support PDSCH allocation for IAB-MT with crossing the slot border. </w:t>
      </w:r>
    </w:p>
    <w:p w14:paraId="547E409E" w14:textId="77777777" w:rsidR="00E17B90" w:rsidRPr="00A21ECE" w:rsidRDefault="00E17B90" w:rsidP="00E17B90">
      <w:pPr>
        <w:jc w:val="both"/>
        <w:rPr>
          <w:sz w:val="20"/>
          <w:szCs w:val="20"/>
        </w:rPr>
      </w:pPr>
    </w:p>
    <w:p w14:paraId="0A81E344" w14:textId="77777777" w:rsidR="00E17B90" w:rsidRDefault="00E17B90" w:rsidP="00E17B90">
      <w:pPr>
        <w:jc w:val="center"/>
        <w:rPr>
          <w:sz w:val="20"/>
          <w:szCs w:val="20"/>
        </w:rPr>
      </w:pPr>
      <w:r w:rsidRPr="00D4606C">
        <w:rPr>
          <w:noProof/>
          <w:sz w:val="20"/>
          <w:szCs w:val="20"/>
        </w:rPr>
        <w:lastRenderedPageBreak/>
        <w:drawing>
          <wp:inline distT="0" distB="0" distL="0" distR="0" wp14:anchorId="13ADF37D" wp14:editId="1362C6F9">
            <wp:extent cx="4276516" cy="2235200"/>
            <wp:effectExtent l="0" t="0" r="0" b="0"/>
            <wp:docPr id="3" name="Picture 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with low confidence"/>
                    <pic:cNvPicPr/>
                  </pic:nvPicPr>
                  <pic:blipFill>
                    <a:blip r:embed="rId9"/>
                    <a:stretch>
                      <a:fillRect/>
                    </a:stretch>
                  </pic:blipFill>
                  <pic:spPr>
                    <a:xfrm>
                      <a:off x="0" y="0"/>
                      <a:ext cx="4297272" cy="2246049"/>
                    </a:xfrm>
                    <a:prstGeom prst="rect">
                      <a:avLst/>
                    </a:prstGeom>
                  </pic:spPr>
                </pic:pic>
              </a:graphicData>
            </a:graphic>
          </wp:inline>
        </w:drawing>
      </w:r>
    </w:p>
    <w:p w14:paraId="33F85077" w14:textId="77777777" w:rsidR="00E17B90" w:rsidRDefault="00E17B90" w:rsidP="00E17B90">
      <w:pPr>
        <w:jc w:val="center"/>
        <w:rPr>
          <w:sz w:val="20"/>
          <w:szCs w:val="20"/>
        </w:rPr>
      </w:pPr>
      <w:r>
        <w:rPr>
          <w:sz w:val="20"/>
          <w:szCs w:val="20"/>
        </w:rPr>
        <w:t xml:space="preserve"> </w:t>
      </w:r>
    </w:p>
    <w:p w14:paraId="5833B7E0" w14:textId="77777777" w:rsidR="00E17B90" w:rsidRDefault="00E17B90" w:rsidP="00E17B90">
      <w:pPr>
        <w:jc w:val="center"/>
        <w:rPr>
          <w:sz w:val="20"/>
          <w:szCs w:val="20"/>
          <w:lang w:eastAsia="zh-CN"/>
        </w:rPr>
      </w:pPr>
      <w:r w:rsidRPr="003873E7">
        <w:rPr>
          <w:b/>
          <w:bCs/>
          <w:sz w:val="20"/>
          <w:szCs w:val="20"/>
          <w:lang w:eastAsia="zh-CN"/>
        </w:rPr>
        <w:t xml:space="preserve">Figure </w:t>
      </w:r>
      <w:r>
        <w:rPr>
          <w:b/>
          <w:bCs/>
          <w:sz w:val="20"/>
          <w:szCs w:val="20"/>
          <w:lang w:eastAsia="zh-CN"/>
        </w:rPr>
        <w:t>2</w:t>
      </w:r>
      <w:r>
        <w:rPr>
          <w:sz w:val="20"/>
          <w:szCs w:val="20"/>
          <w:lang w:eastAsia="zh-CN"/>
        </w:rPr>
        <w:t>: Two-step scheduling for simultaneous Rx.</w:t>
      </w:r>
    </w:p>
    <w:p w14:paraId="5705CD21" w14:textId="77777777" w:rsidR="00E17B90" w:rsidRPr="00E17B90" w:rsidRDefault="00E17B90" w:rsidP="00E17B90">
      <w:pPr>
        <w:rPr>
          <w:lang w:eastAsia="zh-CN"/>
        </w:rPr>
      </w:pPr>
    </w:p>
    <w:p w14:paraId="75FA5E5C" w14:textId="77777777" w:rsidR="00484329" w:rsidRPr="00F001D5" w:rsidRDefault="00484329" w:rsidP="00D015E7">
      <w:pPr>
        <w:jc w:val="both"/>
        <w:rPr>
          <w:sz w:val="20"/>
          <w:szCs w:val="20"/>
        </w:rPr>
      </w:pPr>
    </w:p>
    <w:p w14:paraId="35183B4C" w14:textId="77777777" w:rsidR="00854A60" w:rsidRPr="00460F8C" w:rsidRDefault="009C5A97" w:rsidP="00FB330B">
      <w:pPr>
        <w:pStyle w:val="Heading1"/>
        <w:rPr>
          <w:rFonts w:ascii="Arial" w:hAnsi="Arial" w:cs="Arial"/>
          <w:b/>
          <w:bCs/>
          <w:sz w:val="32"/>
          <w:szCs w:val="32"/>
        </w:rPr>
      </w:pPr>
      <w:r w:rsidRPr="00460F8C">
        <w:rPr>
          <w:rFonts w:ascii="Arial" w:hAnsi="Arial" w:cs="Arial"/>
          <w:b/>
          <w:bCs/>
          <w:sz w:val="32"/>
          <w:szCs w:val="32"/>
        </w:rPr>
        <w:t>Conclusion</w:t>
      </w:r>
      <w:r w:rsidR="004424BC" w:rsidRPr="00460F8C">
        <w:rPr>
          <w:rFonts w:ascii="Arial" w:hAnsi="Arial" w:cs="Arial"/>
          <w:b/>
          <w:bCs/>
          <w:sz w:val="32"/>
          <w:szCs w:val="32"/>
        </w:rPr>
        <w:t>s</w:t>
      </w:r>
    </w:p>
    <w:p w14:paraId="378F3811" w14:textId="4D5365AF" w:rsidR="00757D0E" w:rsidRPr="0007782F" w:rsidRDefault="00757D0E" w:rsidP="00757D0E">
      <w:pPr>
        <w:jc w:val="both"/>
        <w:rPr>
          <w:sz w:val="20"/>
          <w:szCs w:val="20"/>
        </w:rPr>
      </w:pPr>
      <w:r w:rsidRPr="0007782F">
        <w:rPr>
          <w:sz w:val="20"/>
          <w:szCs w:val="20"/>
        </w:rPr>
        <w:t xml:space="preserve">In this contribution, we provided our thoughts on potential techniques to enhance </w:t>
      </w:r>
      <w:r w:rsidR="0079242B">
        <w:rPr>
          <w:sz w:val="20"/>
          <w:szCs w:val="20"/>
        </w:rPr>
        <w:t>resource multiplexing between IAB</w:t>
      </w:r>
      <w:r>
        <w:rPr>
          <w:sz w:val="20"/>
          <w:szCs w:val="20"/>
        </w:rPr>
        <w:t xml:space="preserve"> </w:t>
      </w:r>
      <w:r w:rsidR="0079242B">
        <w:rPr>
          <w:sz w:val="20"/>
          <w:szCs w:val="20"/>
        </w:rPr>
        <w:t>node’s parent and child links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6A3749DA" w14:textId="494B48FB" w:rsidR="00AB7794" w:rsidRDefault="00AB7794" w:rsidP="00AB7794">
      <w:pPr>
        <w:jc w:val="both"/>
        <w:rPr>
          <w:sz w:val="20"/>
          <w:szCs w:val="20"/>
        </w:rPr>
      </w:pPr>
      <w:r w:rsidRPr="000143DE">
        <w:rPr>
          <w:b/>
          <w:bCs/>
          <w:sz w:val="20"/>
          <w:szCs w:val="20"/>
        </w:rPr>
        <w:t xml:space="preserve">Proposal </w:t>
      </w:r>
      <w:r>
        <w:rPr>
          <w:b/>
          <w:bCs/>
          <w:sz w:val="20"/>
          <w:szCs w:val="20"/>
        </w:rPr>
        <w:t>1</w:t>
      </w:r>
      <w:r w:rsidRPr="000143DE">
        <w:rPr>
          <w:sz w:val="20"/>
          <w:szCs w:val="20"/>
        </w:rPr>
        <w:t xml:space="preserve">: For the case of </w:t>
      </w:r>
      <w:r>
        <w:rPr>
          <w:sz w:val="20"/>
          <w:szCs w:val="20"/>
        </w:rPr>
        <w:t>inter-donor DC if IAB-MT incapable of simultaneous transmission and reception is indicated by conflicting allocations from multi-parents, IAB-MT is expected to operate as indicated by MCG.</w:t>
      </w:r>
    </w:p>
    <w:p w14:paraId="661910DA" w14:textId="77777777" w:rsidR="00AB7794" w:rsidRDefault="00AB7794" w:rsidP="00AB7794">
      <w:pPr>
        <w:jc w:val="both"/>
        <w:rPr>
          <w:sz w:val="20"/>
          <w:szCs w:val="20"/>
        </w:rPr>
      </w:pPr>
    </w:p>
    <w:p w14:paraId="6AA8612C" w14:textId="04DDBA93" w:rsidR="00AB7794" w:rsidRDefault="00AB7794" w:rsidP="00AB7794">
      <w:pPr>
        <w:jc w:val="both"/>
        <w:rPr>
          <w:sz w:val="20"/>
          <w:szCs w:val="20"/>
        </w:rPr>
      </w:pPr>
      <w:r w:rsidRPr="00F001D5">
        <w:rPr>
          <w:b/>
          <w:bCs/>
          <w:sz w:val="20"/>
          <w:szCs w:val="20"/>
        </w:rPr>
        <w:t xml:space="preserve">Proposal </w:t>
      </w:r>
      <w:r>
        <w:rPr>
          <w:b/>
          <w:bCs/>
          <w:sz w:val="20"/>
          <w:szCs w:val="20"/>
        </w:rPr>
        <w:t>2</w:t>
      </w:r>
      <w:r w:rsidRPr="00F001D5">
        <w:rPr>
          <w:sz w:val="20"/>
          <w:szCs w:val="20"/>
        </w:rPr>
        <w:t xml:space="preserve">: </w:t>
      </w:r>
      <w:r>
        <w:rPr>
          <w:sz w:val="20"/>
          <w:szCs w:val="20"/>
        </w:rPr>
        <w:t xml:space="preserve">For simultaneous operation, either parent IAB-DU or IAB-DU, for example depending on data priority order of the link, can initiate and control the flow, and </w:t>
      </w:r>
      <w:r w:rsidRPr="00D015E7">
        <w:rPr>
          <w:sz w:val="20"/>
          <w:szCs w:val="20"/>
        </w:rPr>
        <w:t>indicat</w:t>
      </w:r>
      <w:r>
        <w:rPr>
          <w:sz w:val="20"/>
          <w:szCs w:val="20"/>
        </w:rPr>
        <w:t>e</w:t>
      </w:r>
      <w:r w:rsidRPr="00D015E7">
        <w:rPr>
          <w:sz w:val="20"/>
          <w:szCs w:val="20"/>
        </w:rPr>
        <w:t xml:space="preserve"> the desired parameters to the other link</w:t>
      </w:r>
      <w:r>
        <w:rPr>
          <w:sz w:val="20"/>
          <w:szCs w:val="20"/>
        </w:rPr>
        <w:t>.</w:t>
      </w:r>
    </w:p>
    <w:p w14:paraId="1D60A3D3" w14:textId="77777777" w:rsidR="00AB7794" w:rsidRPr="003C2966" w:rsidRDefault="00AB7794" w:rsidP="00AB7794">
      <w:pPr>
        <w:jc w:val="both"/>
        <w:rPr>
          <w:sz w:val="20"/>
          <w:szCs w:val="20"/>
        </w:rPr>
      </w:pPr>
    </w:p>
    <w:p w14:paraId="1F79A12F" w14:textId="77777777" w:rsidR="00AB7794" w:rsidRDefault="00AB7794" w:rsidP="00AB7794">
      <w:pPr>
        <w:jc w:val="both"/>
        <w:rPr>
          <w:sz w:val="20"/>
          <w:szCs w:val="20"/>
        </w:rPr>
      </w:pPr>
      <w:r w:rsidRPr="000143DE">
        <w:rPr>
          <w:b/>
          <w:bCs/>
          <w:sz w:val="20"/>
          <w:szCs w:val="20"/>
        </w:rPr>
        <w:t xml:space="preserve">Proposal </w:t>
      </w:r>
      <w:r>
        <w:rPr>
          <w:b/>
          <w:bCs/>
          <w:sz w:val="20"/>
          <w:szCs w:val="20"/>
        </w:rPr>
        <w:t>3</w:t>
      </w:r>
      <w:r w:rsidRPr="000143DE">
        <w:rPr>
          <w:sz w:val="20"/>
          <w:szCs w:val="20"/>
        </w:rPr>
        <w:t xml:space="preserve">: For the case of parent IAB-DU indicating IAB node about the receiving beams/panels for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can be dynamic and/or semi-static:</w:t>
      </w:r>
    </w:p>
    <w:p w14:paraId="18293F26" w14:textId="77777777" w:rsidR="00AB7794" w:rsidRDefault="00AB7794" w:rsidP="00AB7794">
      <w:pPr>
        <w:pStyle w:val="ListParagraph"/>
        <w:numPr>
          <w:ilvl w:val="0"/>
          <w:numId w:val="26"/>
        </w:numPr>
        <w:jc w:val="both"/>
        <w:rPr>
          <w:sz w:val="20"/>
          <w:szCs w:val="20"/>
        </w:rPr>
      </w:pPr>
      <w:r w:rsidRPr="003C2966">
        <w:rPr>
          <w:sz w:val="20"/>
          <w:szCs w:val="20"/>
        </w:rPr>
        <w:t xml:space="preserve">Dynamic e.g. through TCI index in DCI for scheduling PDSCH </w:t>
      </w:r>
      <w:proofErr w:type="spellStart"/>
      <w:proofErr w:type="gramStart"/>
      <w:r w:rsidRPr="003C2966">
        <w:rPr>
          <w:sz w:val="20"/>
          <w:szCs w:val="20"/>
        </w:rPr>
        <w:t>L</w:t>
      </w:r>
      <w:r w:rsidRPr="003C2966">
        <w:rPr>
          <w:sz w:val="20"/>
          <w:szCs w:val="20"/>
          <w:vertAlign w:val="subscript"/>
        </w:rPr>
        <w:t>p,DL</w:t>
      </w:r>
      <w:proofErr w:type="spellEnd"/>
      <w:proofErr w:type="gramEnd"/>
      <w:r w:rsidRPr="003C2966">
        <w:rPr>
          <w:sz w:val="20"/>
          <w:szCs w:val="20"/>
          <w:vertAlign w:val="subscript"/>
        </w:rPr>
        <w:t xml:space="preserve"> </w:t>
      </w:r>
      <w:r w:rsidRPr="003C2966">
        <w:rPr>
          <w:sz w:val="20"/>
          <w:szCs w:val="20"/>
        </w:rPr>
        <w:t xml:space="preserve"> </w:t>
      </w:r>
    </w:p>
    <w:p w14:paraId="01685BB1" w14:textId="77777777" w:rsidR="00AB7794" w:rsidRPr="003C2966" w:rsidRDefault="00AB7794" w:rsidP="00AB7794">
      <w:pPr>
        <w:pStyle w:val="ListParagraph"/>
        <w:numPr>
          <w:ilvl w:val="0"/>
          <w:numId w:val="26"/>
        </w:numPr>
        <w:jc w:val="both"/>
        <w:rPr>
          <w:sz w:val="20"/>
          <w:szCs w:val="20"/>
        </w:rPr>
      </w:pPr>
      <w:r w:rsidRPr="003C2966">
        <w:rPr>
          <w:sz w:val="20"/>
          <w:szCs w:val="20"/>
        </w:rPr>
        <w:t xml:space="preserve">Semi-static, </w:t>
      </w:r>
      <w:proofErr w:type="gramStart"/>
      <w:r w:rsidRPr="003C2966">
        <w:rPr>
          <w:sz w:val="20"/>
          <w:szCs w:val="20"/>
        </w:rPr>
        <w:t>e.g.</w:t>
      </w:r>
      <w:proofErr w:type="gramEnd"/>
      <w:r w:rsidRPr="003C2966">
        <w:rPr>
          <w:sz w:val="20"/>
          <w:szCs w:val="20"/>
        </w:rPr>
        <w:t xml:space="preserve"> through MAC-CE/RRC to IAB-MT or through F1 interface to IAB-DU </w:t>
      </w:r>
    </w:p>
    <w:p w14:paraId="1B924256" w14:textId="77777777" w:rsidR="00AB7794" w:rsidRPr="000143DE" w:rsidRDefault="00AB7794" w:rsidP="00AB7794">
      <w:pPr>
        <w:jc w:val="both"/>
        <w:rPr>
          <w:sz w:val="20"/>
          <w:szCs w:val="20"/>
        </w:rPr>
      </w:pPr>
    </w:p>
    <w:p w14:paraId="55079716" w14:textId="77777777" w:rsidR="00AB7794" w:rsidRDefault="00AB7794" w:rsidP="00AB7794">
      <w:pPr>
        <w:jc w:val="both"/>
        <w:rPr>
          <w:sz w:val="20"/>
          <w:szCs w:val="20"/>
        </w:rPr>
      </w:pPr>
      <w:r w:rsidRPr="000143DE">
        <w:rPr>
          <w:b/>
          <w:bCs/>
          <w:sz w:val="20"/>
          <w:szCs w:val="20"/>
        </w:rPr>
        <w:t xml:space="preserve">Proposal </w:t>
      </w:r>
      <w:r>
        <w:rPr>
          <w:b/>
          <w:bCs/>
          <w:sz w:val="20"/>
          <w:szCs w:val="20"/>
        </w:rPr>
        <w:t>4</w:t>
      </w:r>
      <w:r w:rsidRPr="000143DE">
        <w:rPr>
          <w:sz w:val="20"/>
          <w:szCs w:val="20"/>
        </w:rPr>
        <w:t xml:space="preserve">: For the case of IAB indicating desired reception beams/panels on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to parent IAB-DU can be dynamic and/or semi-static:</w:t>
      </w:r>
    </w:p>
    <w:p w14:paraId="1F3C1507" w14:textId="77777777" w:rsidR="00AB7794" w:rsidRDefault="00AB7794" w:rsidP="00AB7794">
      <w:pPr>
        <w:pStyle w:val="ListParagraph"/>
        <w:numPr>
          <w:ilvl w:val="0"/>
          <w:numId w:val="27"/>
        </w:numPr>
        <w:jc w:val="both"/>
        <w:rPr>
          <w:sz w:val="20"/>
          <w:szCs w:val="20"/>
        </w:rPr>
      </w:pPr>
      <w:r w:rsidRPr="003C2966">
        <w:rPr>
          <w:sz w:val="20"/>
          <w:szCs w:val="20"/>
        </w:rPr>
        <w:t xml:space="preserve">Dynamic </w:t>
      </w:r>
      <w:proofErr w:type="gramStart"/>
      <w:r w:rsidRPr="003C2966">
        <w:rPr>
          <w:sz w:val="20"/>
          <w:szCs w:val="20"/>
        </w:rPr>
        <w:t>e.g.</w:t>
      </w:r>
      <w:proofErr w:type="gramEnd"/>
      <w:r w:rsidRPr="003C2966">
        <w:rPr>
          <w:sz w:val="20"/>
          <w:szCs w:val="20"/>
        </w:rPr>
        <w:t xml:space="preserve"> through UCI transmission from IAB-MT to parent DU </w:t>
      </w:r>
    </w:p>
    <w:p w14:paraId="5EFF6A3C" w14:textId="77777777" w:rsidR="00AB7794" w:rsidRPr="00E17B90" w:rsidRDefault="00AB7794" w:rsidP="00AB7794">
      <w:pPr>
        <w:pStyle w:val="ListParagraph"/>
        <w:numPr>
          <w:ilvl w:val="0"/>
          <w:numId w:val="27"/>
        </w:numPr>
        <w:jc w:val="both"/>
        <w:rPr>
          <w:sz w:val="20"/>
          <w:szCs w:val="20"/>
        </w:rPr>
      </w:pPr>
      <w:r w:rsidRPr="003C2966">
        <w:rPr>
          <w:sz w:val="20"/>
          <w:szCs w:val="20"/>
        </w:rPr>
        <w:t xml:space="preserve">Semi-static, </w:t>
      </w:r>
      <w:proofErr w:type="gramStart"/>
      <w:r w:rsidRPr="003C2966">
        <w:rPr>
          <w:sz w:val="20"/>
          <w:szCs w:val="20"/>
        </w:rPr>
        <w:t>e.g.</w:t>
      </w:r>
      <w:proofErr w:type="gramEnd"/>
      <w:r w:rsidRPr="003C2966">
        <w:rPr>
          <w:sz w:val="20"/>
          <w:szCs w:val="20"/>
        </w:rPr>
        <w:t xml:space="preserve"> through MAC-CE from IAB-MT or through F1 interface from IAB-DU</w:t>
      </w:r>
    </w:p>
    <w:p w14:paraId="7DBF91A2" w14:textId="77777777" w:rsidR="00AB7794" w:rsidRDefault="00AB7794" w:rsidP="00AB7794">
      <w:pPr>
        <w:jc w:val="both"/>
        <w:rPr>
          <w:sz w:val="20"/>
          <w:szCs w:val="20"/>
        </w:rPr>
      </w:pPr>
    </w:p>
    <w:p w14:paraId="3943013E" w14:textId="77777777" w:rsidR="00AB7794" w:rsidRDefault="00AB7794" w:rsidP="00AB7794">
      <w:pPr>
        <w:jc w:val="both"/>
        <w:rPr>
          <w:sz w:val="20"/>
          <w:szCs w:val="20"/>
        </w:rPr>
      </w:pPr>
      <w:r w:rsidRPr="00A21ECE">
        <w:rPr>
          <w:b/>
          <w:bCs/>
          <w:sz w:val="20"/>
          <w:szCs w:val="20"/>
        </w:rPr>
        <w:t xml:space="preserve">Proposal </w:t>
      </w:r>
      <w:r>
        <w:rPr>
          <w:b/>
          <w:bCs/>
          <w:sz w:val="20"/>
          <w:szCs w:val="20"/>
        </w:rPr>
        <w:t>5</w:t>
      </w:r>
      <w:r w:rsidRPr="00A21ECE">
        <w:rPr>
          <w:sz w:val="20"/>
          <w:szCs w:val="20"/>
        </w:rPr>
        <w:t xml:space="preserve">: To achieve a simultaneous reception within an IAB node, </w:t>
      </w:r>
      <w:proofErr w:type="gramStart"/>
      <w:r w:rsidRPr="00A21ECE">
        <w:rPr>
          <w:sz w:val="20"/>
          <w:szCs w:val="20"/>
        </w:rPr>
        <w:t>i.e.</w:t>
      </w:r>
      <w:proofErr w:type="gramEnd"/>
      <w:r w:rsidRPr="00A21ECE">
        <w:rPr>
          <w:sz w:val="20"/>
          <w:szCs w:val="20"/>
        </w:rPr>
        <w:t xml:space="preserve"> DU-Rx &amp; MT-Rx, a two</w:t>
      </w:r>
      <w:r>
        <w:rPr>
          <w:sz w:val="20"/>
          <w:szCs w:val="20"/>
        </w:rPr>
        <w:t>-</w:t>
      </w:r>
      <w:r w:rsidRPr="00A21ECE">
        <w:rPr>
          <w:sz w:val="20"/>
          <w:szCs w:val="20"/>
        </w:rPr>
        <w:t>step indication is deployed</w:t>
      </w:r>
    </w:p>
    <w:p w14:paraId="5A937812" w14:textId="77777777" w:rsidR="00AB7794" w:rsidRDefault="00AB7794" w:rsidP="00AB7794">
      <w:pPr>
        <w:pStyle w:val="ListParagraph"/>
        <w:numPr>
          <w:ilvl w:val="0"/>
          <w:numId w:val="28"/>
        </w:numPr>
        <w:jc w:val="both"/>
        <w:rPr>
          <w:sz w:val="20"/>
          <w:szCs w:val="20"/>
        </w:rPr>
      </w:pPr>
      <w:r w:rsidRPr="00A21ECE">
        <w:rPr>
          <w:sz w:val="20"/>
          <w:szCs w:val="20"/>
        </w:rPr>
        <w:t>Step1: Parent IAB-DU indicates initial beam/panel, K</w:t>
      </w:r>
      <w:r w:rsidRPr="00A21ECE">
        <w:rPr>
          <w:sz w:val="20"/>
          <w:szCs w:val="20"/>
          <w:vertAlign w:val="subscript"/>
        </w:rPr>
        <w:t>0</w:t>
      </w:r>
      <w:r w:rsidRPr="00A21ECE">
        <w:rPr>
          <w:sz w:val="20"/>
          <w:szCs w:val="20"/>
        </w:rPr>
        <w:t xml:space="preserve">, SLIV, </w:t>
      </w:r>
      <w:proofErr w:type="spellStart"/>
      <w:r w:rsidRPr="00A21ECE">
        <w:rPr>
          <w:sz w:val="20"/>
          <w:szCs w:val="20"/>
        </w:rPr>
        <w:t>etc</w:t>
      </w:r>
      <w:proofErr w:type="spellEnd"/>
      <w:r w:rsidRPr="00A21ECE">
        <w:rPr>
          <w:sz w:val="20"/>
          <w:szCs w:val="20"/>
        </w:rPr>
        <w:t>, and a grace time for IAB node in which IAB-MT can indicate its desired parameters like beam/panel, K</w:t>
      </w:r>
      <w:r w:rsidRPr="00A21ECE">
        <w:rPr>
          <w:sz w:val="20"/>
          <w:szCs w:val="20"/>
          <w:vertAlign w:val="subscript"/>
        </w:rPr>
        <w:t>0</w:t>
      </w:r>
      <w:r w:rsidRPr="00A21ECE">
        <w:rPr>
          <w:sz w:val="20"/>
          <w:szCs w:val="20"/>
        </w:rPr>
        <w:t xml:space="preserve">, SLIV, </w:t>
      </w:r>
      <w:proofErr w:type="spellStart"/>
      <w:r w:rsidRPr="00A21ECE">
        <w:rPr>
          <w:sz w:val="20"/>
          <w:szCs w:val="20"/>
        </w:rPr>
        <w:t>etc</w:t>
      </w:r>
      <w:proofErr w:type="spellEnd"/>
    </w:p>
    <w:p w14:paraId="66722E7E" w14:textId="77777777" w:rsidR="00AB7794" w:rsidRPr="00A21ECE" w:rsidRDefault="00AB7794" w:rsidP="00AB7794">
      <w:pPr>
        <w:pStyle w:val="ListParagraph"/>
        <w:numPr>
          <w:ilvl w:val="0"/>
          <w:numId w:val="28"/>
        </w:numPr>
        <w:jc w:val="both"/>
        <w:rPr>
          <w:sz w:val="20"/>
          <w:szCs w:val="20"/>
        </w:rPr>
      </w:pPr>
      <w:r w:rsidRPr="00A21ECE">
        <w:rPr>
          <w:sz w:val="20"/>
          <w:szCs w:val="20"/>
        </w:rPr>
        <w:t>Step2: IAB indicates its desired parameters (beam/panel, K</w:t>
      </w:r>
      <w:r w:rsidRPr="00A21ECE">
        <w:rPr>
          <w:sz w:val="20"/>
          <w:szCs w:val="20"/>
          <w:vertAlign w:val="subscript"/>
        </w:rPr>
        <w:t>0</w:t>
      </w:r>
      <w:r w:rsidRPr="00A21ECE">
        <w:rPr>
          <w:sz w:val="20"/>
          <w:szCs w:val="20"/>
        </w:rPr>
        <w:t xml:space="preserve">, SLIV, Tx power, </w:t>
      </w:r>
      <w:proofErr w:type="spellStart"/>
      <w:r w:rsidRPr="00A21ECE">
        <w:rPr>
          <w:sz w:val="20"/>
          <w:szCs w:val="20"/>
        </w:rPr>
        <w:t>etc</w:t>
      </w:r>
      <w:proofErr w:type="spellEnd"/>
      <w:r w:rsidRPr="00A21ECE">
        <w:rPr>
          <w:sz w:val="20"/>
          <w:szCs w:val="20"/>
        </w:rPr>
        <w:t>), for example, on PUCCH indicated by DL DCI from parent IAB-DU</w:t>
      </w:r>
    </w:p>
    <w:p w14:paraId="456E7D73" w14:textId="77777777" w:rsidR="00AB7794" w:rsidRDefault="00AB7794" w:rsidP="00AB7794">
      <w:pPr>
        <w:jc w:val="both"/>
        <w:rPr>
          <w:sz w:val="20"/>
          <w:szCs w:val="20"/>
        </w:rPr>
      </w:pPr>
    </w:p>
    <w:p w14:paraId="3ACF9146" w14:textId="77777777" w:rsidR="00AB7794" w:rsidRDefault="00AB7794" w:rsidP="00AB7794">
      <w:pPr>
        <w:jc w:val="both"/>
        <w:rPr>
          <w:sz w:val="20"/>
          <w:szCs w:val="20"/>
        </w:rPr>
      </w:pPr>
      <w:r w:rsidRPr="00A21ECE">
        <w:rPr>
          <w:b/>
          <w:bCs/>
          <w:sz w:val="20"/>
          <w:szCs w:val="20"/>
        </w:rPr>
        <w:t xml:space="preserve">Proposal </w:t>
      </w:r>
      <w:r>
        <w:rPr>
          <w:b/>
          <w:bCs/>
          <w:sz w:val="20"/>
          <w:szCs w:val="20"/>
        </w:rPr>
        <w:t>6</w:t>
      </w:r>
      <w:r w:rsidRPr="00A21ECE">
        <w:rPr>
          <w:sz w:val="20"/>
          <w:szCs w:val="20"/>
        </w:rPr>
        <w:t xml:space="preserve">: </w:t>
      </w:r>
      <w:r>
        <w:rPr>
          <w:sz w:val="20"/>
          <w:szCs w:val="20"/>
        </w:rPr>
        <w:t xml:space="preserve">To utilize SDM resource multiplexing, support PDSCH allocation for IAB-MT with crossing the slot border. </w:t>
      </w:r>
    </w:p>
    <w:p w14:paraId="71EF8D6E" w14:textId="77777777" w:rsidR="00945309" w:rsidRPr="00450183" w:rsidRDefault="00945309" w:rsidP="00450183">
      <w:pPr>
        <w:jc w:val="both"/>
        <w:rPr>
          <w:sz w:val="20"/>
          <w:szCs w:val="20"/>
          <w:highlight w:val="yellow"/>
          <w:lang w:eastAsia="zh-CN"/>
        </w:rPr>
      </w:pPr>
    </w:p>
    <w:p w14:paraId="0B7D9668" w14:textId="77777777" w:rsidR="00E05C62" w:rsidRPr="00460F8C" w:rsidRDefault="005C63AE" w:rsidP="00E05C62">
      <w:pPr>
        <w:pStyle w:val="Heading1"/>
        <w:rPr>
          <w:rFonts w:ascii="Arial" w:hAnsi="Arial" w:cs="Arial"/>
          <w:b/>
          <w:bCs/>
          <w:sz w:val="32"/>
          <w:szCs w:val="32"/>
        </w:rPr>
      </w:pPr>
      <w:r w:rsidRPr="00460F8C">
        <w:rPr>
          <w:rFonts w:ascii="Arial" w:hAnsi="Arial" w:cs="Arial"/>
          <w:b/>
          <w:bCs/>
          <w:sz w:val="32"/>
          <w:szCs w:val="32"/>
        </w:rPr>
        <w:t>References</w:t>
      </w:r>
    </w:p>
    <w:p w14:paraId="04E49CEC" w14:textId="670A45B8" w:rsidR="0091063F" w:rsidRPr="00410281" w:rsidRDefault="0091063F" w:rsidP="0091063F">
      <w:pPr>
        <w:pStyle w:val="ListParagraph"/>
        <w:numPr>
          <w:ilvl w:val="0"/>
          <w:numId w:val="12"/>
        </w:numPr>
        <w:rPr>
          <w:bCs/>
          <w:sz w:val="20"/>
          <w:szCs w:val="20"/>
          <w:lang w:val="en-GB" w:eastAsia="zh-CN"/>
        </w:rPr>
      </w:pPr>
      <w:bookmarkStart w:id="2" w:name="_Ref528337287"/>
      <w:bookmarkStart w:id="3" w:name="_Ref506125467"/>
      <w:bookmarkStart w:id="4" w:name="_Ref513106987"/>
      <w:r w:rsidRPr="00410281">
        <w:rPr>
          <w:rFonts w:hint="eastAsia"/>
          <w:bCs/>
          <w:sz w:val="20"/>
          <w:szCs w:val="20"/>
          <w:lang w:val="en-GB" w:eastAsia="zh-CN"/>
        </w:rPr>
        <w:t>RP-</w:t>
      </w:r>
      <w:r>
        <w:rPr>
          <w:bCs/>
          <w:sz w:val="20"/>
          <w:szCs w:val="20"/>
          <w:lang w:val="en-GB" w:eastAsia="zh-CN"/>
        </w:rPr>
        <w:t>210758</w:t>
      </w:r>
      <w:r w:rsidRPr="00410281">
        <w:rPr>
          <w:rFonts w:hint="eastAsia"/>
          <w:bCs/>
          <w:sz w:val="20"/>
          <w:szCs w:val="20"/>
          <w:lang w:val="en-GB" w:eastAsia="zh-CN"/>
        </w:rPr>
        <w:t xml:space="preserve">, </w:t>
      </w:r>
      <w:r w:rsidRPr="00410281">
        <w:rPr>
          <w:bCs/>
          <w:sz w:val="20"/>
          <w:szCs w:val="20"/>
          <w:lang w:val="en-GB" w:eastAsia="zh-CN"/>
        </w:rPr>
        <w:t>“</w:t>
      </w:r>
      <w:r w:rsidRPr="0091063F">
        <w:rPr>
          <w:sz w:val="20"/>
          <w:szCs w:val="20"/>
          <w:lang w:val="en-GB" w:eastAsia="zh-CN"/>
        </w:rPr>
        <w:t>New WID on Enhancements to Integrated Access and Backhaul</w:t>
      </w:r>
      <w:r w:rsidRPr="00410281">
        <w:rPr>
          <w:bCs/>
          <w:sz w:val="20"/>
          <w:szCs w:val="20"/>
          <w:lang w:val="en-GB" w:eastAsia="zh-CN"/>
        </w:rPr>
        <w:t>”</w:t>
      </w:r>
      <w:r w:rsidRPr="00410281">
        <w:rPr>
          <w:rFonts w:hint="eastAsia"/>
          <w:bCs/>
          <w:sz w:val="20"/>
          <w:szCs w:val="20"/>
          <w:lang w:val="en-GB" w:eastAsia="zh-CN"/>
        </w:rPr>
        <w:t xml:space="preserve">, </w:t>
      </w:r>
      <w:r>
        <w:rPr>
          <w:bCs/>
          <w:sz w:val="20"/>
          <w:szCs w:val="20"/>
          <w:lang w:val="en-GB" w:eastAsia="zh-CN"/>
        </w:rPr>
        <w:t>March</w:t>
      </w:r>
      <w:r w:rsidRPr="00410281">
        <w:rPr>
          <w:rFonts w:hint="eastAsia"/>
          <w:bCs/>
          <w:sz w:val="20"/>
          <w:szCs w:val="20"/>
          <w:lang w:val="en-GB" w:eastAsia="zh-CN"/>
        </w:rPr>
        <w:t xml:space="preserve"> </w:t>
      </w:r>
      <w:r>
        <w:rPr>
          <w:bCs/>
          <w:sz w:val="20"/>
          <w:szCs w:val="20"/>
          <w:lang w:val="en-GB" w:eastAsia="zh-CN"/>
        </w:rPr>
        <w:t>2021</w:t>
      </w:r>
    </w:p>
    <w:p w14:paraId="1C39EA8C" w14:textId="32070B88" w:rsidR="00D67025" w:rsidRDefault="00D67025" w:rsidP="00D67025">
      <w:pPr>
        <w:pStyle w:val="ListParagraph"/>
        <w:numPr>
          <w:ilvl w:val="0"/>
          <w:numId w:val="12"/>
        </w:numPr>
        <w:rPr>
          <w:bCs/>
          <w:sz w:val="20"/>
          <w:szCs w:val="20"/>
          <w:lang w:eastAsia="zh-CN"/>
        </w:rPr>
      </w:pPr>
      <w:r w:rsidRPr="00410281">
        <w:rPr>
          <w:bCs/>
          <w:sz w:val="20"/>
          <w:szCs w:val="20"/>
          <w:lang w:eastAsia="zh-CN"/>
        </w:rPr>
        <w:t>Chairman’s Notes RAN1#10</w:t>
      </w:r>
      <w:r w:rsidR="00F61D6A">
        <w:rPr>
          <w:bCs/>
          <w:sz w:val="20"/>
          <w:szCs w:val="20"/>
          <w:lang w:eastAsia="zh-CN"/>
        </w:rPr>
        <w:t>6</w:t>
      </w:r>
      <w:r w:rsidRPr="00410281">
        <w:rPr>
          <w:bCs/>
          <w:sz w:val="20"/>
          <w:szCs w:val="20"/>
          <w:lang w:eastAsia="zh-CN"/>
        </w:rPr>
        <w:t>-e final</w:t>
      </w:r>
    </w:p>
    <w:p w14:paraId="4BF61049" w14:textId="11DFF599" w:rsidR="00E621E7" w:rsidRPr="006C1E74" w:rsidRDefault="00E621E7" w:rsidP="006C1E74">
      <w:pPr>
        <w:pStyle w:val="ListParagraph"/>
        <w:numPr>
          <w:ilvl w:val="0"/>
          <w:numId w:val="12"/>
        </w:numPr>
        <w:rPr>
          <w:bCs/>
          <w:sz w:val="20"/>
          <w:szCs w:val="20"/>
          <w:lang w:eastAsia="zh-CN"/>
        </w:rPr>
      </w:pPr>
      <w:r w:rsidRPr="00410281">
        <w:rPr>
          <w:bCs/>
          <w:sz w:val="20"/>
          <w:szCs w:val="20"/>
          <w:lang w:eastAsia="zh-CN"/>
        </w:rPr>
        <w:t>Chairman’s Notes RAN1#10</w:t>
      </w:r>
      <w:r w:rsidR="00F61D6A">
        <w:rPr>
          <w:bCs/>
          <w:sz w:val="20"/>
          <w:szCs w:val="20"/>
          <w:lang w:eastAsia="zh-CN"/>
        </w:rPr>
        <w:t>4b</w:t>
      </w:r>
      <w:r w:rsidRPr="00410281">
        <w:rPr>
          <w:bCs/>
          <w:sz w:val="20"/>
          <w:szCs w:val="20"/>
          <w:lang w:eastAsia="zh-CN"/>
        </w:rPr>
        <w:t>-e final</w:t>
      </w:r>
    </w:p>
    <w:p w14:paraId="5936B27C" w14:textId="77777777" w:rsidR="0091063F" w:rsidRDefault="0091063F" w:rsidP="0091063F">
      <w:pPr>
        <w:pStyle w:val="ListParagraph"/>
        <w:ind w:left="420"/>
        <w:rPr>
          <w:bCs/>
          <w:sz w:val="20"/>
          <w:szCs w:val="20"/>
          <w:lang w:eastAsia="zh-CN"/>
        </w:rPr>
      </w:pPr>
    </w:p>
    <w:p w14:paraId="7CCB2BAB" w14:textId="77777777" w:rsidR="002F0C08" w:rsidRPr="00410281" w:rsidRDefault="002F0C08" w:rsidP="002F0C08">
      <w:pPr>
        <w:pStyle w:val="ListParagraph"/>
        <w:ind w:left="420"/>
        <w:rPr>
          <w:bCs/>
          <w:sz w:val="20"/>
          <w:szCs w:val="20"/>
          <w:lang w:eastAsia="zh-CN"/>
        </w:rPr>
      </w:pPr>
    </w:p>
    <w:bookmarkEnd w:id="2"/>
    <w:bookmarkEnd w:id="3"/>
    <w:bookmarkEnd w:id="4"/>
    <w:p w14:paraId="4432B62A" w14:textId="77777777" w:rsidR="004809E3" w:rsidRDefault="004809E3" w:rsidP="008E412C">
      <w:pPr>
        <w:rPr>
          <w:sz w:val="20"/>
          <w:szCs w:val="20"/>
          <w:lang w:eastAsia="zh-CN"/>
        </w:rPr>
      </w:pPr>
    </w:p>
    <w:sectPr w:rsidR="004809E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972E" w14:textId="77777777" w:rsidR="007651D7" w:rsidRDefault="007651D7">
      <w:r>
        <w:separator/>
      </w:r>
    </w:p>
  </w:endnote>
  <w:endnote w:type="continuationSeparator" w:id="0">
    <w:p w14:paraId="319332C6" w14:textId="77777777" w:rsidR="007651D7" w:rsidRDefault="007651D7">
      <w:r>
        <w:continuationSeparator/>
      </w:r>
    </w:p>
  </w:endnote>
  <w:endnote w:type="continuationNotice" w:id="1">
    <w:p w14:paraId="30E7FDF4" w14:textId="77777777" w:rsidR="007651D7" w:rsidRDefault="00765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52C50" w14:textId="77777777" w:rsidR="007651D7" w:rsidRDefault="007651D7">
      <w:r>
        <w:separator/>
      </w:r>
    </w:p>
  </w:footnote>
  <w:footnote w:type="continuationSeparator" w:id="0">
    <w:p w14:paraId="5C441C2D" w14:textId="77777777" w:rsidR="007651D7" w:rsidRDefault="007651D7">
      <w:r>
        <w:continuationSeparator/>
      </w:r>
    </w:p>
  </w:footnote>
  <w:footnote w:type="continuationNotice" w:id="1">
    <w:p w14:paraId="7BD08A1A" w14:textId="77777777" w:rsidR="007651D7" w:rsidRDefault="00765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51117"/>
    <w:multiLevelType w:val="hybridMultilevel"/>
    <w:tmpl w:val="9D88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4"/>
  </w:num>
  <w:num w:numId="4">
    <w:abstractNumId w:val="16"/>
  </w:num>
  <w:num w:numId="5">
    <w:abstractNumId w:val="8"/>
  </w:num>
  <w:num w:numId="6">
    <w:abstractNumId w:val="20"/>
  </w:num>
  <w:num w:numId="7">
    <w:abstractNumId w:val="29"/>
  </w:num>
  <w:num w:numId="8">
    <w:abstractNumId w:val="9"/>
  </w:num>
  <w:num w:numId="9">
    <w:abstractNumId w:val="24"/>
  </w:num>
  <w:num w:numId="10">
    <w:abstractNumId w:val="31"/>
  </w:num>
  <w:num w:numId="11">
    <w:abstractNumId w:val="13"/>
  </w:num>
  <w:num w:numId="12">
    <w:abstractNumId w:val="11"/>
  </w:num>
  <w:num w:numId="13">
    <w:abstractNumId w:val="3"/>
  </w:num>
  <w:num w:numId="14">
    <w:abstractNumId w:val="32"/>
  </w:num>
  <w:num w:numId="15">
    <w:abstractNumId w:val="12"/>
  </w:num>
  <w:num w:numId="16">
    <w:abstractNumId w:val="5"/>
  </w:num>
  <w:num w:numId="17">
    <w:abstractNumId w:val="26"/>
  </w:num>
  <w:num w:numId="18">
    <w:abstractNumId w:val="0"/>
  </w:num>
  <w:num w:numId="19">
    <w:abstractNumId w:val="7"/>
  </w:num>
  <w:num w:numId="20">
    <w:abstractNumId w:val="22"/>
  </w:num>
  <w:num w:numId="21">
    <w:abstractNumId w:val="10"/>
  </w:num>
  <w:num w:numId="22">
    <w:abstractNumId w:val="33"/>
  </w:num>
  <w:num w:numId="23">
    <w:abstractNumId w:val="18"/>
  </w:num>
  <w:num w:numId="24">
    <w:abstractNumId w:val="30"/>
  </w:num>
  <w:num w:numId="25">
    <w:abstractNumId w:val="1"/>
  </w:num>
  <w:num w:numId="26">
    <w:abstractNumId w:val="17"/>
  </w:num>
  <w:num w:numId="27">
    <w:abstractNumId w:val="25"/>
  </w:num>
  <w:num w:numId="28">
    <w:abstractNumId w:val="27"/>
  </w:num>
  <w:num w:numId="29">
    <w:abstractNumId w:val="6"/>
  </w:num>
  <w:num w:numId="30">
    <w:abstractNumId w:val="15"/>
  </w:num>
  <w:num w:numId="31">
    <w:abstractNumId w:val="21"/>
  </w:num>
  <w:num w:numId="32">
    <w:abstractNumId w:val="28"/>
  </w:num>
  <w:num w:numId="33">
    <w:abstractNumId w:val="4"/>
  </w:num>
  <w:num w:numId="34">
    <w:abstractNumId w:val="19"/>
  </w:num>
  <w:num w:numId="35">
    <w:abstractNumId w:val="2"/>
  </w:num>
  <w:num w:numId="36">
    <w:abstractNumId w:val="2"/>
  </w:num>
  <w:num w:numId="37">
    <w:abstractNumId w:val="2"/>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0EFB"/>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2E"/>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BFC"/>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D62"/>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2F"/>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341"/>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59E"/>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B7920"/>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3D0"/>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CA3"/>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0F8C"/>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29"/>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67"/>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87E"/>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E74"/>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14A"/>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3C06"/>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1D7"/>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268"/>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A0E"/>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C27"/>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3FE"/>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091"/>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794"/>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1E09"/>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AAD"/>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25"/>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B90"/>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1E7"/>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7C"/>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1D6A"/>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874"/>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41B71"/>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519</TotalTime>
  <Pages>4</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133</cp:revision>
  <cp:lastPrinted>2019-05-08T01:41:00Z</cp:lastPrinted>
  <dcterms:created xsi:type="dcterms:W3CDTF">2020-08-07T04:23:00Z</dcterms:created>
  <dcterms:modified xsi:type="dcterms:W3CDTF">2021-10-01T20:36:00Z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