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D14AB" w14:textId="7F6B579B" w:rsidR="00872977" w:rsidRPr="00DA12F7" w:rsidRDefault="00872977" w:rsidP="00872977">
      <w:pPr>
        <w:tabs>
          <w:tab w:val="right" w:pos="9630"/>
        </w:tabs>
        <w:spacing w:after="0"/>
      </w:pPr>
      <w:r w:rsidRPr="00C80A6E">
        <w:rPr>
          <w:rFonts w:ascii="Arial" w:hAnsi="Arial" w:cs="Arial"/>
          <w:b/>
          <w:sz w:val="24"/>
        </w:rPr>
        <w:t>3GPP TSG RAN WG1 Meeting #</w:t>
      </w:r>
      <w:r w:rsidR="00462C83" w:rsidRPr="00462C83">
        <w:rPr>
          <w:rFonts w:ascii="Arial" w:hAnsi="Arial" w:cs="Arial"/>
          <w:b/>
          <w:sz w:val="24"/>
        </w:rPr>
        <w:t>106-bis-e</w:t>
      </w:r>
      <w:r w:rsidRPr="00C80A6E">
        <w:rPr>
          <w:rFonts w:ascii="Arial" w:hAnsi="Arial" w:cs="Arial"/>
          <w:b/>
          <w:sz w:val="24"/>
        </w:rPr>
        <w:tab/>
      </w:r>
      <w:r w:rsidR="00814CBC" w:rsidRPr="00814CBC">
        <w:rPr>
          <w:rFonts w:ascii="Arial" w:hAnsi="Arial" w:cs="Arial"/>
          <w:b/>
          <w:sz w:val="24"/>
        </w:rPr>
        <w:t>R1-210</w:t>
      </w:r>
      <w:r w:rsidR="00DD71A9">
        <w:rPr>
          <w:rFonts w:ascii="Arial" w:hAnsi="Arial" w:cs="Arial"/>
          <w:b/>
          <w:sz w:val="24"/>
        </w:rPr>
        <w:t>9937</w:t>
      </w:r>
    </w:p>
    <w:p w14:paraId="7DCEDB54" w14:textId="30896BA3" w:rsidR="00872977" w:rsidRPr="00DA12F7" w:rsidRDefault="00872977" w:rsidP="00872977">
      <w:pPr>
        <w:tabs>
          <w:tab w:val="right" w:pos="9630"/>
        </w:tabs>
        <w:spacing w:after="0"/>
        <w:rPr>
          <w:rFonts w:ascii="Arial" w:hAnsi="Arial" w:cs="Arial"/>
          <w:b/>
          <w:sz w:val="24"/>
          <w:szCs w:val="24"/>
        </w:rPr>
      </w:pPr>
      <w:r>
        <w:rPr>
          <w:rFonts w:ascii="Arial" w:hAnsi="Arial" w:cs="Arial"/>
          <w:b/>
          <w:sz w:val="24"/>
          <w:szCs w:val="24"/>
        </w:rPr>
        <w:t xml:space="preserve">e-Meeting, </w:t>
      </w:r>
      <w:r w:rsidR="00462C83" w:rsidRPr="00462C83">
        <w:rPr>
          <w:rFonts w:ascii="Arial" w:hAnsi="Arial" w:cs="Arial"/>
          <w:b/>
          <w:sz w:val="24"/>
          <w:szCs w:val="24"/>
        </w:rPr>
        <w:t>October 11th – 19th 2021</w:t>
      </w:r>
    </w:p>
    <w:p w14:paraId="03C1256C" w14:textId="77777777" w:rsidR="00872977" w:rsidRPr="00E624D8" w:rsidRDefault="00872977" w:rsidP="00872977">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23C5561C" w14:textId="77777777" w:rsidR="00872977" w:rsidRPr="00ED3068" w:rsidRDefault="00872977" w:rsidP="00872977">
      <w:pPr>
        <w:tabs>
          <w:tab w:val="left" w:pos="1985"/>
        </w:tabs>
        <w:rPr>
          <w:rFonts w:ascii="Arial" w:hAnsi="Arial"/>
          <w:color w:val="FF0000"/>
          <w:sz w:val="24"/>
        </w:rPr>
      </w:pPr>
      <w:r w:rsidRPr="00E624D8">
        <w:rPr>
          <w:rFonts w:ascii="Arial" w:hAnsi="Arial"/>
          <w:b/>
          <w:sz w:val="24"/>
        </w:rPr>
        <w:t>Agenda item:</w:t>
      </w:r>
      <w:bookmarkStart w:id="0" w:name="Source"/>
      <w:bookmarkEnd w:id="0"/>
      <w:r w:rsidRPr="00E624D8">
        <w:rPr>
          <w:rFonts w:ascii="Arial" w:hAnsi="Arial"/>
          <w:sz w:val="24"/>
        </w:rPr>
        <w:tab/>
      </w:r>
      <w:r>
        <w:rPr>
          <w:rFonts w:ascii="Arial" w:hAnsi="Arial"/>
          <w:sz w:val="24"/>
        </w:rPr>
        <w:t>8.10.2</w:t>
      </w:r>
    </w:p>
    <w:p w14:paraId="64853AA6" w14:textId="77777777" w:rsidR="00872977" w:rsidRPr="006E610E" w:rsidRDefault="00872977" w:rsidP="00872977">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Pr="00F4150B">
        <w:rPr>
          <w:rFonts w:ascii="Arial" w:hAnsi="Arial"/>
          <w:sz w:val="24"/>
          <w:szCs w:val="24"/>
        </w:rPr>
        <w:t>Lenovo, Motorola Mobility</w:t>
      </w:r>
    </w:p>
    <w:p w14:paraId="6627E145" w14:textId="5713FAF3" w:rsidR="00872977" w:rsidRPr="0044166C" w:rsidRDefault="00872977" w:rsidP="00872977">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rPr>
        <w:tab/>
      </w:r>
      <w:r w:rsidR="00B20DA9">
        <w:rPr>
          <w:rFonts w:ascii="Arial" w:hAnsi="Arial"/>
          <w:sz w:val="24"/>
          <w:szCs w:val="24"/>
        </w:rPr>
        <w:t>Timing, interference, and power control in enhanced</w:t>
      </w:r>
      <w:r w:rsidRPr="00F4150B">
        <w:rPr>
          <w:rFonts w:ascii="Arial" w:hAnsi="Arial"/>
          <w:sz w:val="24"/>
          <w:szCs w:val="24"/>
        </w:rPr>
        <w:t xml:space="preserve"> IAB systems</w:t>
      </w:r>
    </w:p>
    <w:p w14:paraId="22FA14A5" w14:textId="77777777" w:rsidR="00872977" w:rsidRPr="00CC27F5" w:rsidRDefault="00872977" w:rsidP="00872977">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6EF6CC17" w14:textId="1FA88A99" w:rsidR="00872977" w:rsidRDefault="00872977" w:rsidP="00872977">
      <w:pPr>
        <w:pStyle w:val="Heading1"/>
      </w:pPr>
      <w:r w:rsidRPr="00CC27F5">
        <w:tab/>
        <w:t>Introduction</w:t>
      </w:r>
    </w:p>
    <w:p w14:paraId="5ADB4AE1" w14:textId="3CA683D1" w:rsidR="00872977" w:rsidRPr="00B64FBD" w:rsidRDefault="00872977" w:rsidP="00872977">
      <w:r>
        <w:t>In a companion paper</w:t>
      </w:r>
      <w:r w:rsidR="009B35E6">
        <w:t xml:space="preserve"> </w:t>
      </w:r>
      <w:r w:rsidR="009B35E6">
        <w:fldChar w:fldCharType="begin"/>
      </w:r>
      <w:r w:rsidR="009B35E6">
        <w:instrText xml:space="preserve"> REF _Ref54187073 \r \h </w:instrText>
      </w:r>
      <w:r w:rsidR="009B35E6">
        <w:fldChar w:fldCharType="separate"/>
      </w:r>
      <w:r w:rsidR="009B35E6">
        <w:rPr>
          <w:cs/>
        </w:rPr>
        <w:t>‎</w:t>
      </w:r>
      <w:r w:rsidR="009B35E6">
        <w:t>[1]</w:t>
      </w:r>
      <w:r w:rsidR="009B35E6">
        <w:fldChar w:fldCharType="end"/>
      </w:r>
      <w:r>
        <w:t xml:space="preserve">, we provide our views on </w:t>
      </w:r>
      <w:r w:rsidR="00C113FE">
        <w:t>r</w:t>
      </w:r>
      <w:r w:rsidR="00C113FE" w:rsidRPr="00C113FE">
        <w:t>esource multiplexing in eIAB systems</w:t>
      </w:r>
      <w:r>
        <w:t xml:space="preserve">. In this paper, </w:t>
      </w:r>
      <w:r w:rsidR="00B92627">
        <w:t xml:space="preserve">we discuss enabling </w:t>
      </w:r>
      <w:r w:rsidR="007D7F79">
        <w:t>features such as timing alignment, power control, and interference management</w:t>
      </w:r>
      <w:r>
        <w:t>.</w:t>
      </w:r>
    </w:p>
    <w:p w14:paraId="29D46FC2" w14:textId="4B78D83C" w:rsidR="00872977" w:rsidRDefault="00872977" w:rsidP="00872977">
      <w:pPr>
        <w:pStyle w:val="Heading1"/>
        <w:jc w:val="both"/>
      </w:pPr>
      <w:r w:rsidRPr="00CC27F5">
        <w:tab/>
      </w:r>
      <w:r>
        <w:t>Discussion</w:t>
      </w:r>
    </w:p>
    <w:p w14:paraId="55D02D08" w14:textId="31BC4B7B" w:rsidR="00872977" w:rsidRDefault="00872977" w:rsidP="00872977">
      <w:pPr>
        <w:pStyle w:val="Heading2"/>
      </w:pPr>
      <w:r w:rsidRPr="00CC27F5">
        <w:tab/>
      </w:r>
      <w:r>
        <w:t>Timing alignment</w:t>
      </w:r>
    </w:p>
    <w:p w14:paraId="25F3FCA3" w14:textId="56C19162" w:rsidR="005E399C" w:rsidRDefault="004706EF" w:rsidP="00350501">
      <w:pPr>
        <w:rPr>
          <w:lang w:val="en-GB"/>
        </w:rPr>
      </w:pPr>
      <w:bookmarkStart w:id="2" w:name="_Hlk84018083"/>
      <w:r>
        <w:rPr>
          <w:lang w:val="en-GB"/>
        </w:rPr>
        <w:t>T</w:t>
      </w:r>
      <w:r w:rsidR="005E399C">
        <w:rPr>
          <w:lang w:val="en-GB"/>
        </w:rPr>
        <w:t xml:space="preserve">he following </w:t>
      </w:r>
      <w:r w:rsidR="001141C4">
        <w:rPr>
          <w:lang w:val="en-GB"/>
        </w:rPr>
        <w:t>was agreed</w:t>
      </w:r>
      <w:r w:rsidR="005E399C">
        <w:rPr>
          <w:lang w:val="en-GB"/>
        </w:rPr>
        <w:t xml:space="preserve"> </w:t>
      </w:r>
      <w:r>
        <w:rPr>
          <w:lang w:val="en-GB"/>
        </w:rPr>
        <w:t xml:space="preserve">on </w:t>
      </w:r>
      <w:r w:rsidR="00A35DED">
        <w:rPr>
          <w:lang w:val="en-GB"/>
        </w:rPr>
        <w:t xml:space="preserve">Case 6 </w:t>
      </w:r>
      <w:r w:rsidR="00314552">
        <w:rPr>
          <w:lang w:val="en-GB"/>
        </w:rPr>
        <w:t xml:space="preserve">and Case 7 </w:t>
      </w:r>
      <w:r w:rsidR="00A35DED">
        <w:rPr>
          <w:lang w:val="en-GB"/>
        </w:rPr>
        <w:t>timing</w:t>
      </w:r>
      <w:r>
        <w:rPr>
          <w:lang w:val="en-GB"/>
        </w:rPr>
        <w:t xml:space="preserve"> alignment </w:t>
      </w:r>
      <w:r w:rsidR="005F4A44">
        <w:rPr>
          <w:lang w:val="en-GB"/>
        </w:rPr>
        <w:t>in the previous meeting</w:t>
      </w:r>
      <w:r>
        <w:rPr>
          <w:lang w:val="en-GB"/>
        </w:rPr>
        <w:t xml:space="preserve"> </w:t>
      </w:r>
      <w:r w:rsidR="005F4A44">
        <w:rPr>
          <w:lang w:val="en-GB"/>
        </w:rPr>
        <w:fldChar w:fldCharType="begin"/>
      </w:r>
      <w:r w:rsidR="005F4A44">
        <w:rPr>
          <w:lang w:val="en-GB"/>
        </w:rPr>
        <w:instrText xml:space="preserve"> REF _Ref83991124 \r \h </w:instrText>
      </w:r>
      <w:r w:rsidR="005F4A44">
        <w:rPr>
          <w:lang w:val="en-GB"/>
        </w:rPr>
      </w:r>
      <w:r w:rsidR="005F4A44">
        <w:rPr>
          <w:lang w:val="en-GB"/>
        </w:rPr>
        <w:fldChar w:fldCharType="separate"/>
      </w:r>
      <w:r w:rsidR="005F4A44">
        <w:rPr>
          <w:cs/>
          <w:lang w:val="en-GB"/>
        </w:rPr>
        <w:t>‎</w:t>
      </w:r>
      <w:r w:rsidR="005F4A44">
        <w:rPr>
          <w:lang w:val="en-GB"/>
        </w:rPr>
        <w:t>[3]</w:t>
      </w:r>
      <w:r w:rsidR="005F4A44">
        <w:rPr>
          <w:lang w:val="en-GB"/>
        </w:rPr>
        <w:fldChar w:fldCharType="end"/>
      </w:r>
      <w:r w:rsidR="005E399C">
        <w:rPr>
          <w:lang w:val="en-GB"/>
        </w:rPr>
        <w:t>:</w:t>
      </w:r>
    </w:p>
    <w:p w14:paraId="5C868A64" w14:textId="77777777" w:rsidR="008F1E38" w:rsidRPr="001141C4" w:rsidRDefault="008F1E38" w:rsidP="008F1E38">
      <w:pPr>
        <w:adjustRightInd w:val="0"/>
        <w:snapToGrid w:val="0"/>
        <w:spacing w:before="240" w:after="0"/>
        <w:ind w:left="1267" w:hanging="1267"/>
        <w:jc w:val="both"/>
        <w:rPr>
          <w:rFonts w:asciiTheme="majorBidi" w:hAnsiTheme="majorBidi" w:cstheme="majorBidi"/>
          <w:b/>
          <w:szCs w:val="20"/>
          <w:highlight w:val="green"/>
        </w:rPr>
      </w:pPr>
      <w:r w:rsidRPr="001141C4">
        <w:rPr>
          <w:rFonts w:asciiTheme="majorBidi" w:hAnsiTheme="majorBidi" w:cstheme="majorBidi"/>
          <w:b/>
          <w:szCs w:val="20"/>
          <w:highlight w:val="green"/>
        </w:rPr>
        <w:t>Agreement</w:t>
      </w:r>
    </w:p>
    <w:p w14:paraId="307811DE" w14:textId="77777777" w:rsidR="008F1E38" w:rsidRPr="001141C4" w:rsidRDefault="008F1E38" w:rsidP="008F1E38">
      <w:pPr>
        <w:rPr>
          <w:rFonts w:asciiTheme="majorBidi" w:hAnsiTheme="majorBidi" w:cstheme="majorBidi"/>
          <w:szCs w:val="20"/>
        </w:rPr>
      </w:pPr>
      <w:r w:rsidRPr="001141C4">
        <w:rPr>
          <w:rFonts w:asciiTheme="majorBidi" w:hAnsiTheme="majorBidi" w:cstheme="majorBidi"/>
          <w:szCs w:val="20"/>
        </w:rPr>
        <w:t>For Case 6 timing at a given IAB-node, the IAB-MT Tx timing is set by the node to the timing obtained for the node’s DL Tx.</w:t>
      </w:r>
    </w:p>
    <w:p w14:paraId="09524EF0" w14:textId="77777777" w:rsidR="008F1E38" w:rsidRPr="001141C4" w:rsidRDefault="008F1E38" w:rsidP="008F1E38">
      <w:pPr>
        <w:pStyle w:val="ListParagraph"/>
        <w:numPr>
          <w:ilvl w:val="0"/>
          <w:numId w:val="20"/>
        </w:numPr>
        <w:spacing w:before="0" w:after="0" w:line="240" w:lineRule="auto"/>
        <w:textAlignment w:val="baseline"/>
        <w:rPr>
          <w:rFonts w:asciiTheme="majorBidi" w:hAnsiTheme="majorBidi" w:cstheme="majorBidi"/>
        </w:rPr>
      </w:pPr>
      <w:r w:rsidRPr="001141C4">
        <w:rPr>
          <w:rFonts w:asciiTheme="majorBidi" w:hAnsiTheme="majorBidi" w:cstheme="majorBidi"/>
        </w:rPr>
        <w:t>FFS: Need for additional details with reference to support of OTA synchronization (e.g. T_delta)</w:t>
      </w:r>
    </w:p>
    <w:p w14:paraId="78A0B30E" w14:textId="77777777" w:rsidR="00314552" w:rsidRPr="001141C4" w:rsidRDefault="00314552" w:rsidP="00314552">
      <w:pPr>
        <w:adjustRightInd w:val="0"/>
        <w:snapToGrid w:val="0"/>
        <w:spacing w:before="240" w:after="0"/>
        <w:ind w:left="1267" w:hanging="1267"/>
        <w:jc w:val="both"/>
        <w:rPr>
          <w:rFonts w:asciiTheme="majorBidi" w:hAnsiTheme="majorBidi" w:cstheme="majorBidi"/>
          <w:b/>
          <w:szCs w:val="20"/>
          <w:highlight w:val="green"/>
        </w:rPr>
      </w:pPr>
      <w:r w:rsidRPr="001141C4">
        <w:rPr>
          <w:rFonts w:asciiTheme="majorBidi" w:hAnsiTheme="majorBidi" w:cstheme="majorBidi"/>
          <w:b/>
          <w:szCs w:val="20"/>
          <w:highlight w:val="green"/>
        </w:rPr>
        <w:t>Agreement</w:t>
      </w:r>
    </w:p>
    <w:p w14:paraId="48020B9C" w14:textId="77777777" w:rsidR="00314552" w:rsidRPr="001141C4" w:rsidRDefault="00314552" w:rsidP="00314552">
      <w:pPr>
        <w:rPr>
          <w:rFonts w:asciiTheme="majorBidi" w:hAnsiTheme="majorBidi" w:cstheme="majorBidi"/>
          <w:color w:val="000000"/>
          <w:szCs w:val="20"/>
        </w:rPr>
      </w:pPr>
      <w:r w:rsidRPr="001141C4">
        <w:rPr>
          <w:rFonts w:asciiTheme="majorBidi" w:hAnsiTheme="majorBidi" w:cstheme="majorBidi"/>
          <w:color w:val="000000"/>
          <w:szCs w:val="20"/>
        </w:rPr>
        <w:t>For Case 7 timing at a parent node, the IAB-MT Tx timing of the node is obtained via the legacy TA loop plus an offset from the parent node.</w:t>
      </w:r>
    </w:p>
    <w:p w14:paraId="11842C54" w14:textId="77777777" w:rsidR="00314552" w:rsidRPr="001141C4" w:rsidRDefault="00314552" w:rsidP="00314552">
      <w:pPr>
        <w:pStyle w:val="ListParagraph"/>
        <w:numPr>
          <w:ilvl w:val="0"/>
          <w:numId w:val="21"/>
        </w:numPr>
        <w:spacing w:before="0" w:after="0" w:line="240" w:lineRule="auto"/>
        <w:rPr>
          <w:rFonts w:asciiTheme="majorBidi" w:hAnsiTheme="majorBidi" w:cstheme="majorBidi"/>
          <w:color w:val="000000"/>
        </w:rPr>
      </w:pPr>
      <w:r w:rsidRPr="001141C4">
        <w:rPr>
          <w:rFonts w:asciiTheme="majorBidi" w:hAnsiTheme="majorBidi" w:cstheme="majorBidi"/>
          <w:color w:val="000000"/>
        </w:rPr>
        <w:t>FFS range, granularity, and signaling details of the offset.</w:t>
      </w:r>
    </w:p>
    <w:p w14:paraId="01972393" w14:textId="77777777" w:rsidR="00314552" w:rsidRPr="00314552" w:rsidRDefault="00314552" w:rsidP="00314552">
      <w:pPr>
        <w:adjustRightInd w:val="0"/>
        <w:snapToGrid w:val="0"/>
        <w:spacing w:before="240" w:after="0"/>
        <w:ind w:left="1267" w:hanging="1267"/>
        <w:jc w:val="both"/>
        <w:rPr>
          <w:rFonts w:asciiTheme="majorBidi" w:hAnsiTheme="majorBidi" w:cstheme="majorBidi"/>
          <w:b/>
          <w:szCs w:val="20"/>
          <w:highlight w:val="green"/>
        </w:rPr>
      </w:pPr>
      <w:r w:rsidRPr="00314552">
        <w:rPr>
          <w:rFonts w:asciiTheme="majorBidi" w:hAnsiTheme="majorBidi" w:cstheme="majorBidi"/>
          <w:b/>
          <w:szCs w:val="20"/>
          <w:highlight w:val="green"/>
        </w:rPr>
        <w:t>Agreement</w:t>
      </w:r>
    </w:p>
    <w:p w14:paraId="1E3C7481" w14:textId="77777777" w:rsidR="00314552" w:rsidRPr="00314552" w:rsidRDefault="00314552" w:rsidP="00314552">
      <w:pPr>
        <w:rPr>
          <w:rFonts w:asciiTheme="majorBidi" w:hAnsiTheme="majorBidi" w:cstheme="majorBidi"/>
          <w:szCs w:val="20"/>
          <w:lang w:eastAsia="ja-JP"/>
        </w:rPr>
      </w:pPr>
      <w:r w:rsidRPr="00314552">
        <w:rPr>
          <w:rFonts w:asciiTheme="majorBidi" w:hAnsiTheme="majorBidi" w:cstheme="majorBidi"/>
          <w:szCs w:val="20"/>
          <w:lang w:eastAsia="ja-JP"/>
        </w:rPr>
        <w:t>An IAB-node is explicitly indicated by the parent node when Case 6 timing is performed at</w:t>
      </w:r>
      <w:r w:rsidRPr="00314552">
        <w:rPr>
          <w:rStyle w:val="apple-converted-space"/>
          <w:rFonts w:asciiTheme="majorBidi" w:hAnsiTheme="majorBidi" w:cstheme="majorBidi"/>
          <w:szCs w:val="20"/>
          <w:lang w:eastAsia="ja-JP"/>
        </w:rPr>
        <w:t> </w:t>
      </w:r>
      <w:r w:rsidRPr="00314552">
        <w:rPr>
          <w:rFonts w:asciiTheme="majorBidi" w:hAnsiTheme="majorBidi" w:cstheme="majorBidi"/>
          <w:szCs w:val="20"/>
          <w:lang w:eastAsia="ja-JP"/>
        </w:rPr>
        <w:t>the IAB-node at least for specific time resources.</w:t>
      </w:r>
    </w:p>
    <w:p w14:paraId="104E31E3" w14:textId="77777777" w:rsidR="00314552" w:rsidRPr="00314552" w:rsidRDefault="00314552" w:rsidP="00314552">
      <w:pPr>
        <w:pStyle w:val="ListParagraph"/>
        <w:numPr>
          <w:ilvl w:val="0"/>
          <w:numId w:val="24"/>
        </w:numPr>
        <w:overflowPunct w:val="0"/>
        <w:autoSpaceDE w:val="0"/>
        <w:autoSpaceDN w:val="0"/>
        <w:adjustRightInd w:val="0"/>
        <w:spacing w:before="0" w:after="180" w:line="240" w:lineRule="auto"/>
        <w:textAlignment w:val="baseline"/>
        <w:rPr>
          <w:rFonts w:asciiTheme="majorBidi" w:hAnsiTheme="majorBidi" w:cstheme="majorBidi"/>
        </w:rPr>
      </w:pPr>
      <w:r w:rsidRPr="00314552">
        <w:rPr>
          <w:rFonts w:asciiTheme="majorBidi" w:hAnsiTheme="majorBidi" w:cstheme="majorBidi"/>
        </w:rPr>
        <w:t>FFS: whether the indication should be associated with another dimensions, e.g. multiplexing cases</w:t>
      </w:r>
    </w:p>
    <w:p w14:paraId="22DC9936" w14:textId="77777777" w:rsidR="00314552" w:rsidRPr="00314552" w:rsidRDefault="00314552" w:rsidP="00314552">
      <w:pPr>
        <w:pStyle w:val="ListParagraph"/>
        <w:numPr>
          <w:ilvl w:val="0"/>
          <w:numId w:val="24"/>
        </w:numPr>
        <w:overflowPunct w:val="0"/>
        <w:autoSpaceDE w:val="0"/>
        <w:autoSpaceDN w:val="0"/>
        <w:adjustRightInd w:val="0"/>
        <w:spacing w:before="0" w:after="180" w:line="240" w:lineRule="auto"/>
        <w:textAlignment w:val="baseline"/>
        <w:rPr>
          <w:rFonts w:asciiTheme="majorBidi" w:hAnsiTheme="majorBidi" w:cstheme="majorBidi"/>
        </w:rPr>
      </w:pPr>
      <w:r w:rsidRPr="00314552">
        <w:rPr>
          <w:rFonts w:asciiTheme="majorBidi" w:hAnsiTheme="majorBidi" w:cstheme="majorBidi"/>
        </w:rPr>
        <w:t>FFS whether an IAB-node is explicitly indicated by the parent node when Case 7 timing is performed at the IAB-node.</w:t>
      </w:r>
    </w:p>
    <w:p w14:paraId="03EE703E" w14:textId="77777777" w:rsidR="00314552" w:rsidRPr="00314552" w:rsidRDefault="00314552" w:rsidP="00314552">
      <w:pPr>
        <w:rPr>
          <w:rFonts w:asciiTheme="majorBidi" w:hAnsiTheme="majorBidi" w:cstheme="majorBidi"/>
          <w:b/>
          <w:bCs/>
          <w:szCs w:val="20"/>
          <w:u w:val="single"/>
        </w:rPr>
      </w:pPr>
      <w:r w:rsidRPr="00314552">
        <w:rPr>
          <w:rFonts w:asciiTheme="majorBidi" w:hAnsiTheme="majorBidi" w:cstheme="majorBidi"/>
          <w:b/>
          <w:bCs/>
          <w:szCs w:val="20"/>
          <w:u w:val="single"/>
        </w:rPr>
        <w:t>Conclusion</w:t>
      </w:r>
    </w:p>
    <w:p w14:paraId="6D54BE85" w14:textId="77777777" w:rsidR="00314552" w:rsidRPr="00314552" w:rsidRDefault="00314552" w:rsidP="00314552">
      <w:pPr>
        <w:rPr>
          <w:rFonts w:asciiTheme="majorBidi" w:hAnsiTheme="majorBidi" w:cstheme="majorBidi"/>
          <w:szCs w:val="20"/>
          <w:lang w:eastAsia="ja-JP"/>
        </w:rPr>
      </w:pPr>
      <w:r w:rsidRPr="00314552">
        <w:rPr>
          <w:rFonts w:asciiTheme="majorBidi" w:hAnsiTheme="majorBidi" w:cstheme="majorBidi"/>
          <w:szCs w:val="20"/>
          <w:lang w:eastAsia="ja-JP"/>
        </w:rPr>
        <w:t>Details on the design of the indication of when Case 6 timing (and Case 7 timing, if agreed) is performed at the IAB-node are to be discussed under 8.10.1.  </w:t>
      </w:r>
      <w:r w:rsidRPr="00314552">
        <w:rPr>
          <w:rStyle w:val="apple-converted-space"/>
          <w:rFonts w:asciiTheme="majorBidi" w:hAnsiTheme="majorBidi" w:cstheme="majorBidi"/>
          <w:szCs w:val="20"/>
          <w:lang w:eastAsia="ja-JP"/>
        </w:rPr>
        <w:t> </w:t>
      </w:r>
    </w:p>
    <w:p w14:paraId="7F6D5FE0" w14:textId="77777777" w:rsidR="00314552" w:rsidRPr="00314552" w:rsidRDefault="00314552" w:rsidP="00314552">
      <w:pPr>
        <w:adjustRightInd w:val="0"/>
        <w:snapToGrid w:val="0"/>
        <w:spacing w:before="240" w:after="0"/>
        <w:ind w:left="1267" w:hanging="1267"/>
        <w:jc w:val="both"/>
        <w:rPr>
          <w:rFonts w:asciiTheme="majorBidi" w:hAnsiTheme="majorBidi" w:cstheme="majorBidi"/>
          <w:b/>
          <w:szCs w:val="20"/>
          <w:highlight w:val="green"/>
        </w:rPr>
      </w:pPr>
      <w:r w:rsidRPr="00314552">
        <w:rPr>
          <w:rFonts w:asciiTheme="majorBidi" w:hAnsiTheme="majorBidi" w:cstheme="majorBidi"/>
          <w:b/>
          <w:szCs w:val="20"/>
          <w:highlight w:val="green"/>
        </w:rPr>
        <w:t>Agreement</w:t>
      </w:r>
    </w:p>
    <w:p w14:paraId="2204061E" w14:textId="77777777" w:rsidR="00314552" w:rsidRPr="00314552" w:rsidRDefault="00314552" w:rsidP="00314552">
      <w:pPr>
        <w:rPr>
          <w:rFonts w:asciiTheme="majorBidi" w:hAnsiTheme="majorBidi" w:cstheme="majorBidi"/>
          <w:szCs w:val="20"/>
          <w:lang w:eastAsia="ja-JP"/>
        </w:rPr>
      </w:pPr>
      <w:r w:rsidRPr="00314552">
        <w:rPr>
          <w:rFonts w:asciiTheme="majorBidi" w:hAnsiTheme="majorBidi" w:cstheme="majorBidi"/>
          <w:szCs w:val="20"/>
          <w:lang w:eastAsia="ja-JP"/>
        </w:rPr>
        <w:t>An IAB-node is explicitly indicated by the parent node when Case 7 timing is performed at the parent node.</w:t>
      </w:r>
    </w:p>
    <w:p w14:paraId="0F6B7C8D" w14:textId="77777777" w:rsidR="00314552" w:rsidRPr="00314552" w:rsidRDefault="00314552" w:rsidP="00314552">
      <w:pPr>
        <w:pStyle w:val="ListParagraph"/>
        <w:numPr>
          <w:ilvl w:val="0"/>
          <w:numId w:val="23"/>
        </w:numPr>
        <w:overflowPunct w:val="0"/>
        <w:autoSpaceDE w:val="0"/>
        <w:autoSpaceDN w:val="0"/>
        <w:adjustRightInd w:val="0"/>
        <w:spacing w:before="0" w:after="180" w:line="240" w:lineRule="auto"/>
        <w:textAlignment w:val="baseline"/>
        <w:rPr>
          <w:rFonts w:asciiTheme="majorBidi" w:hAnsiTheme="majorBidi" w:cstheme="majorBidi"/>
        </w:rPr>
      </w:pPr>
      <w:r w:rsidRPr="00314552">
        <w:rPr>
          <w:rFonts w:asciiTheme="majorBidi" w:hAnsiTheme="majorBidi" w:cstheme="majorBidi"/>
        </w:rPr>
        <w:t>FFS for signalling details</w:t>
      </w:r>
    </w:p>
    <w:p w14:paraId="39F18564" w14:textId="66D298AC" w:rsidR="00314552" w:rsidRDefault="00314552" w:rsidP="00A35DED">
      <w:pPr>
        <w:pStyle w:val="ListParagraph"/>
        <w:ind w:left="0"/>
        <w:rPr>
          <w:rFonts w:asciiTheme="majorBidi" w:hAnsiTheme="majorBidi" w:cstheme="majorBidi"/>
          <w:bCs/>
          <w:color w:val="000000"/>
          <w:szCs w:val="20"/>
        </w:rPr>
      </w:pPr>
    </w:p>
    <w:p w14:paraId="5C6F9EF9" w14:textId="77777777" w:rsidR="00314552" w:rsidRPr="00A35DED" w:rsidRDefault="00314552" w:rsidP="00314552">
      <w:pPr>
        <w:rPr>
          <w:b/>
          <w:bCs/>
          <w:u w:val="single"/>
        </w:rPr>
      </w:pPr>
      <w:r w:rsidRPr="00A35DED">
        <w:rPr>
          <w:b/>
          <w:bCs/>
          <w:u w:val="single"/>
        </w:rPr>
        <w:t>Case 6 timing alignment:</w:t>
      </w:r>
    </w:p>
    <w:p w14:paraId="2DC132A1" w14:textId="3B22F09C" w:rsidR="00A35DED" w:rsidRDefault="00A35DED" w:rsidP="00A35DED">
      <w:r>
        <w:t>Since it is agreed to set IAB-MT Tx timing to the IAB-DU Tx timing, there is no need for additional specification as IAB-DU Tx timing follows Case 1 timing alignment specified in Rel-16.</w:t>
      </w:r>
    </w:p>
    <w:p w14:paraId="4675566E" w14:textId="1526B193" w:rsidR="00A35DED" w:rsidRDefault="00A35DED" w:rsidP="00A35DED">
      <w:r>
        <w:lastRenderedPageBreak/>
        <w:t xml:space="preserve">With respect to indication signaling, dynamic indication to activate/deactivate Case 6 </w:t>
      </w:r>
      <w:r w:rsidR="0072293E">
        <w:t xml:space="preserve">timing </w:t>
      </w:r>
      <w:r>
        <w:t xml:space="preserve">is needed in order to allow IAB nodes to adapt to varying conditions for realizing multiplexing cases. </w:t>
      </w:r>
      <w:r w:rsidR="0072293E">
        <w:t xml:space="preserve">We propose </w:t>
      </w:r>
      <w:r>
        <w:t xml:space="preserve">MAC CE signaling </w:t>
      </w:r>
      <w:r w:rsidR="0072293E">
        <w:t>for reliable activation/</w:t>
      </w:r>
      <w:r w:rsidR="004D0609">
        <w:t>deactivation</w:t>
      </w:r>
      <w:r w:rsidR="0072293E">
        <w:t xml:space="preserve"> of Case 6 timing.</w:t>
      </w:r>
    </w:p>
    <w:p w14:paraId="623E741C" w14:textId="025C8A51" w:rsidR="0072293E" w:rsidRDefault="0072293E" w:rsidP="0072293E">
      <w:pPr>
        <w:pStyle w:val="Proposal"/>
      </w:pPr>
      <w:bookmarkStart w:id="3" w:name="_Toc84012629"/>
      <w:bookmarkStart w:id="4" w:name="_Toc84017960"/>
      <w:bookmarkStart w:id="5" w:name="_Toc84019201"/>
      <w:bookmarkStart w:id="6" w:name="_Toc84022332"/>
      <w:r>
        <w:t xml:space="preserve">Support MAC CE </w:t>
      </w:r>
      <w:r w:rsidR="004D0609">
        <w:t>signaling</w:t>
      </w:r>
      <w:r>
        <w:t xml:space="preserve"> for</w:t>
      </w:r>
      <w:r w:rsidRPr="0072293E">
        <w:t xml:space="preserve"> </w:t>
      </w:r>
      <w:r>
        <w:t>activation/</w:t>
      </w:r>
      <w:r w:rsidR="004D0609">
        <w:t>deactivation</w:t>
      </w:r>
      <w:r>
        <w:t xml:space="preserve"> of Case 6 timing.</w:t>
      </w:r>
      <w:bookmarkEnd w:id="3"/>
      <w:bookmarkEnd w:id="4"/>
      <w:bookmarkEnd w:id="5"/>
      <w:bookmarkEnd w:id="6"/>
    </w:p>
    <w:p w14:paraId="547039CE" w14:textId="2840C5C2" w:rsidR="00C833D5" w:rsidRPr="00C833D5" w:rsidRDefault="00C833D5" w:rsidP="00C833D5">
      <w:pPr>
        <w:rPr>
          <w:b/>
          <w:bCs/>
          <w:u w:val="single"/>
        </w:rPr>
      </w:pPr>
      <w:r w:rsidRPr="00C833D5">
        <w:rPr>
          <w:b/>
          <w:bCs/>
          <w:u w:val="single"/>
        </w:rPr>
        <w:t xml:space="preserve">Case </w:t>
      </w:r>
      <w:r>
        <w:rPr>
          <w:b/>
          <w:bCs/>
          <w:u w:val="single"/>
        </w:rPr>
        <w:t>7</w:t>
      </w:r>
      <w:r w:rsidRPr="00C833D5">
        <w:rPr>
          <w:b/>
          <w:bCs/>
          <w:u w:val="single"/>
        </w:rPr>
        <w:t xml:space="preserve"> timing alignment:</w:t>
      </w:r>
    </w:p>
    <w:p w14:paraId="21D22832" w14:textId="58A91040" w:rsidR="008E3170" w:rsidRDefault="0003611C" w:rsidP="001141C4">
      <w:r>
        <w:t>Similarly, the parent IAB node can use MAC CE signaling for activating/deactivating Case 7 timing. The message activating Case 7 timing can additionally carry an additional TA value as offset to the legacy TA value.</w:t>
      </w:r>
    </w:p>
    <w:p w14:paraId="046D5074" w14:textId="74818874" w:rsidR="0003611C" w:rsidRDefault="0003611C" w:rsidP="0003611C">
      <w:pPr>
        <w:pStyle w:val="Proposal"/>
      </w:pPr>
      <w:bookmarkStart w:id="7" w:name="_Toc84012630"/>
      <w:bookmarkStart w:id="8" w:name="_Toc84017961"/>
      <w:bookmarkStart w:id="9" w:name="_Toc84019202"/>
      <w:bookmarkStart w:id="10" w:name="_Toc84022333"/>
      <w:r>
        <w:t>Support MAC CE signaling for activation/deactivation of Case 7 timing. The activation MAC CE message can carry an additional TA value as offset to the legacy TA value.</w:t>
      </w:r>
      <w:bookmarkEnd w:id="7"/>
      <w:bookmarkEnd w:id="8"/>
      <w:bookmarkEnd w:id="9"/>
      <w:bookmarkEnd w:id="10"/>
    </w:p>
    <w:p w14:paraId="7B0ED443" w14:textId="2187E844" w:rsidR="00781C3C" w:rsidRPr="00781C3C" w:rsidRDefault="00781C3C" w:rsidP="00936544">
      <w:pPr>
        <w:rPr>
          <w:b/>
          <w:bCs/>
          <w:u w:val="single"/>
          <w:lang w:val="en-GB"/>
        </w:rPr>
      </w:pPr>
      <w:r w:rsidRPr="00781C3C">
        <w:rPr>
          <w:b/>
          <w:bCs/>
          <w:u w:val="single"/>
          <w:lang w:val="en-GB"/>
        </w:rPr>
        <w:t>RRC configuration:</w:t>
      </w:r>
    </w:p>
    <w:p w14:paraId="304CBB41" w14:textId="7D6FE0E3" w:rsidR="00936544" w:rsidRDefault="00936544" w:rsidP="00936544">
      <w:pPr>
        <w:rPr>
          <w:lang w:val="en-GB"/>
        </w:rPr>
      </w:pPr>
      <w:r>
        <w:rPr>
          <w:lang w:val="en-GB"/>
        </w:rPr>
        <w:t xml:space="preserve">In addition to dynamic </w:t>
      </w:r>
      <w:r w:rsidR="004D0609">
        <w:rPr>
          <w:lang w:val="en-GB"/>
        </w:rPr>
        <w:t>signalling</w:t>
      </w:r>
      <w:r>
        <w:rPr>
          <w:lang w:val="en-GB"/>
        </w:rPr>
        <w:t>, indicating timing alignment mode by RRC can be beneficial in some scenarios.</w:t>
      </w:r>
    </w:p>
    <w:p w14:paraId="4F6934A3" w14:textId="0AB88987" w:rsidR="00936544" w:rsidRDefault="00936544" w:rsidP="00936544">
      <w:pPr>
        <w:rPr>
          <w:lang w:val="en-GB"/>
        </w:rPr>
      </w:pPr>
      <w:r>
        <w:rPr>
          <w:lang w:val="en-GB"/>
        </w:rPr>
        <w:t>For example, Case 6 timing alignment should be applied when UL resources are configured for IAB-MT and DL resources are configured for IAB-DU; and conversely, Case 7 timing alignment should be applied when DL resources are configured for IAB-MT and UL resources are configured for IAB-DU.</w:t>
      </w:r>
    </w:p>
    <w:p w14:paraId="6480BC82" w14:textId="4EE512DA" w:rsidR="00936544" w:rsidRDefault="00936544" w:rsidP="00936544">
      <w:pPr>
        <w:rPr>
          <w:lang w:val="en-GB"/>
        </w:rPr>
      </w:pPr>
      <w:r>
        <w:rPr>
          <w:lang w:val="en-GB"/>
        </w:rPr>
        <w:t xml:space="preserve">However, in a multi-hop scenario, since timing alignment modes affect child nodes’ timing, an indication of whether Case 6 or Case 7 timing can be applied to certain time-frequency resources </w:t>
      </w:r>
      <w:r w:rsidR="008205F8">
        <w:rPr>
          <w:lang w:val="en-GB"/>
        </w:rPr>
        <w:t xml:space="preserve">can be determined by RRC in order to resolve </w:t>
      </w:r>
      <w:r w:rsidR="00E8738D">
        <w:rPr>
          <w:lang w:val="en-GB"/>
        </w:rPr>
        <w:t xml:space="preserve">timing </w:t>
      </w:r>
      <w:r w:rsidR="008205F8">
        <w:rPr>
          <w:lang w:val="en-GB"/>
        </w:rPr>
        <w:t>conflicts</w:t>
      </w:r>
      <w:r w:rsidR="00E8738D">
        <w:rPr>
          <w:lang w:val="en-GB"/>
        </w:rPr>
        <w:t xml:space="preserve"> in consecutive hops</w:t>
      </w:r>
      <w:r w:rsidR="008205F8">
        <w:rPr>
          <w:lang w:val="en-GB"/>
        </w:rPr>
        <w:t xml:space="preserve">. For example, RRC can indicate to the parent node and its child node on which resources each can activate </w:t>
      </w:r>
      <w:r w:rsidR="00526E49">
        <w:rPr>
          <w:lang w:val="en-GB"/>
        </w:rPr>
        <w:t>Case 6 or Case 7 timing modes.</w:t>
      </w:r>
    </w:p>
    <w:p w14:paraId="1D7C8594" w14:textId="77777777" w:rsidR="00526E49" w:rsidRDefault="00526E49" w:rsidP="00526E49">
      <w:pPr>
        <w:pStyle w:val="Proposal"/>
      </w:pPr>
      <w:bookmarkStart w:id="11" w:name="_Toc54333407"/>
      <w:bookmarkStart w:id="12" w:name="_Toc54334221"/>
      <w:bookmarkStart w:id="13" w:name="_Toc54335452"/>
      <w:bookmarkStart w:id="14" w:name="_Toc54336346"/>
      <w:bookmarkStart w:id="15" w:name="_Toc54337822"/>
      <w:bookmarkStart w:id="16" w:name="_Toc54338579"/>
      <w:bookmarkStart w:id="17" w:name="_Toc54339091"/>
      <w:bookmarkStart w:id="18" w:name="_Toc54339223"/>
      <w:bookmarkStart w:id="19" w:name="_Toc54340304"/>
      <w:bookmarkStart w:id="20" w:name="_Toc54345672"/>
      <w:bookmarkStart w:id="21" w:name="_Toc61554239"/>
      <w:bookmarkStart w:id="22" w:name="_Toc61556557"/>
      <w:bookmarkStart w:id="23" w:name="_Toc61556771"/>
      <w:bookmarkStart w:id="24" w:name="_Toc61557417"/>
      <w:bookmarkStart w:id="25" w:name="_Toc61558127"/>
      <w:bookmarkStart w:id="26" w:name="_Toc61559436"/>
      <w:bookmarkStart w:id="27" w:name="_Toc61860810"/>
      <w:bookmarkStart w:id="28" w:name="_Toc61869498"/>
      <w:bookmarkStart w:id="29" w:name="_Toc61870339"/>
      <w:bookmarkStart w:id="30" w:name="_Toc61871475"/>
      <w:bookmarkStart w:id="31" w:name="_Toc61874653"/>
      <w:bookmarkStart w:id="32" w:name="_Toc61893678"/>
      <w:bookmarkStart w:id="33" w:name="_Toc71645244"/>
      <w:bookmarkStart w:id="34" w:name="_Toc71646779"/>
      <w:bookmarkStart w:id="35" w:name="_Toc71648191"/>
      <w:bookmarkStart w:id="36" w:name="_Toc71649890"/>
      <w:bookmarkStart w:id="37" w:name="_Toc71655190"/>
      <w:bookmarkStart w:id="38" w:name="_Toc71659405"/>
      <w:bookmarkStart w:id="39" w:name="_Toc71659887"/>
      <w:bookmarkStart w:id="40" w:name="_Toc71665109"/>
      <w:bookmarkStart w:id="41" w:name="_Toc71668882"/>
      <w:bookmarkStart w:id="42" w:name="_Toc71668927"/>
      <w:bookmarkStart w:id="43" w:name="_Toc71668991"/>
      <w:bookmarkStart w:id="44" w:name="_Toc71671243"/>
      <w:bookmarkStart w:id="45" w:name="_Toc71671397"/>
      <w:bookmarkStart w:id="46" w:name="_Toc79159549"/>
      <w:bookmarkStart w:id="47" w:name="_Toc79159665"/>
      <w:bookmarkStart w:id="48" w:name="_Toc79178198"/>
      <w:bookmarkStart w:id="49" w:name="_Toc83997283"/>
      <w:bookmarkStart w:id="50" w:name="_Toc84012631"/>
      <w:bookmarkStart w:id="51" w:name="_Toc84017962"/>
      <w:bookmarkStart w:id="52" w:name="_Toc84019203"/>
      <w:bookmarkStart w:id="53" w:name="_Toc84022334"/>
      <w:r>
        <w:t>Support RRC configuration for Case-6 and Case-7 timing alignment in addition to dynamic signaling.</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EA056C4" w14:textId="566F0386" w:rsidR="00526E49" w:rsidRDefault="00526E49" w:rsidP="00936544">
      <w:pPr>
        <w:rPr>
          <w:lang w:val="en-GB"/>
        </w:rPr>
      </w:pPr>
      <w:r>
        <w:rPr>
          <w:lang w:val="en-GB"/>
        </w:rPr>
        <w:t xml:space="preserve">The RRC indication and dynamic </w:t>
      </w:r>
      <w:r w:rsidR="004D0609">
        <w:rPr>
          <w:lang w:val="en-GB"/>
        </w:rPr>
        <w:t>signalling</w:t>
      </w:r>
      <w:r>
        <w:rPr>
          <w:lang w:val="en-GB"/>
        </w:rPr>
        <w:t xml:space="preserve"> are, of course, linked to multiplexing capability of the IAB node as well as whether the IAB node requires enhanced timing alignment as explained later in this section.</w:t>
      </w:r>
    </w:p>
    <w:p w14:paraId="7747E1B9" w14:textId="6815A136" w:rsidR="00526E49" w:rsidRDefault="004D0609" w:rsidP="00526E49">
      <w:pPr>
        <w:pStyle w:val="Proposal"/>
        <w:rPr>
          <w:lang w:val="en-GB"/>
        </w:rPr>
      </w:pPr>
      <w:bookmarkStart w:id="54" w:name="_Toc84012632"/>
      <w:bookmarkStart w:id="55" w:name="_Toc84017963"/>
      <w:bookmarkStart w:id="56" w:name="_Toc84019204"/>
      <w:bookmarkStart w:id="57" w:name="_Toc84022335"/>
      <w:r>
        <w:rPr>
          <w:lang w:val="en-GB"/>
        </w:rPr>
        <w:t>Signalling</w:t>
      </w:r>
      <w:r w:rsidR="00526E49">
        <w:rPr>
          <w:lang w:val="en-GB"/>
        </w:rPr>
        <w:t xml:space="preserve"> for timing alignment indication is linked to multiplexing capability of the IAB node as well as whether the IAB node </w:t>
      </w:r>
      <w:r w:rsidR="00526E49" w:rsidRPr="00E8738D">
        <w:rPr>
          <w:u w:val="single"/>
          <w:lang w:val="en-GB"/>
        </w:rPr>
        <w:t>requires</w:t>
      </w:r>
      <w:r w:rsidR="00526E49">
        <w:rPr>
          <w:lang w:val="en-GB"/>
        </w:rPr>
        <w:t xml:space="preserve"> enhanced timing alignment.</w:t>
      </w:r>
      <w:bookmarkEnd w:id="54"/>
      <w:bookmarkEnd w:id="55"/>
      <w:bookmarkEnd w:id="56"/>
      <w:bookmarkEnd w:id="57"/>
    </w:p>
    <w:p w14:paraId="519970B1" w14:textId="348928BC" w:rsidR="0073424D" w:rsidRPr="0073424D" w:rsidRDefault="0073424D" w:rsidP="0073424D">
      <w:pPr>
        <w:rPr>
          <w:b/>
          <w:bCs/>
          <w:u w:val="single"/>
        </w:rPr>
      </w:pPr>
      <w:r w:rsidRPr="0073424D">
        <w:rPr>
          <w:b/>
          <w:bCs/>
          <w:u w:val="single"/>
        </w:rPr>
        <w:t>Unified timing alignment:</w:t>
      </w:r>
    </w:p>
    <w:p w14:paraId="2BEC1743" w14:textId="6F3ED27D" w:rsidR="0073424D" w:rsidRDefault="004952FE" w:rsidP="0073424D">
      <w:r>
        <w:t>It was proposed in the previous meeting</w:t>
      </w:r>
      <w:r w:rsidR="00DB4B35">
        <w:t>s</w:t>
      </w:r>
      <w:r>
        <w:t xml:space="preserve"> to support a unified timing alignment framework. This approach can simplify signaling of timing alignment and provide higher flexibility for future extensions.</w:t>
      </w:r>
    </w:p>
    <w:p w14:paraId="2D7A0B28" w14:textId="6B013E4D" w:rsidR="004952FE" w:rsidRDefault="004952FE" w:rsidP="0073424D">
      <w:r>
        <w:t>In order to realize a unified scheme, we should note that the uplink timing for legacy TA, Case</w:t>
      </w:r>
      <w:r w:rsidR="00C833D5">
        <w:t xml:space="preserve"> </w:t>
      </w:r>
      <w:r>
        <w:t>6, and Case</w:t>
      </w:r>
      <w:r w:rsidR="00C833D5">
        <w:t xml:space="preserve"> </w:t>
      </w:r>
      <w:r>
        <w:t>7 can be written in the following canonical form:</w:t>
      </w:r>
    </w:p>
    <w:p w14:paraId="6D2E43E7" w14:textId="0659B954" w:rsidR="004952FE" w:rsidRPr="00502B0E" w:rsidRDefault="006E291C" w:rsidP="0073424D">
      <m:oMathPara>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 xml:space="preserve">= </m:t>
          </m:r>
          <m:d>
            <m:dPr>
              <m:ctrlPr>
                <w:rPr>
                  <w:rFonts w:ascii="Cambria Math" w:hAnsi="Cambria Math"/>
                  <w:i/>
                </w:rPr>
              </m:ctrlPr>
            </m:dPr>
            <m:e>
              <m:r>
                <w:rPr>
                  <w:rFonts w:ascii="Cambria Math" w:hAnsi="Cambria Math"/>
                </w:rPr>
                <m:t>a.</m:t>
              </m:r>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+b.</m:t>
              </m:r>
              <m:sSub>
                <m:sSubPr>
                  <m:ctrlPr>
                    <w:rPr>
                      <w:rFonts w:ascii="Cambria Math" w:hAnsi="Cambria Math"/>
                      <w:i/>
                    </w:rPr>
                  </m:ctrlPr>
                </m:sSubPr>
                <m:e>
                  <m:r>
                    <w:rPr>
                      <w:rFonts w:ascii="Cambria Math" w:hAnsi="Cambria Math"/>
                    </w:rPr>
                    <m:t>T</m:t>
                  </m:r>
                </m:e>
                <m:sub>
                  <m:r>
                    <m:rPr>
                      <m:nor/>
                    </m:rPr>
                    <w:rPr>
                      <w:rFonts w:ascii="Cambria Math" w:hAnsi="Cambria Math"/>
                    </w:rPr>
                    <m:t>delta</m:t>
                  </m:r>
                </m:sub>
              </m:sSub>
              <m:r>
                <w:rPr>
                  <w:rFonts w:ascii="Cambria Math" w:hAnsi="Cambria Math"/>
                </w:rPr>
                <m:t>+c.</m:t>
              </m:r>
              <m:sSub>
                <m:sSubPr>
                  <m:ctrlPr>
                    <w:rPr>
                      <w:rFonts w:ascii="Cambria Math" w:hAnsi="Cambria Math"/>
                      <w:i/>
                    </w:rPr>
                  </m:ctrlPr>
                </m:sSubPr>
                <m:e>
                  <m:r>
                    <w:rPr>
                      <w:rFonts w:ascii="Cambria Math" w:hAnsi="Cambria Math"/>
                    </w:rPr>
                    <m:t>N</m:t>
                  </m:r>
                </m:e>
                <m:sub>
                  <m:r>
                    <m:rPr>
                      <m:nor/>
                    </m:rPr>
                    <w:rPr>
                      <w:rFonts w:ascii="Cambria Math" w:hAnsi="Cambria Math"/>
                    </w:rPr>
                    <m:t>ATA</m:t>
                  </m:r>
                </m:sub>
              </m:sSub>
              <m:r>
                <w:rPr>
                  <w:rFonts w:ascii="Cambria Math" w:hAnsi="Cambria Math"/>
                </w:rPr>
                <m:t>+d</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m:oMathPara>
    </w:p>
    <w:p w14:paraId="2FB11684" w14:textId="62E67054" w:rsidR="00502B0E" w:rsidRDefault="00502B0E" w:rsidP="0073424D">
      <w:r>
        <w:t xml:space="preserve">In this equation,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is obtained by legacy TA command, </w:t>
      </w:r>
      <m:oMath>
        <m:sSub>
          <m:sSubPr>
            <m:ctrlPr>
              <w:rPr>
                <w:rFonts w:ascii="Cambria Math" w:hAnsi="Cambria Math"/>
                <w:i/>
              </w:rPr>
            </m:ctrlPr>
          </m:sSubPr>
          <m:e>
            <m:r>
              <w:rPr>
                <w:rFonts w:ascii="Cambria Math" w:hAnsi="Cambria Math"/>
              </w:rPr>
              <m:t>T</m:t>
            </m:r>
          </m:e>
          <m:sub>
            <m:r>
              <m:rPr>
                <m:nor/>
              </m:rPr>
              <w:rPr>
                <w:rFonts w:ascii="Cambria Math" w:hAnsi="Cambria Math"/>
              </w:rPr>
              <m:t>delta</m:t>
            </m:r>
          </m:sub>
        </m:sSub>
      </m:oMath>
      <w:r>
        <w:t xml:space="preserve"> is obtained for Case</w:t>
      </w:r>
      <w:r w:rsidR="00C833D5">
        <w:t xml:space="preserve"> </w:t>
      </w:r>
      <w:r>
        <w:t>1</w:t>
      </w:r>
      <w:r w:rsidR="00873A43">
        <w:t xml:space="preserve">, which </w:t>
      </w:r>
      <w:r w:rsidR="00D82826">
        <w:t xml:space="preserve">in turn </w:t>
      </w:r>
      <w:r w:rsidR="00873A43">
        <w:t xml:space="preserve">determines uplink transmission time for </w:t>
      </w:r>
      <w:r>
        <w:t>Case</w:t>
      </w:r>
      <w:r w:rsidR="00C833D5">
        <w:t xml:space="preserve"> </w:t>
      </w:r>
      <w:r>
        <w:t xml:space="preserve">6, and </w:t>
      </w:r>
      <m:oMath>
        <m:sSub>
          <m:sSubPr>
            <m:ctrlPr>
              <w:rPr>
                <w:rFonts w:ascii="Cambria Math" w:hAnsi="Cambria Math"/>
                <w:i/>
              </w:rPr>
            </m:ctrlPr>
          </m:sSubPr>
          <m:e>
            <m:r>
              <w:rPr>
                <w:rFonts w:ascii="Cambria Math" w:hAnsi="Cambria Math"/>
              </w:rPr>
              <m:t>N</m:t>
            </m:r>
          </m:e>
          <m:sub>
            <m:r>
              <m:rPr>
                <m:nor/>
              </m:rPr>
              <w:rPr>
                <w:rFonts w:ascii="Cambria Math" w:hAnsi="Cambria Math"/>
              </w:rPr>
              <m:t>ATA</m:t>
            </m:r>
          </m:sub>
        </m:sSub>
      </m:oMath>
      <w:r>
        <w:t xml:space="preserve"> is the additional TA for Case</w:t>
      </w:r>
      <w:r w:rsidR="00C833D5">
        <w:t xml:space="preserve"> </w:t>
      </w:r>
      <w:r>
        <w:t xml:space="preserve">7 as </w:t>
      </w:r>
      <w:r w:rsidR="00C833D5">
        <w:t>agreed</w:t>
      </w:r>
      <w:r>
        <w:t xml:space="preserve">. </w:t>
      </w:r>
      <w:r w:rsidR="00873A43">
        <w:t>By setting t</w:t>
      </w:r>
      <w:r>
        <w:t xml:space="preserve">he constant coefficients </w:t>
      </w:r>
      <m:oMath>
        <m:r>
          <w:rPr>
            <w:rFonts w:ascii="Cambria Math" w:hAnsi="Cambria Math"/>
          </w:rPr>
          <m:t>a, b, c, d</m:t>
        </m:r>
      </m:oMath>
      <w:r w:rsidR="00873A43">
        <w:t xml:space="preserve">, the IAB node can determine the timing advance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oMath>
      <w:r w:rsidR="00873A43">
        <w:t xml:space="preserve"> for any of legacy TA (Case</w:t>
      </w:r>
      <w:r w:rsidR="00C833D5">
        <w:t xml:space="preserve"> </w:t>
      </w:r>
      <w:r w:rsidR="00873A43">
        <w:t>1), Case</w:t>
      </w:r>
      <w:r w:rsidR="00C833D5">
        <w:t xml:space="preserve"> </w:t>
      </w:r>
      <w:r w:rsidR="00873A43">
        <w:t>6, and Case</w:t>
      </w:r>
      <w:r w:rsidR="00C833D5">
        <w:t xml:space="preserve"> </w:t>
      </w:r>
      <w:r w:rsidR="00873A43">
        <w:t>7</w:t>
      </w:r>
      <w:r w:rsidR="00D82826">
        <w:t xml:space="preserve"> modes</w:t>
      </w:r>
      <w:r w:rsidR="00873A43">
        <w:t>.</w:t>
      </w:r>
    </w:p>
    <w:p w14:paraId="2AF1F8E2" w14:textId="38D541AE" w:rsidR="00873A43" w:rsidRDefault="00873A43" w:rsidP="00A517B9">
      <w:pPr>
        <w:pStyle w:val="Proposal"/>
      </w:pPr>
      <w:bookmarkStart w:id="58" w:name="_Toc61556559"/>
      <w:bookmarkStart w:id="59" w:name="_Toc61556773"/>
      <w:bookmarkStart w:id="60" w:name="_Toc61557419"/>
      <w:bookmarkStart w:id="61" w:name="_Toc61558129"/>
      <w:bookmarkStart w:id="62" w:name="_Toc61559438"/>
      <w:bookmarkStart w:id="63" w:name="_Toc61860812"/>
      <w:bookmarkStart w:id="64" w:name="_Toc61869500"/>
      <w:bookmarkStart w:id="65" w:name="_Toc61870341"/>
      <w:bookmarkStart w:id="66" w:name="_Toc61871477"/>
      <w:bookmarkStart w:id="67" w:name="_Toc61874655"/>
      <w:bookmarkStart w:id="68" w:name="_Toc61893680"/>
      <w:bookmarkStart w:id="69" w:name="_Toc71645246"/>
      <w:bookmarkStart w:id="70" w:name="_Toc71646781"/>
      <w:bookmarkStart w:id="71" w:name="_Toc71648193"/>
      <w:bookmarkStart w:id="72" w:name="_Toc71649892"/>
      <w:bookmarkStart w:id="73" w:name="_Toc71655193"/>
      <w:bookmarkStart w:id="74" w:name="_Toc71659408"/>
      <w:bookmarkStart w:id="75" w:name="_Toc71659890"/>
      <w:bookmarkStart w:id="76" w:name="_Toc71665112"/>
      <w:bookmarkStart w:id="77" w:name="_Toc71668885"/>
      <w:bookmarkStart w:id="78" w:name="_Toc71668930"/>
      <w:bookmarkStart w:id="79" w:name="_Toc71668994"/>
      <w:bookmarkStart w:id="80" w:name="_Toc71671246"/>
      <w:bookmarkStart w:id="81" w:name="_Toc71671400"/>
      <w:bookmarkStart w:id="82" w:name="_Toc79159553"/>
      <w:bookmarkStart w:id="83" w:name="_Toc79159669"/>
      <w:bookmarkStart w:id="84" w:name="_Toc79178202"/>
      <w:bookmarkStart w:id="85" w:name="_Toc84012635"/>
      <w:bookmarkStart w:id="86" w:name="_Toc84017964"/>
      <w:bookmarkStart w:id="87" w:name="_Toc84019205"/>
      <w:bookmarkStart w:id="88" w:name="_Toc84022336"/>
      <w:r>
        <w:t xml:space="preserve">Support a unified </w:t>
      </w:r>
      <w:r w:rsidR="00D255F7">
        <w:t xml:space="preserve">framework for </w:t>
      </w:r>
      <w:r w:rsidR="009B1C76">
        <w:t>timing</w:t>
      </w:r>
      <w:r w:rsidR="00D255F7">
        <w:t xml:space="preserve"> </w:t>
      </w:r>
      <w:r w:rsidR="009B1C76">
        <w:t>alignment</w:t>
      </w:r>
      <w:r>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FADD93E" w14:textId="53D13364" w:rsidR="00B16926" w:rsidRPr="00B16926" w:rsidRDefault="00B16926" w:rsidP="005D544E">
      <w:pPr>
        <w:rPr>
          <w:b/>
          <w:bCs/>
          <w:u w:val="single"/>
        </w:rPr>
      </w:pPr>
      <w:r w:rsidRPr="00B16926">
        <w:rPr>
          <w:b/>
          <w:bCs/>
          <w:u w:val="single"/>
        </w:rPr>
        <w:t>Capability signaling:</w:t>
      </w:r>
    </w:p>
    <w:p w14:paraId="051DFB82" w14:textId="61AA1E1B" w:rsidR="005D544E" w:rsidRDefault="00B16926" w:rsidP="005D544E">
      <w:pPr>
        <w:rPr>
          <w:lang w:val="en-GB"/>
        </w:rPr>
      </w:pPr>
      <w:r>
        <w:rPr>
          <w:lang w:val="en-GB"/>
        </w:rPr>
        <w:t xml:space="preserve">An important outstanding issue </w:t>
      </w:r>
      <w:r w:rsidR="00195A5F">
        <w:rPr>
          <w:lang w:val="en-GB"/>
        </w:rPr>
        <w:t xml:space="preserve">that </w:t>
      </w:r>
      <w:r>
        <w:rPr>
          <w:lang w:val="en-GB"/>
        </w:rPr>
        <w:t xml:space="preserve">RAN1 is yet to discuss is </w:t>
      </w:r>
      <w:r w:rsidR="00195A5F">
        <w:rPr>
          <w:lang w:val="en-GB"/>
        </w:rPr>
        <w:t>w</w:t>
      </w:r>
      <w:r w:rsidR="005D544E">
        <w:rPr>
          <w:lang w:val="en-GB"/>
        </w:rPr>
        <w:t xml:space="preserve">hether </w:t>
      </w:r>
      <w:r w:rsidR="00F63568">
        <w:rPr>
          <w:lang w:val="en-GB"/>
        </w:rPr>
        <w:t xml:space="preserve">enhanced </w:t>
      </w:r>
      <w:r w:rsidR="005D544E">
        <w:rPr>
          <w:lang w:val="en-GB"/>
        </w:rPr>
        <w:t xml:space="preserve">timing alignment is needed </w:t>
      </w:r>
      <w:r w:rsidR="00F63568">
        <w:rPr>
          <w:lang w:val="en-GB"/>
        </w:rPr>
        <w:t>in the first place</w:t>
      </w:r>
      <w:r w:rsidR="005D544E">
        <w:rPr>
          <w:lang w:val="en-GB"/>
        </w:rPr>
        <w:t>. Particularly if the IAB node has multiple IFFT/FFT windows for OFDM processing, it does not need to perform timing alignment further than Case</w:t>
      </w:r>
      <w:r w:rsidR="00F63568">
        <w:rPr>
          <w:lang w:val="en-GB"/>
        </w:rPr>
        <w:t xml:space="preserve"> </w:t>
      </w:r>
      <w:r w:rsidR="005D544E">
        <w:rPr>
          <w:lang w:val="en-GB"/>
        </w:rPr>
        <w:t xml:space="preserve">1, which can improve the </w:t>
      </w:r>
      <w:r w:rsidR="00F63568">
        <w:rPr>
          <w:lang w:val="en-GB"/>
        </w:rPr>
        <w:t>applicability</w:t>
      </w:r>
      <w:r w:rsidR="005D544E">
        <w:rPr>
          <w:lang w:val="en-GB"/>
        </w:rPr>
        <w:t xml:space="preserve"> of simultaneous operations significantly. Therefore, we propose that the IAB node’s capability for timing alignment be reported to the IAB donor and/or the parent node.</w:t>
      </w:r>
    </w:p>
    <w:p w14:paraId="6A466904" w14:textId="4EA6F220" w:rsidR="005D544E" w:rsidRDefault="005D544E" w:rsidP="005D544E">
      <w:pPr>
        <w:pStyle w:val="Proposal"/>
        <w:rPr>
          <w:lang w:val="en-GB"/>
        </w:rPr>
      </w:pPr>
      <w:bookmarkStart w:id="89" w:name="_Toc61554238"/>
      <w:bookmarkStart w:id="90" w:name="_Toc61556556"/>
      <w:bookmarkStart w:id="91" w:name="_Toc61556770"/>
      <w:bookmarkStart w:id="92" w:name="_Toc61557416"/>
      <w:bookmarkStart w:id="93" w:name="_Toc61558126"/>
      <w:bookmarkStart w:id="94" w:name="_Toc61559435"/>
      <w:bookmarkStart w:id="95" w:name="_Toc61860809"/>
      <w:bookmarkStart w:id="96" w:name="_Toc61869497"/>
      <w:bookmarkStart w:id="97" w:name="_Toc61870338"/>
      <w:bookmarkStart w:id="98" w:name="_Toc61871474"/>
      <w:bookmarkStart w:id="99" w:name="_Toc61874652"/>
      <w:bookmarkStart w:id="100" w:name="_Toc61893677"/>
      <w:bookmarkStart w:id="101" w:name="_Toc71645243"/>
      <w:bookmarkStart w:id="102" w:name="_Toc71646778"/>
      <w:bookmarkStart w:id="103" w:name="_Toc71648190"/>
      <w:bookmarkStart w:id="104" w:name="_Toc71649889"/>
      <w:bookmarkStart w:id="105" w:name="_Toc71655189"/>
      <w:bookmarkStart w:id="106" w:name="_Toc71659403"/>
      <w:bookmarkStart w:id="107" w:name="_Toc71659885"/>
      <w:bookmarkStart w:id="108" w:name="_Toc71665107"/>
      <w:bookmarkStart w:id="109" w:name="_Toc71668880"/>
      <w:bookmarkStart w:id="110" w:name="_Toc71668925"/>
      <w:bookmarkStart w:id="111" w:name="_Toc71668989"/>
      <w:bookmarkStart w:id="112" w:name="_Toc71671241"/>
      <w:bookmarkStart w:id="113" w:name="_Toc71671395"/>
      <w:bookmarkStart w:id="114" w:name="_Toc79159548"/>
      <w:bookmarkStart w:id="115" w:name="_Toc79159664"/>
      <w:bookmarkStart w:id="116" w:name="_Toc79178197"/>
      <w:bookmarkStart w:id="117" w:name="_Toc83997282"/>
      <w:bookmarkStart w:id="118" w:name="_Toc84012637"/>
      <w:bookmarkStart w:id="119" w:name="_Toc84017965"/>
      <w:bookmarkStart w:id="120" w:name="_Toc84019206"/>
      <w:bookmarkStart w:id="121" w:name="_Toc84022337"/>
      <w:r>
        <w:rPr>
          <w:lang w:val="en-GB"/>
        </w:rPr>
        <w:t xml:space="preserve">Support a capability signalling, e.g., number of IFFT/FFT windows, to indicate whether the IAB node </w:t>
      </w:r>
      <w:r w:rsidRPr="00781C3C">
        <w:rPr>
          <w:u w:val="single"/>
          <w:lang w:val="en-GB"/>
        </w:rPr>
        <w:t>requires</w:t>
      </w:r>
      <w:r>
        <w:rPr>
          <w:lang w:val="en-GB"/>
        </w:rPr>
        <w:t xml:space="preserve"> timing alignment between IAB-MT and IAB-DU operations. If negative, the IAB node can transmit unaligned OFDM symbols (Case A) and receive/process unaligned OFDM 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Pr>
          <w:lang w:val="en-GB"/>
        </w:rPr>
        <w:t xml:space="preserve"> (Case B), which simplifies </w:t>
      </w:r>
      <w:r w:rsidR="004D0609">
        <w:rPr>
          <w:lang w:val="en-GB"/>
        </w:rPr>
        <w:t>signalling</w:t>
      </w:r>
      <w:r w:rsidR="00781C3C">
        <w:rPr>
          <w:lang w:val="en-GB"/>
        </w:rPr>
        <w:t xml:space="preserve"> and configuration </w:t>
      </w:r>
      <w:r>
        <w:rPr>
          <w:lang w:val="en-GB"/>
        </w:rPr>
        <w:t>significantly.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bookmarkEnd w:id="2"/>
    <w:p w14:paraId="51DD2F27" w14:textId="7C16B7E0" w:rsidR="00872977" w:rsidRDefault="006F10A1" w:rsidP="00872977">
      <w:pPr>
        <w:pStyle w:val="Heading2"/>
      </w:pPr>
      <w:r>
        <w:lastRenderedPageBreak/>
        <w:t>P</w:t>
      </w:r>
      <w:r w:rsidR="00872977">
        <w:t>ower control</w:t>
      </w:r>
    </w:p>
    <w:p w14:paraId="35631C01" w14:textId="193F139C" w:rsidR="00E7526B" w:rsidRDefault="00E7526B" w:rsidP="00E7526B">
      <w:pPr>
        <w:rPr>
          <w:lang w:val="en-GB"/>
        </w:rPr>
      </w:pPr>
      <w:r>
        <w:rPr>
          <w:lang w:val="en-GB"/>
        </w:rPr>
        <w:t xml:space="preserve">The following </w:t>
      </w:r>
      <w:r w:rsidR="00E04094">
        <w:rPr>
          <w:lang w:val="en-GB"/>
        </w:rPr>
        <w:t xml:space="preserve">was agreed on assistance information for MT UL Tx power control </w:t>
      </w:r>
      <w:r>
        <w:rPr>
          <w:lang w:val="en-GB"/>
        </w:rPr>
        <w:t xml:space="preserve">in </w:t>
      </w:r>
      <w:r w:rsidR="00C760A0">
        <w:rPr>
          <w:lang w:val="en-GB"/>
        </w:rPr>
        <w:t>the previous meetings</w:t>
      </w:r>
      <w:r w:rsidR="00AC0D36">
        <w:rPr>
          <w:lang w:val="en-GB"/>
        </w:rPr>
        <w:t xml:space="preserve"> </w:t>
      </w:r>
      <w:r w:rsidR="00AC0D36">
        <w:rPr>
          <w:lang w:val="en-GB"/>
        </w:rPr>
        <w:fldChar w:fldCharType="begin"/>
      </w:r>
      <w:r w:rsidR="00AC0D36">
        <w:rPr>
          <w:lang w:val="en-GB"/>
        </w:rPr>
        <w:instrText xml:space="preserve"> REF _Ref71645684 \r \h </w:instrText>
      </w:r>
      <w:r w:rsidR="00AC0D36">
        <w:rPr>
          <w:lang w:val="en-GB"/>
        </w:rPr>
      </w:r>
      <w:r w:rsidR="00AC0D36">
        <w:rPr>
          <w:lang w:val="en-GB"/>
        </w:rPr>
        <w:fldChar w:fldCharType="separate"/>
      </w:r>
      <w:r w:rsidR="00AC0D36">
        <w:rPr>
          <w:cs/>
          <w:lang w:val="en-GB"/>
        </w:rPr>
        <w:t>‎</w:t>
      </w:r>
      <w:r w:rsidR="00AC0D36">
        <w:rPr>
          <w:lang w:val="en-GB"/>
        </w:rPr>
        <w:t>[2]</w:t>
      </w:r>
      <w:r w:rsidR="00AC0D36">
        <w:rPr>
          <w:lang w:val="en-GB"/>
        </w:rPr>
        <w:fldChar w:fldCharType="end"/>
      </w:r>
      <w:r w:rsidR="00C760A0">
        <w:rPr>
          <w:lang w:val="en-GB"/>
        </w:rPr>
        <w:fldChar w:fldCharType="begin"/>
      </w:r>
      <w:r w:rsidR="00C760A0">
        <w:rPr>
          <w:lang w:val="en-GB"/>
        </w:rPr>
        <w:instrText xml:space="preserve"> REF _Ref83991124 \r \h </w:instrText>
      </w:r>
      <w:r w:rsidR="00C760A0">
        <w:rPr>
          <w:lang w:val="en-GB"/>
        </w:rPr>
      </w:r>
      <w:r w:rsidR="00C760A0">
        <w:rPr>
          <w:lang w:val="en-GB"/>
        </w:rPr>
        <w:fldChar w:fldCharType="separate"/>
      </w:r>
      <w:r w:rsidR="00C760A0">
        <w:rPr>
          <w:cs/>
          <w:lang w:val="en-GB"/>
        </w:rPr>
        <w:t>‎</w:t>
      </w:r>
      <w:r w:rsidR="00C760A0">
        <w:rPr>
          <w:lang w:val="en-GB"/>
        </w:rPr>
        <w:t>[3]</w:t>
      </w:r>
      <w:r w:rsidR="00C760A0">
        <w:rPr>
          <w:lang w:val="en-GB"/>
        </w:rPr>
        <w:fldChar w:fldCharType="end"/>
      </w:r>
      <w:r>
        <w:rPr>
          <w:lang w:val="en-GB"/>
        </w:rPr>
        <w:t>:</w:t>
      </w:r>
    </w:p>
    <w:p w14:paraId="10FF7F76" w14:textId="77777777" w:rsidR="00AC0D36" w:rsidRPr="003031CF" w:rsidRDefault="00AC0D36" w:rsidP="00C760A0">
      <w:pPr>
        <w:adjustRightInd w:val="0"/>
        <w:snapToGrid w:val="0"/>
        <w:spacing w:before="240" w:after="0"/>
        <w:ind w:left="1267" w:hanging="1267"/>
        <w:jc w:val="both"/>
        <w:rPr>
          <w:rFonts w:asciiTheme="majorBidi" w:hAnsiTheme="majorBidi" w:cstheme="majorBidi"/>
          <w:b/>
          <w:szCs w:val="20"/>
          <w:highlight w:val="green"/>
        </w:rPr>
      </w:pPr>
      <w:r w:rsidRPr="003031CF">
        <w:rPr>
          <w:rFonts w:asciiTheme="majorBidi" w:hAnsiTheme="majorBidi" w:cstheme="majorBidi"/>
          <w:b/>
          <w:szCs w:val="20"/>
          <w:highlight w:val="green"/>
        </w:rPr>
        <w:t>Agreement</w:t>
      </w:r>
    </w:p>
    <w:p w14:paraId="34C99A2D" w14:textId="77777777" w:rsidR="00AC0D36" w:rsidRPr="003031CF" w:rsidRDefault="00AC0D36" w:rsidP="00AC0D36">
      <w:pPr>
        <w:rPr>
          <w:rFonts w:asciiTheme="majorBidi" w:eastAsia="Calibri" w:hAnsiTheme="majorBidi" w:cstheme="majorBidi"/>
        </w:rPr>
      </w:pPr>
      <w:r w:rsidRPr="003031CF">
        <w:rPr>
          <w:rFonts w:asciiTheme="majorBidi" w:eastAsia="Calibri" w:hAnsiTheme="majorBidi" w:cstheme="majorBidi"/>
        </w:rPr>
        <w:t>Decide in RAN1#106-e whether to support an IAB-node indicating assistance information to help with its MT’s UL TX power control. The assistance information can be:</w:t>
      </w:r>
    </w:p>
    <w:p w14:paraId="352C6EB0" w14:textId="77777777" w:rsidR="00AC0D36" w:rsidRPr="003031CF" w:rsidRDefault="00AC0D36" w:rsidP="00AC0D36">
      <w:pPr>
        <w:pStyle w:val="ListParagraph"/>
        <w:numPr>
          <w:ilvl w:val="0"/>
          <w:numId w:val="18"/>
        </w:numPr>
        <w:spacing w:before="0" w:after="0" w:line="240" w:lineRule="auto"/>
        <w:textAlignment w:val="baseline"/>
        <w:rPr>
          <w:rFonts w:asciiTheme="majorBidi" w:eastAsia="MS PGothic" w:hAnsiTheme="majorBidi" w:cstheme="majorBidi"/>
          <w:szCs w:val="20"/>
          <w:lang w:eastAsia="ja-JP"/>
        </w:rPr>
      </w:pPr>
      <w:r w:rsidRPr="003031CF">
        <w:rPr>
          <w:rFonts w:asciiTheme="majorBidi" w:hAnsiTheme="majorBidi" w:cstheme="majorBidi"/>
          <w:szCs w:val="20"/>
        </w:rPr>
        <w:t>FFS: Desired TX power</w:t>
      </w:r>
    </w:p>
    <w:p w14:paraId="049F3493" w14:textId="77777777" w:rsidR="00AC0D36" w:rsidRPr="003031CF" w:rsidRDefault="00AC0D36" w:rsidP="00AC0D36">
      <w:pPr>
        <w:pStyle w:val="ListParagraph"/>
        <w:numPr>
          <w:ilvl w:val="0"/>
          <w:numId w:val="18"/>
        </w:numPr>
        <w:spacing w:before="0" w:after="0" w:line="240" w:lineRule="auto"/>
        <w:textAlignment w:val="baseline"/>
        <w:rPr>
          <w:rFonts w:asciiTheme="majorBidi" w:eastAsia="MS PGothic" w:hAnsiTheme="majorBidi" w:cstheme="majorBidi"/>
          <w:szCs w:val="20"/>
          <w:lang w:eastAsia="ja-JP"/>
        </w:rPr>
      </w:pPr>
      <w:r w:rsidRPr="003031CF">
        <w:rPr>
          <w:rFonts w:asciiTheme="majorBidi" w:hAnsiTheme="majorBidi" w:cstheme="majorBidi"/>
          <w:szCs w:val="20"/>
        </w:rPr>
        <w:t>FFS: Offset to a baseline PHR</w:t>
      </w:r>
    </w:p>
    <w:p w14:paraId="6AB0AEB0" w14:textId="77777777" w:rsidR="00AC0D36" w:rsidRPr="003031CF" w:rsidRDefault="00AC0D36" w:rsidP="00AC0D36">
      <w:pPr>
        <w:pStyle w:val="ListParagraph"/>
        <w:numPr>
          <w:ilvl w:val="0"/>
          <w:numId w:val="18"/>
        </w:numPr>
        <w:spacing w:before="0" w:after="0" w:line="240" w:lineRule="auto"/>
        <w:textAlignment w:val="baseline"/>
        <w:rPr>
          <w:rFonts w:asciiTheme="majorBidi" w:eastAsia="MS PGothic" w:hAnsiTheme="majorBidi" w:cstheme="majorBidi"/>
          <w:szCs w:val="20"/>
          <w:lang w:eastAsia="ja-JP"/>
        </w:rPr>
      </w:pPr>
      <w:r w:rsidRPr="003031CF">
        <w:rPr>
          <w:rFonts w:asciiTheme="majorBidi" w:hAnsiTheme="majorBidi" w:cstheme="majorBidi"/>
        </w:rPr>
        <w:t>FFS: D</w:t>
      </w:r>
      <w:r w:rsidRPr="003031CF">
        <w:rPr>
          <w:rFonts w:asciiTheme="majorBidi" w:hAnsiTheme="majorBidi" w:cstheme="majorBidi"/>
          <w:szCs w:val="20"/>
        </w:rPr>
        <w:t>esired dynamic range</w:t>
      </w:r>
    </w:p>
    <w:p w14:paraId="172A7420" w14:textId="77777777" w:rsidR="00AC0D36" w:rsidRPr="003031CF" w:rsidRDefault="00AC0D36" w:rsidP="00AC0D36">
      <w:pPr>
        <w:rPr>
          <w:rFonts w:asciiTheme="majorBidi" w:hAnsiTheme="majorBidi" w:cstheme="majorBidi"/>
        </w:rPr>
      </w:pPr>
      <w:r w:rsidRPr="003031CF">
        <w:rPr>
          <w:rFonts w:asciiTheme="majorBidi" w:hAnsiTheme="majorBidi" w:cstheme="majorBidi"/>
        </w:rPr>
        <w:t>FFS: whether this information is provided to the parent-node, the CU, or both.</w:t>
      </w:r>
    </w:p>
    <w:p w14:paraId="52B5AF77" w14:textId="77777777" w:rsidR="00AC0D36" w:rsidRPr="003031CF" w:rsidRDefault="00AC0D36" w:rsidP="00AC0D36">
      <w:pPr>
        <w:rPr>
          <w:rFonts w:asciiTheme="majorBidi" w:eastAsia="MS PGothic" w:hAnsiTheme="majorBidi" w:cstheme="majorBidi"/>
          <w:lang w:eastAsia="ja-JP"/>
        </w:rPr>
      </w:pPr>
      <w:r w:rsidRPr="003031CF">
        <w:rPr>
          <w:rFonts w:asciiTheme="majorBidi" w:hAnsiTheme="majorBidi" w:cstheme="majorBidi"/>
        </w:rPr>
        <w:t xml:space="preserve">FFS: whether the MT’s UL TX power control formula needs to be changed </w:t>
      </w:r>
    </w:p>
    <w:p w14:paraId="151FEDB9" w14:textId="77777777" w:rsidR="00E04094" w:rsidRPr="003031CF" w:rsidRDefault="00E04094" w:rsidP="00E04094">
      <w:pPr>
        <w:adjustRightInd w:val="0"/>
        <w:snapToGrid w:val="0"/>
        <w:spacing w:before="240" w:after="0"/>
        <w:ind w:left="1267" w:hanging="1267"/>
        <w:jc w:val="both"/>
        <w:rPr>
          <w:rFonts w:asciiTheme="majorBidi" w:hAnsiTheme="majorBidi" w:cstheme="majorBidi"/>
          <w:b/>
          <w:szCs w:val="20"/>
          <w:highlight w:val="green"/>
        </w:rPr>
      </w:pPr>
      <w:r w:rsidRPr="003031CF">
        <w:rPr>
          <w:rFonts w:asciiTheme="majorBidi" w:hAnsiTheme="majorBidi" w:cstheme="majorBidi"/>
          <w:b/>
          <w:szCs w:val="20"/>
          <w:highlight w:val="green"/>
        </w:rPr>
        <w:t>Agreement</w:t>
      </w:r>
    </w:p>
    <w:p w14:paraId="04EF8610" w14:textId="77777777" w:rsidR="00E04094" w:rsidRPr="003031CF" w:rsidRDefault="00E04094" w:rsidP="00E04094">
      <w:pPr>
        <w:rPr>
          <w:rFonts w:asciiTheme="majorBidi" w:hAnsiTheme="majorBidi" w:cstheme="majorBidi"/>
          <w:bCs/>
          <w:color w:val="000000"/>
          <w:szCs w:val="20"/>
        </w:rPr>
      </w:pPr>
      <w:r w:rsidRPr="003031CF">
        <w:rPr>
          <w:rFonts w:asciiTheme="majorBidi" w:hAnsiTheme="majorBidi" w:cstheme="majorBidi"/>
          <w:bCs/>
          <w:color w:val="000000"/>
          <w:szCs w:val="20"/>
        </w:rPr>
        <w:t>Support an IAB-node indicating its desired IAB-MT PSD range to help with its MT’s UL TX power control.</w:t>
      </w:r>
    </w:p>
    <w:p w14:paraId="73F6BB99" w14:textId="77777777" w:rsidR="00E04094" w:rsidRPr="003031CF" w:rsidRDefault="00E04094" w:rsidP="00E04094">
      <w:pPr>
        <w:pStyle w:val="ListParagraph"/>
        <w:numPr>
          <w:ilvl w:val="0"/>
          <w:numId w:val="22"/>
        </w:numPr>
        <w:spacing w:before="0" w:after="0" w:line="240" w:lineRule="auto"/>
        <w:contextualSpacing w:val="0"/>
        <w:rPr>
          <w:rFonts w:asciiTheme="majorBidi" w:hAnsiTheme="majorBidi" w:cstheme="majorBidi"/>
          <w:bCs/>
          <w:color w:val="595959"/>
        </w:rPr>
      </w:pPr>
      <w:r w:rsidRPr="003031CF">
        <w:rPr>
          <w:rFonts w:asciiTheme="majorBidi" w:hAnsiTheme="majorBidi" w:cstheme="majorBidi"/>
          <w:bCs/>
        </w:rPr>
        <w:t>This information is provided to the parent node</w:t>
      </w:r>
    </w:p>
    <w:p w14:paraId="5B87C7BA" w14:textId="77777777" w:rsidR="00E04094" w:rsidRPr="003031CF" w:rsidRDefault="00E04094" w:rsidP="00E04094">
      <w:pPr>
        <w:rPr>
          <w:rFonts w:asciiTheme="majorBidi" w:hAnsiTheme="majorBidi" w:cstheme="majorBidi"/>
          <w:bCs/>
          <w:color w:val="000000"/>
          <w:szCs w:val="20"/>
        </w:rPr>
      </w:pPr>
      <w:r w:rsidRPr="003031CF">
        <w:rPr>
          <w:rFonts w:asciiTheme="majorBidi" w:hAnsiTheme="majorBidi" w:cstheme="majorBidi"/>
          <w:bCs/>
          <w:color w:val="000000"/>
          <w:szCs w:val="20"/>
        </w:rPr>
        <w:t>FFS: Applicability of assistance information, e.g., per multiplexing scenario, per resource, etc.</w:t>
      </w:r>
    </w:p>
    <w:p w14:paraId="03062130" w14:textId="22FA1EE6" w:rsidR="00E04094" w:rsidRDefault="00E04094" w:rsidP="00E04094">
      <w:pPr>
        <w:rPr>
          <w:rFonts w:asciiTheme="majorBidi" w:hAnsiTheme="majorBidi" w:cstheme="majorBidi"/>
          <w:bCs/>
          <w:color w:val="000000"/>
          <w:szCs w:val="20"/>
        </w:rPr>
      </w:pPr>
      <w:r w:rsidRPr="003031CF">
        <w:rPr>
          <w:rFonts w:asciiTheme="majorBidi" w:hAnsiTheme="majorBidi" w:cstheme="majorBidi"/>
          <w:bCs/>
          <w:color w:val="000000"/>
          <w:szCs w:val="20"/>
        </w:rPr>
        <w:t>FFS: Signalling details, including the possibility to extend PHR.</w:t>
      </w:r>
    </w:p>
    <w:p w14:paraId="2B68B35C" w14:textId="3DD50E93" w:rsidR="00E04094" w:rsidRDefault="00E04094" w:rsidP="00E04094">
      <w:r>
        <w:t>With respect to FFS points, UL Tx power PH or dynamic range of the IAB-MT may change due to changes in the DL Tx power of the collocated IAB-DU, which may occur as a result of receiving a DL power adjustment signaling from a child node served by the IAB-DU. Therefore, we propose to allow the IAB-MT to report PH or PH offset when a collocated IAB-DU receives a DL power adjustment control signaling from its child node.</w:t>
      </w:r>
    </w:p>
    <w:p w14:paraId="6AB5A217" w14:textId="77777777" w:rsidR="00E04094" w:rsidRPr="007F1591" w:rsidRDefault="00E04094" w:rsidP="00E04094">
      <w:pPr>
        <w:pStyle w:val="Proposal"/>
      </w:pPr>
      <w:bookmarkStart w:id="122" w:name="_Toc79159558"/>
      <w:bookmarkStart w:id="123" w:name="_Toc79159674"/>
      <w:bookmarkStart w:id="124" w:name="_Toc79178207"/>
      <w:bookmarkStart w:id="125" w:name="_Toc83997284"/>
      <w:bookmarkStart w:id="126" w:name="_Toc84012640"/>
      <w:bookmarkStart w:id="127" w:name="_Toc84017966"/>
      <w:bookmarkStart w:id="128" w:name="_Toc84019207"/>
      <w:bookmarkStart w:id="129" w:name="_Toc84022338"/>
      <w:r>
        <w:t>Support IAB-MT reporting power headroom or power headroom offset to its parent node when a collocated IAB-DU receives a DL power adjustment message from its child node.</w:t>
      </w:r>
      <w:bookmarkEnd w:id="122"/>
      <w:bookmarkEnd w:id="123"/>
      <w:bookmarkEnd w:id="124"/>
      <w:bookmarkEnd w:id="125"/>
      <w:bookmarkEnd w:id="126"/>
      <w:bookmarkEnd w:id="127"/>
      <w:bookmarkEnd w:id="128"/>
      <w:bookmarkEnd w:id="129"/>
    </w:p>
    <w:p w14:paraId="70801526" w14:textId="7D6F75E8" w:rsidR="00E04094" w:rsidRDefault="00D8368C" w:rsidP="00D8368C">
      <w:r>
        <w:t>Regarding applicability of the assistance information, it should be noted that the PH variations are related to specific resources at the IAB node. For example, when the IAB node performs MT UL Tx, the multiplexing case may be Case A or Case C depending on whether the simultaneous DU operation is DL Tx or UL RX, respectively. The possible PH variations in this case are related to Case A, not Case C. Therefore, the IAB node can indicate the time-frequency resources on which the PH offset is applicable.</w:t>
      </w:r>
      <w:r w:rsidR="00470B6B">
        <w:t xml:space="preserve"> In addition to D/U/F attributes, H/S/NA attributes of DU resources </w:t>
      </w:r>
      <w:r w:rsidR="003D7739">
        <w:t>may have an impact on PH variations, which can be further studied.</w:t>
      </w:r>
    </w:p>
    <w:p w14:paraId="21CADC32" w14:textId="52BCA378" w:rsidR="00D8368C" w:rsidRDefault="00D8368C" w:rsidP="00D8368C">
      <w:pPr>
        <w:pStyle w:val="Proposal"/>
      </w:pPr>
      <w:bookmarkStart w:id="130" w:name="_Toc84017967"/>
      <w:bookmarkStart w:id="131" w:name="_Toc84019208"/>
      <w:bookmarkStart w:id="132" w:name="_Toc84022339"/>
      <w:r>
        <w:t xml:space="preserve">Support PH or PH offset reporting for specific time-frequency resources and/or specific D/U/F </w:t>
      </w:r>
      <w:r w:rsidR="00470B6B">
        <w:t xml:space="preserve">resource </w:t>
      </w:r>
      <w:r>
        <w:t>attributes.</w:t>
      </w:r>
      <w:r w:rsidR="00470B6B">
        <w:t xml:space="preserve"> Further study relationship with H/S/NA attributes.</w:t>
      </w:r>
      <w:bookmarkEnd w:id="130"/>
      <w:bookmarkEnd w:id="131"/>
      <w:bookmarkEnd w:id="132"/>
    </w:p>
    <w:p w14:paraId="450D9437" w14:textId="2AB42F89" w:rsidR="00E04094" w:rsidRPr="003031CF" w:rsidRDefault="00E462E6" w:rsidP="00E04094">
      <w:pPr>
        <w:rPr>
          <w:rFonts w:asciiTheme="majorBidi" w:hAnsiTheme="majorBidi" w:cstheme="majorBidi"/>
          <w:bCs/>
          <w:color w:val="000000"/>
          <w:szCs w:val="20"/>
        </w:rPr>
      </w:pPr>
      <w:r>
        <w:rPr>
          <w:lang w:val="en-GB"/>
        </w:rPr>
        <w:t xml:space="preserve">Next, the following was agreed on assistance information for DU DL Tx power control in the previous meetings </w:t>
      </w:r>
      <w:r>
        <w:rPr>
          <w:lang w:val="en-GB"/>
        </w:rPr>
        <w:fldChar w:fldCharType="begin"/>
      </w:r>
      <w:r>
        <w:rPr>
          <w:lang w:val="en-GB"/>
        </w:rPr>
        <w:instrText xml:space="preserve"> REF _Ref71645684 \r \h </w:instrText>
      </w:r>
      <w:r>
        <w:rPr>
          <w:lang w:val="en-GB"/>
        </w:rPr>
      </w:r>
      <w:r>
        <w:rPr>
          <w:lang w:val="en-GB"/>
        </w:rPr>
        <w:fldChar w:fldCharType="separate"/>
      </w:r>
      <w:r>
        <w:rPr>
          <w:cs/>
          <w:lang w:val="en-GB"/>
        </w:rPr>
        <w:t>‎</w:t>
      </w:r>
      <w:r>
        <w:rPr>
          <w:lang w:val="en-GB"/>
        </w:rPr>
        <w:t>[2]</w:t>
      </w:r>
      <w:r>
        <w:rPr>
          <w:lang w:val="en-GB"/>
        </w:rPr>
        <w:fldChar w:fldCharType="end"/>
      </w:r>
      <w:r>
        <w:rPr>
          <w:lang w:val="en-GB"/>
        </w:rPr>
        <w:fldChar w:fldCharType="begin"/>
      </w:r>
      <w:r>
        <w:rPr>
          <w:lang w:val="en-GB"/>
        </w:rPr>
        <w:instrText xml:space="preserve"> REF _Ref83991124 \r \h </w:instrText>
      </w:r>
      <w:r>
        <w:rPr>
          <w:lang w:val="en-GB"/>
        </w:rPr>
      </w:r>
      <w:r>
        <w:rPr>
          <w:lang w:val="en-GB"/>
        </w:rPr>
        <w:fldChar w:fldCharType="separate"/>
      </w:r>
      <w:r>
        <w:rPr>
          <w:cs/>
          <w:lang w:val="en-GB"/>
        </w:rPr>
        <w:t>‎</w:t>
      </w:r>
      <w:r>
        <w:rPr>
          <w:lang w:val="en-GB"/>
        </w:rPr>
        <w:t>[3]</w:t>
      </w:r>
      <w:r>
        <w:rPr>
          <w:lang w:val="en-GB"/>
        </w:rPr>
        <w:fldChar w:fldCharType="end"/>
      </w:r>
      <w:r>
        <w:rPr>
          <w:lang w:val="en-GB"/>
        </w:rPr>
        <w:t>:</w:t>
      </w:r>
    </w:p>
    <w:p w14:paraId="25A40E40" w14:textId="77777777" w:rsidR="00AC0D36" w:rsidRPr="003031CF" w:rsidRDefault="00AC0D36" w:rsidP="00C760A0">
      <w:pPr>
        <w:adjustRightInd w:val="0"/>
        <w:snapToGrid w:val="0"/>
        <w:spacing w:before="240" w:after="0"/>
        <w:ind w:left="1267" w:hanging="1267"/>
        <w:jc w:val="both"/>
        <w:rPr>
          <w:rFonts w:asciiTheme="majorBidi" w:hAnsiTheme="majorBidi" w:cstheme="majorBidi"/>
          <w:b/>
          <w:szCs w:val="20"/>
          <w:highlight w:val="green"/>
        </w:rPr>
      </w:pPr>
      <w:r w:rsidRPr="003031CF">
        <w:rPr>
          <w:rFonts w:asciiTheme="majorBidi" w:hAnsiTheme="majorBidi" w:cstheme="majorBidi"/>
          <w:b/>
          <w:szCs w:val="20"/>
          <w:highlight w:val="green"/>
        </w:rPr>
        <w:t>Agreement</w:t>
      </w:r>
    </w:p>
    <w:p w14:paraId="21C36C91" w14:textId="77777777" w:rsidR="00AC0D36" w:rsidRPr="003031CF" w:rsidRDefault="00AC0D36" w:rsidP="00AC0D36">
      <w:pPr>
        <w:rPr>
          <w:rFonts w:asciiTheme="majorBidi" w:eastAsia="Calibri" w:hAnsiTheme="majorBidi" w:cstheme="majorBidi"/>
          <w:szCs w:val="20"/>
        </w:rPr>
      </w:pPr>
      <w:r w:rsidRPr="003031CF">
        <w:rPr>
          <w:rFonts w:asciiTheme="majorBidi" w:eastAsia="Calibri" w:hAnsiTheme="majorBidi" w:cstheme="majorBidi"/>
          <w:szCs w:val="20"/>
        </w:rPr>
        <w:t>The information to assist DL power allocation of the parent-node is indicated by the IAB-MT to the parent node DU in terms of desired power adjustment.</w:t>
      </w:r>
    </w:p>
    <w:p w14:paraId="6128BCCF" w14:textId="77777777" w:rsidR="00AC0D36" w:rsidRPr="003031CF" w:rsidRDefault="00AC0D36" w:rsidP="00AC0D36">
      <w:pPr>
        <w:pStyle w:val="ListParagraph"/>
        <w:numPr>
          <w:ilvl w:val="0"/>
          <w:numId w:val="18"/>
        </w:numPr>
        <w:spacing w:before="0" w:after="0" w:line="240" w:lineRule="auto"/>
        <w:textAlignment w:val="baseline"/>
        <w:rPr>
          <w:rFonts w:asciiTheme="majorBidi" w:hAnsiTheme="majorBidi" w:cstheme="majorBidi"/>
          <w:szCs w:val="20"/>
        </w:rPr>
      </w:pPr>
      <w:r w:rsidRPr="003031CF">
        <w:rPr>
          <w:rFonts w:asciiTheme="majorBidi" w:hAnsiTheme="majorBidi" w:cstheme="majorBidi"/>
          <w:szCs w:val="20"/>
        </w:rPr>
        <w:t>FFS applicability of assistance information, e.g. per multiplexing scenario, per resource, etc.</w:t>
      </w:r>
    </w:p>
    <w:p w14:paraId="334BF0BC" w14:textId="77777777" w:rsidR="003031CF" w:rsidRPr="003031CF" w:rsidRDefault="003031CF" w:rsidP="003031CF">
      <w:pPr>
        <w:adjustRightInd w:val="0"/>
        <w:snapToGrid w:val="0"/>
        <w:spacing w:before="240" w:after="0"/>
        <w:ind w:left="1267" w:hanging="1267"/>
        <w:jc w:val="both"/>
        <w:rPr>
          <w:rFonts w:asciiTheme="majorBidi" w:hAnsiTheme="majorBidi" w:cstheme="majorBidi"/>
          <w:b/>
          <w:szCs w:val="20"/>
          <w:highlight w:val="green"/>
        </w:rPr>
      </w:pPr>
      <w:r w:rsidRPr="003031CF">
        <w:rPr>
          <w:rFonts w:asciiTheme="majorBidi" w:hAnsiTheme="majorBidi" w:cstheme="majorBidi"/>
          <w:b/>
          <w:szCs w:val="20"/>
          <w:highlight w:val="green"/>
        </w:rPr>
        <w:t>Agreement</w:t>
      </w:r>
    </w:p>
    <w:p w14:paraId="035F1E17" w14:textId="77777777" w:rsidR="003031CF" w:rsidRPr="003031CF" w:rsidRDefault="003031CF" w:rsidP="003031CF">
      <w:pPr>
        <w:rPr>
          <w:rFonts w:asciiTheme="majorBidi" w:hAnsiTheme="majorBidi" w:cstheme="majorBidi"/>
          <w:szCs w:val="20"/>
          <w:lang w:eastAsia="ja-JP"/>
        </w:rPr>
      </w:pPr>
      <w:r w:rsidRPr="003031CF">
        <w:rPr>
          <w:rFonts w:asciiTheme="majorBidi" w:hAnsiTheme="majorBidi" w:cstheme="majorBidi"/>
          <w:szCs w:val="20"/>
          <w:lang w:eastAsia="ja-JP"/>
        </w:rPr>
        <w:t>The desired DL TX power adjustment, indicated by the IAB-MT to its parent-node to assist with the parent-node’s DL TX power allocation, is provided at least for</w:t>
      </w:r>
      <w:r w:rsidRPr="003031CF">
        <w:rPr>
          <w:rStyle w:val="apple-converted-space"/>
          <w:rFonts w:asciiTheme="majorBidi" w:hAnsiTheme="majorBidi" w:cstheme="majorBidi"/>
          <w:szCs w:val="20"/>
          <w:lang w:eastAsia="ja-JP"/>
        </w:rPr>
        <w:t> </w:t>
      </w:r>
      <w:r w:rsidRPr="003031CF">
        <w:rPr>
          <w:rFonts w:asciiTheme="majorBidi" w:hAnsiTheme="majorBidi" w:cstheme="majorBidi"/>
          <w:szCs w:val="20"/>
          <w:lang w:eastAsia="ja-JP"/>
        </w:rPr>
        <w:t>specific time</w:t>
      </w:r>
      <w:r w:rsidRPr="003031CF">
        <w:rPr>
          <w:rStyle w:val="apple-converted-space"/>
          <w:rFonts w:asciiTheme="majorBidi" w:hAnsiTheme="majorBidi" w:cstheme="majorBidi"/>
          <w:szCs w:val="20"/>
          <w:lang w:eastAsia="ja-JP"/>
        </w:rPr>
        <w:t> </w:t>
      </w:r>
      <w:r w:rsidRPr="003031CF">
        <w:rPr>
          <w:rFonts w:asciiTheme="majorBidi" w:hAnsiTheme="majorBidi" w:cstheme="majorBidi"/>
          <w:szCs w:val="20"/>
          <w:lang w:eastAsia="ja-JP"/>
        </w:rPr>
        <w:t>resources.</w:t>
      </w:r>
      <w:r w:rsidRPr="003031CF">
        <w:rPr>
          <w:rStyle w:val="apple-converted-space"/>
          <w:rFonts w:asciiTheme="majorBidi" w:hAnsiTheme="majorBidi" w:cstheme="majorBidi"/>
          <w:szCs w:val="20"/>
          <w:lang w:eastAsia="ja-JP"/>
        </w:rPr>
        <w:t> </w:t>
      </w:r>
    </w:p>
    <w:p w14:paraId="7311F7E6" w14:textId="77777777" w:rsidR="003031CF" w:rsidRPr="003031CF" w:rsidRDefault="003031CF" w:rsidP="003031CF">
      <w:pPr>
        <w:rPr>
          <w:rFonts w:asciiTheme="majorBidi" w:hAnsiTheme="majorBidi" w:cstheme="majorBidi"/>
          <w:szCs w:val="20"/>
          <w:lang w:eastAsia="ja-JP"/>
        </w:rPr>
      </w:pPr>
      <w:r w:rsidRPr="003031CF">
        <w:rPr>
          <w:rFonts w:asciiTheme="majorBidi" w:hAnsiTheme="majorBidi" w:cstheme="majorBidi"/>
          <w:szCs w:val="20"/>
          <w:lang w:eastAsia="ja-JP"/>
        </w:rPr>
        <w:t>The desired DL TX power adjustment can further be associated with spatial configuration. (e.g., MT’s DL RX beams).</w:t>
      </w:r>
    </w:p>
    <w:p w14:paraId="13601E74" w14:textId="77777777" w:rsidR="003031CF" w:rsidRPr="003031CF" w:rsidRDefault="003031CF" w:rsidP="003031CF">
      <w:pPr>
        <w:pStyle w:val="ListParagraph"/>
        <w:numPr>
          <w:ilvl w:val="0"/>
          <w:numId w:val="23"/>
        </w:numPr>
        <w:overflowPunct w:val="0"/>
        <w:autoSpaceDE w:val="0"/>
        <w:autoSpaceDN w:val="0"/>
        <w:adjustRightInd w:val="0"/>
        <w:spacing w:before="0" w:after="180" w:line="240" w:lineRule="auto"/>
        <w:textAlignment w:val="baseline"/>
        <w:rPr>
          <w:rFonts w:asciiTheme="majorBidi" w:hAnsiTheme="majorBidi" w:cstheme="majorBidi"/>
        </w:rPr>
      </w:pPr>
      <w:r w:rsidRPr="003031CF">
        <w:rPr>
          <w:rFonts w:asciiTheme="majorBidi" w:hAnsiTheme="majorBidi" w:cstheme="majorBidi"/>
        </w:rPr>
        <w:t>FFS: signalling details, e.g. indication via MAC-CE, PUCCH, or legacy CSI framework.</w:t>
      </w:r>
    </w:p>
    <w:p w14:paraId="697D1132" w14:textId="77777777" w:rsidR="003031CF" w:rsidRPr="003031CF" w:rsidRDefault="003031CF" w:rsidP="003031CF">
      <w:pPr>
        <w:adjustRightInd w:val="0"/>
        <w:snapToGrid w:val="0"/>
        <w:spacing w:before="240" w:after="0"/>
        <w:ind w:left="1267" w:hanging="1267"/>
        <w:jc w:val="both"/>
        <w:rPr>
          <w:rFonts w:asciiTheme="majorBidi" w:hAnsiTheme="majorBidi" w:cstheme="majorBidi"/>
          <w:b/>
          <w:szCs w:val="20"/>
          <w:highlight w:val="green"/>
        </w:rPr>
      </w:pPr>
      <w:r w:rsidRPr="003031CF">
        <w:rPr>
          <w:rFonts w:asciiTheme="majorBidi" w:hAnsiTheme="majorBidi" w:cstheme="majorBidi"/>
          <w:b/>
          <w:szCs w:val="20"/>
          <w:highlight w:val="green"/>
        </w:rPr>
        <w:t>Agreement</w:t>
      </w:r>
    </w:p>
    <w:p w14:paraId="7E0988D2" w14:textId="77777777" w:rsidR="003031CF" w:rsidRPr="003031CF" w:rsidRDefault="003031CF" w:rsidP="003031CF">
      <w:pPr>
        <w:rPr>
          <w:rFonts w:asciiTheme="majorBidi" w:hAnsiTheme="majorBidi" w:cstheme="majorBidi"/>
          <w:szCs w:val="20"/>
          <w:lang w:eastAsia="ja-JP"/>
        </w:rPr>
      </w:pPr>
      <w:r w:rsidRPr="003031CF">
        <w:rPr>
          <w:rFonts w:asciiTheme="majorBidi" w:hAnsiTheme="majorBidi" w:cstheme="majorBidi"/>
          <w:szCs w:val="20"/>
          <w:lang w:eastAsia="ja-JP"/>
        </w:rPr>
        <w:t>Support an IAB-node indicating adjustment to its DL TX power to a child node (e.g., in response to receiving the DL TX power assistance information from the child node) at least for</w:t>
      </w:r>
      <w:r w:rsidRPr="003031CF">
        <w:rPr>
          <w:rStyle w:val="apple-converted-space"/>
          <w:rFonts w:asciiTheme="majorBidi" w:hAnsiTheme="majorBidi" w:cstheme="majorBidi"/>
          <w:szCs w:val="20"/>
          <w:lang w:eastAsia="ja-JP"/>
        </w:rPr>
        <w:t> </w:t>
      </w:r>
      <w:r w:rsidRPr="003031CF">
        <w:rPr>
          <w:rFonts w:asciiTheme="majorBidi" w:hAnsiTheme="majorBidi" w:cstheme="majorBidi"/>
          <w:szCs w:val="20"/>
          <w:lang w:eastAsia="ja-JP"/>
        </w:rPr>
        <w:t>specific time</w:t>
      </w:r>
      <w:r w:rsidRPr="003031CF">
        <w:rPr>
          <w:rStyle w:val="apple-converted-space"/>
          <w:rFonts w:asciiTheme="majorBidi" w:hAnsiTheme="majorBidi" w:cstheme="majorBidi"/>
          <w:szCs w:val="20"/>
          <w:lang w:eastAsia="ja-JP"/>
        </w:rPr>
        <w:t> </w:t>
      </w:r>
      <w:r w:rsidRPr="003031CF">
        <w:rPr>
          <w:rFonts w:asciiTheme="majorBidi" w:hAnsiTheme="majorBidi" w:cstheme="majorBidi"/>
          <w:szCs w:val="20"/>
          <w:lang w:eastAsia="ja-JP"/>
        </w:rPr>
        <w:t>resources.</w:t>
      </w:r>
    </w:p>
    <w:p w14:paraId="4ED2E270" w14:textId="77777777" w:rsidR="003031CF" w:rsidRPr="003031CF" w:rsidRDefault="003031CF" w:rsidP="003031CF">
      <w:pPr>
        <w:rPr>
          <w:rFonts w:asciiTheme="majorBidi" w:hAnsiTheme="majorBidi" w:cstheme="majorBidi"/>
          <w:szCs w:val="20"/>
          <w:lang w:eastAsia="ja-JP"/>
        </w:rPr>
      </w:pPr>
      <w:r w:rsidRPr="003031CF">
        <w:rPr>
          <w:rFonts w:asciiTheme="majorBidi" w:hAnsiTheme="majorBidi" w:cstheme="majorBidi"/>
          <w:szCs w:val="20"/>
          <w:lang w:eastAsia="ja-JP"/>
        </w:rPr>
        <w:lastRenderedPageBreak/>
        <w:t>The DL TX power adjustment indication can further be associated with spatial configuration. (e.g., MT’s DL RX beams).</w:t>
      </w:r>
    </w:p>
    <w:p w14:paraId="0B45D029" w14:textId="77777777" w:rsidR="003031CF" w:rsidRPr="003031CF" w:rsidRDefault="003031CF" w:rsidP="003031CF">
      <w:pPr>
        <w:pStyle w:val="ListParagraph"/>
        <w:numPr>
          <w:ilvl w:val="0"/>
          <w:numId w:val="23"/>
        </w:numPr>
        <w:overflowPunct w:val="0"/>
        <w:autoSpaceDE w:val="0"/>
        <w:autoSpaceDN w:val="0"/>
        <w:adjustRightInd w:val="0"/>
        <w:spacing w:before="0" w:after="180" w:line="240" w:lineRule="auto"/>
        <w:textAlignment w:val="baseline"/>
        <w:rPr>
          <w:rFonts w:asciiTheme="majorBidi" w:hAnsiTheme="majorBidi" w:cstheme="majorBidi"/>
        </w:rPr>
      </w:pPr>
      <w:r w:rsidRPr="003031CF">
        <w:rPr>
          <w:rFonts w:asciiTheme="majorBidi" w:hAnsiTheme="majorBidi" w:cstheme="majorBidi"/>
        </w:rPr>
        <w:t>FFS: signalling details.</w:t>
      </w:r>
    </w:p>
    <w:p w14:paraId="2D38C5AC" w14:textId="71497278" w:rsidR="00E7526B" w:rsidRDefault="00E462E6" w:rsidP="00E7526B">
      <w:r>
        <w:t>We propose to introduce MAC CE signaling for both the request message (from the IAB node to its parent node) and the response message (from the parent node back to the IAB node).</w:t>
      </w:r>
    </w:p>
    <w:p w14:paraId="29B9674C" w14:textId="63F834B5" w:rsidR="00E462E6" w:rsidRDefault="00E462E6" w:rsidP="00E7526B">
      <w:r>
        <w:t xml:space="preserve">The request message </w:t>
      </w:r>
      <w:r w:rsidR="007A4414">
        <w:t xml:space="preserve">should include a value of power adjustment in dB. The message </w:t>
      </w:r>
      <w:r>
        <w:t xml:space="preserve">can </w:t>
      </w:r>
      <w:r w:rsidR="007A4414">
        <w:t xml:space="preserve">further </w:t>
      </w:r>
      <w:r>
        <w:t xml:space="preserve">indicate </w:t>
      </w:r>
      <w:r w:rsidR="007A4414">
        <w:t>time-</w:t>
      </w:r>
      <w:r>
        <w:t>frequency resources as well as spatial information to which the request message is applied.</w:t>
      </w:r>
    </w:p>
    <w:p w14:paraId="18DE05EE" w14:textId="5B8BAC2D" w:rsidR="00E462E6" w:rsidRDefault="00E462E6" w:rsidP="00E462E6">
      <w:pPr>
        <w:pStyle w:val="Proposal"/>
      </w:pPr>
      <w:bookmarkStart w:id="133" w:name="_Toc84017968"/>
      <w:bookmarkStart w:id="134" w:name="_Toc84019209"/>
      <w:bookmarkStart w:id="135" w:name="_Toc84022340"/>
      <w:r>
        <w:t xml:space="preserve">Support MAC CE signaling for the </w:t>
      </w:r>
      <w:r w:rsidR="00C93EF9">
        <w:t xml:space="preserve">DL TX power adjustment </w:t>
      </w:r>
      <w:r>
        <w:t>request from the IAB node to its parent node</w:t>
      </w:r>
      <w:r w:rsidR="00C93EF9">
        <w:t xml:space="preserve">. The </w:t>
      </w:r>
      <w:r w:rsidR="007A4414">
        <w:t xml:space="preserve">request </w:t>
      </w:r>
      <w:r w:rsidR="00C93EF9">
        <w:t xml:space="preserve">message includes a </w:t>
      </w:r>
      <w:r w:rsidR="007A4414">
        <w:t xml:space="preserve">requested </w:t>
      </w:r>
      <w:r w:rsidR="00C93EF9">
        <w:t>value of power adjustment in dB as well indication of time-frequency resources and spatial information.</w:t>
      </w:r>
      <w:bookmarkEnd w:id="133"/>
      <w:bookmarkEnd w:id="134"/>
      <w:bookmarkEnd w:id="135"/>
    </w:p>
    <w:p w14:paraId="57DEE52B" w14:textId="6F41B80D" w:rsidR="007A4414" w:rsidRDefault="007A4414" w:rsidP="007A4414">
      <w:r>
        <w:t>Similarly, the response message can include indication of time-frequency resources as well as spatial information. Moreover, it should be noted that since the parent node may grant a power adjustment that may not be necessarily equal to the power adjustment value request by the IAB node, it is practical to include a value of granted power adjustment in dB in the response message as well.</w:t>
      </w:r>
    </w:p>
    <w:p w14:paraId="73B97008" w14:textId="158BADD2" w:rsidR="007A4414" w:rsidRDefault="007A4414" w:rsidP="007A4414">
      <w:pPr>
        <w:pStyle w:val="Proposal"/>
      </w:pPr>
      <w:bookmarkStart w:id="136" w:name="_Toc84017969"/>
      <w:bookmarkStart w:id="137" w:name="_Toc84019210"/>
      <w:bookmarkStart w:id="138" w:name="_Toc84022341"/>
      <w:r>
        <w:t>Support MAC CE signaling for the DL TX power adjustment response from the parent node back to the IAB node. The response message includes a value of granted power adjustment in dB as well indication of time-frequency resources and spatial information.</w:t>
      </w:r>
      <w:bookmarkEnd w:id="136"/>
      <w:bookmarkEnd w:id="137"/>
      <w:bookmarkEnd w:id="138"/>
    </w:p>
    <w:p w14:paraId="05544859" w14:textId="40414ABC" w:rsidR="00872977" w:rsidRDefault="00872977" w:rsidP="00872977">
      <w:pPr>
        <w:pStyle w:val="Heading2"/>
      </w:pPr>
      <w:bookmarkStart w:id="139" w:name="p2"/>
      <w:bookmarkStart w:id="140" w:name="p3"/>
      <w:r>
        <w:tab/>
      </w:r>
      <w:r w:rsidR="00E7526B">
        <w:t>Interference management</w:t>
      </w:r>
    </w:p>
    <w:p w14:paraId="4B67717E" w14:textId="34C19CB7" w:rsidR="009B48F3" w:rsidRDefault="00931271" w:rsidP="00872977">
      <w:r>
        <w:t xml:space="preserve">According to Rel-16 CLI, the victim IAB node receives configuration information for SRS </w:t>
      </w:r>
      <w:r w:rsidR="009B48F3">
        <w:t xml:space="preserve">from </w:t>
      </w:r>
      <w:r>
        <w:t xml:space="preserve">the aggressor IAB node. </w:t>
      </w:r>
      <w:r w:rsidR="009B48F3">
        <w:t>But t</w:t>
      </w:r>
      <w:r>
        <w:t>he timing of the SRS transmission is</w:t>
      </w:r>
      <w:r w:rsidR="009B48F3">
        <w:t xml:space="preserve"> </w:t>
      </w:r>
      <w:r>
        <w:t xml:space="preserve">unknown to the </w:t>
      </w:r>
      <w:r w:rsidR="00B25163">
        <w:t>victim</w:t>
      </w:r>
      <w:r>
        <w:t xml:space="preserve"> node, hence </w:t>
      </w:r>
      <w:r w:rsidR="00B25163">
        <w:t>potentially</w:t>
      </w:r>
      <w:r w:rsidR="009B48F3">
        <w:t xml:space="preserve"> </w:t>
      </w:r>
      <w:r>
        <w:t>reducing the measurement accuracy if left to implementation.</w:t>
      </w:r>
      <w:r w:rsidR="009B48F3" w:rsidRPr="009B48F3">
        <w:t xml:space="preserve"> </w:t>
      </w:r>
      <w:r w:rsidR="009B48F3">
        <w:t>Compared to UE-to-UE CLI, the matter might be worse in the case of IAB due to various timing alignment modes in the uplink.</w:t>
      </w:r>
    </w:p>
    <w:p w14:paraId="4E81825F" w14:textId="10FAAECA" w:rsidR="00872977" w:rsidRDefault="00931271" w:rsidP="009B48F3">
      <w:r>
        <w:t>Addressing this issue for UE-to-UE CLI could be complicated, possibly requiring inter-gNB signaling for conveying timing information.</w:t>
      </w:r>
      <w:r w:rsidR="009B48F3">
        <w:t xml:space="preserve"> However, </w:t>
      </w:r>
      <w:r>
        <w:t>s</w:t>
      </w:r>
      <w:r w:rsidR="00872977">
        <w:t xml:space="preserve">ince </w:t>
      </w:r>
      <w:r>
        <w:t>the aggressor node</w:t>
      </w:r>
      <w:r w:rsidR="00872977">
        <w:t xml:space="preserve"> transmit</w:t>
      </w:r>
      <w:r>
        <w:t>s</w:t>
      </w:r>
      <w:r w:rsidR="00872977">
        <w:t xml:space="preserve"> </w:t>
      </w:r>
      <w:r w:rsidR="009B48F3">
        <w:t>SSBs</w:t>
      </w:r>
      <w:r w:rsidR="00872977">
        <w:t xml:space="preserve">, </w:t>
      </w:r>
      <w:r>
        <w:t xml:space="preserve">the victim node can obtain </w:t>
      </w:r>
      <w:r w:rsidR="00872977">
        <w:t xml:space="preserve">the timing </w:t>
      </w:r>
      <w:r>
        <w:t>and utilize that for timing adjustment.</w:t>
      </w:r>
    </w:p>
    <w:p w14:paraId="5973560B" w14:textId="7C103021" w:rsidR="00872977" w:rsidRDefault="00FD5F3F" w:rsidP="00A302A1">
      <w:pPr>
        <w:pStyle w:val="Proposal"/>
      </w:pPr>
      <w:bookmarkStart w:id="141" w:name="_Toc54333411"/>
      <w:bookmarkStart w:id="142" w:name="_Toc54334225"/>
      <w:bookmarkStart w:id="143" w:name="_Toc54335456"/>
      <w:bookmarkStart w:id="144" w:name="_Toc54336349"/>
      <w:bookmarkStart w:id="145" w:name="_Toc54337825"/>
      <w:bookmarkStart w:id="146" w:name="_Toc54338582"/>
      <w:bookmarkStart w:id="147" w:name="_Toc54339094"/>
      <w:bookmarkStart w:id="148" w:name="_Toc54339226"/>
      <w:bookmarkStart w:id="149" w:name="_Toc54340307"/>
      <w:bookmarkStart w:id="150" w:name="_Toc54345675"/>
      <w:bookmarkStart w:id="151" w:name="_Toc61554242"/>
      <w:bookmarkStart w:id="152" w:name="_Toc61556561"/>
      <w:bookmarkStart w:id="153" w:name="_Toc61556775"/>
      <w:bookmarkStart w:id="154" w:name="_Toc61557421"/>
      <w:bookmarkStart w:id="155" w:name="_Toc61558131"/>
      <w:bookmarkStart w:id="156" w:name="_Toc61559440"/>
      <w:bookmarkStart w:id="157" w:name="_Toc61860814"/>
      <w:bookmarkStart w:id="158" w:name="_Toc61869502"/>
      <w:bookmarkStart w:id="159" w:name="_Toc61870343"/>
      <w:bookmarkStart w:id="160" w:name="_Toc61871479"/>
      <w:bookmarkStart w:id="161" w:name="_Toc61874658"/>
      <w:bookmarkStart w:id="162" w:name="_Toc61893683"/>
      <w:bookmarkStart w:id="163" w:name="_Toc71645249"/>
      <w:bookmarkStart w:id="164" w:name="_Toc71646784"/>
      <w:bookmarkStart w:id="165" w:name="_Toc71648196"/>
      <w:bookmarkStart w:id="166" w:name="_Toc71649896"/>
      <w:bookmarkStart w:id="167" w:name="_Toc71655197"/>
      <w:bookmarkStart w:id="168" w:name="_Toc71659412"/>
      <w:bookmarkStart w:id="169" w:name="_Toc71659895"/>
      <w:bookmarkStart w:id="170" w:name="_Toc71665118"/>
      <w:bookmarkStart w:id="171" w:name="_Toc71668890"/>
      <w:bookmarkStart w:id="172" w:name="_Toc71668935"/>
      <w:bookmarkStart w:id="173" w:name="_Toc71668999"/>
      <w:bookmarkStart w:id="174" w:name="_Toc71671252"/>
      <w:bookmarkStart w:id="175" w:name="_Toc71671406"/>
      <w:bookmarkStart w:id="176" w:name="_Toc79159560"/>
      <w:bookmarkStart w:id="177" w:name="_Toc79159676"/>
      <w:bookmarkStart w:id="178" w:name="_Toc79178209"/>
      <w:bookmarkStart w:id="179" w:name="_Toc83997286"/>
      <w:bookmarkStart w:id="180" w:name="_Toc84012643"/>
      <w:bookmarkStart w:id="181" w:name="_Toc84017971"/>
      <w:bookmarkStart w:id="182" w:name="_Toc84019212"/>
      <w:bookmarkStart w:id="183" w:name="_Toc84022342"/>
      <w:r>
        <w:t>Support</w:t>
      </w:r>
      <w:r w:rsidR="00872977">
        <w:t xml:space="preserve"> timing adjustment for CLI measurements </w:t>
      </w:r>
      <w:r>
        <w:t xml:space="preserve">at the victim node based on </w:t>
      </w:r>
      <w:r w:rsidR="009B48F3">
        <w:t xml:space="preserve">timing obtained by receiving </w:t>
      </w:r>
      <w:r>
        <w:t>SSB from the aggressor node</w:t>
      </w:r>
      <w:r w:rsidR="00872977">
        <w: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8961EF6" w14:textId="432DB7E6" w:rsidR="00806559" w:rsidRDefault="00806559" w:rsidP="00806559">
      <w:pPr>
        <w:rPr>
          <w:lang w:val="en-GB"/>
        </w:rPr>
      </w:pPr>
      <w:r>
        <w:rPr>
          <w:lang w:val="en-GB"/>
        </w:rPr>
        <w:t>Advantages pursued by deploying IAB systems are reducing cell planning efforts and support for mobile small cells. IAB systems are expected to measure interference frequently and respond appropriate</w:t>
      </w:r>
      <w:r w:rsidR="00AC495A">
        <w:rPr>
          <w:lang w:val="en-GB"/>
        </w:rPr>
        <w:t>ly in a timely manner.</w:t>
      </w:r>
      <w:r>
        <w:rPr>
          <w:lang w:val="en-GB"/>
        </w:rPr>
        <w:t xml:space="preserve"> That includes cross-link interference (CLI)</w:t>
      </w:r>
      <w:r w:rsidR="00AC495A">
        <w:rPr>
          <w:lang w:val="en-GB"/>
        </w:rPr>
        <w:t xml:space="preserve"> and</w:t>
      </w:r>
      <w:r>
        <w:rPr>
          <w:lang w:val="en-GB"/>
        </w:rPr>
        <w:t xml:space="preserve"> inter-cell interference (ICI)</w:t>
      </w:r>
      <w:r w:rsidR="00AC495A">
        <w:rPr>
          <w:lang w:val="en-GB"/>
        </w:rPr>
        <w:t xml:space="preserve"> as well as</w:t>
      </w:r>
      <w:r>
        <w:rPr>
          <w:lang w:val="en-GB"/>
        </w:rPr>
        <w:t xml:space="preserve"> self-interference (SI) in the case of enhanced duplexing. Enhancements to interference management in IAB systems is further encouraged by the possibility of more effective coordination among IAB nodes that are connected to the same IAB donor; responding to prohibitive interference by prop</w:t>
      </w:r>
      <w:r w:rsidR="003B6C22">
        <w:rPr>
          <w:lang w:val="en-GB"/>
        </w:rPr>
        <w:t>e</w:t>
      </w:r>
      <w:r>
        <w:rPr>
          <w:lang w:val="en-GB"/>
        </w:rPr>
        <w:t>r beamforming and power control; and so on.</w:t>
      </w:r>
    </w:p>
    <w:p w14:paraId="558D1E1D" w14:textId="0A3847A7" w:rsidR="00274080" w:rsidRDefault="00A14B65" w:rsidP="00274080">
      <w:pPr>
        <w:rPr>
          <w:lang w:val="en-GB"/>
        </w:rPr>
      </w:pPr>
      <w:r>
        <w:rPr>
          <w:lang w:val="en-GB"/>
        </w:rPr>
        <w:t xml:space="preserve">Consider the scenario in </w:t>
      </w:r>
      <w:r w:rsidR="00502E28">
        <w:rPr>
          <w:lang w:val="en-GB"/>
        </w:rPr>
        <w:fldChar w:fldCharType="begin"/>
      </w:r>
      <w:r w:rsidR="00502E28">
        <w:rPr>
          <w:lang w:val="en-GB"/>
        </w:rPr>
        <w:instrText xml:space="preserve"> REF _Ref61867473 \r \h </w:instrText>
      </w:r>
      <w:r w:rsidR="00502E28">
        <w:rPr>
          <w:lang w:val="en-GB"/>
        </w:rPr>
      </w:r>
      <w:r w:rsidR="00502E28">
        <w:rPr>
          <w:lang w:val="en-GB"/>
        </w:rPr>
        <w:fldChar w:fldCharType="separate"/>
      </w:r>
      <w:r w:rsidR="00502E28">
        <w:rPr>
          <w:cs/>
          <w:lang w:val="en-GB"/>
        </w:rPr>
        <w:t>‎</w:t>
      </w:r>
      <w:r w:rsidR="00502E28">
        <w:rPr>
          <w:lang w:val="en-GB"/>
        </w:rPr>
        <w:t>Figure 2</w:t>
      </w:r>
      <w:r w:rsidR="00502E28">
        <w:rPr>
          <w:lang w:val="en-GB"/>
        </w:rPr>
        <w:fldChar w:fldCharType="end"/>
      </w:r>
      <w:r w:rsidR="00502E28">
        <w:rPr>
          <w:lang w:val="en-GB"/>
        </w:rPr>
        <w:t>.</w:t>
      </w:r>
    </w:p>
    <w:p w14:paraId="18F57275" w14:textId="0D9CC6CF" w:rsidR="00A14B65" w:rsidRDefault="00DF3994" w:rsidP="00A14B65">
      <w:pPr>
        <w:pStyle w:val="Figure"/>
      </w:pPr>
      <w:r w:rsidRPr="00DF3994">
        <w:rPr>
          <w:noProof/>
        </w:rPr>
        <w:lastRenderedPageBreak/>
        <w:drawing>
          <wp:inline distT="0" distB="0" distL="0" distR="0" wp14:anchorId="5D18908B" wp14:editId="7370BDAA">
            <wp:extent cx="1856232" cy="27249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6232" cy="2724912"/>
                    </a:xfrm>
                    <a:prstGeom prst="rect">
                      <a:avLst/>
                    </a:prstGeom>
                    <a:noFill/>
                    <a:ln>
                      <a:noFill/>
                    </a:ln>
                  </pic:spPr>
                </pic:pic>
              </a:graphicData>
            </a:graphic>
          </wp:inline>
        </w:drawing>
      </w:r>
    </w:p>
    <w:p w14:paraId="2711E4E4" w14:textId="2B42A6C2" w:rsidR="00A14B65" w:rsidRPr="00A14B65" w:rsidRDefault="00A14B65" w:rsidP="00A14B65">
      <w:pPr>
        <w:pStyle w:val="Caption"/>
      </w:pPr>
      <w:bookmarkStart w:id="184" w:name="_Ref61867473"/>
      <w:r>
        <w:t>. Example scenario for CLI and SI</w:t>
      </w:r>
      <w:bookmarkEnd w:id="184"/>
    </w:p>
    <w:p w14:paraId="653D6115" w14:textId="7916FB87" w:rsidR="00A14B65" w:rsidRDefault="00502E28" w:rsidP="00502E28">
      <w:pPr>
        <w:rPr>
          <w:lang w:val="en-GB"/>
        </w:rPr>
      </w:pPr>
      <w:r>
        <w:rPr>
          <w:lang w:val="en-GB"/>
        </w:rPr>
        <w:t xml:space="preserve">For </w:t>
      </w:r>
      <w:r w:rsidRPr="00502E28">
        <w:rPr>
          <w:lang w:val="en-GB"/>
        </w:rPr>
        <w:t>MT to MT, DU to DU, DU to MT, and MT to DU</w:t>
      </w:r>
      <w:r>
        <w:rPr>
          <w:lang w:val="en-GB"/>
        </w:rPr>
        <w:t xml:space="preserve"> interference between different IAB nodes, existing CLI and ICI mechanisms can be taken as a starting point for enhancements. Particularly, for managing interference between IAB nodes served by the same IAB donor, </w:t>
      </w:r>
      <w:r w:rsidR="00AC495A">
        <w:rPr>
          <w:lang w:val="en-GB"/>
        </w:rPr>
        <w:t>it is possible for the IAB donor to configure CSI-RS or SRS to measure downlink or uplink interference from an IAB-DU or IAB-MT, respectively, and share this information with IAB nodes in the vicinity. Since the interference from the DU or MT on other IAB nodes changes with variations in beamforming, Tx power, mobility, etc., the reference signal can be transmitted while such parameters are applied according to upcoming transmissions, hence allowing other IAB nodes to measure the resulting interference.</w:t>
      </w:r>
    </w:p>
    <w:p w14:paraId="01BC5917" w14:textId="2CBCEB69" w:rsidR="00AC495A" w:rsidRDefault="00AC495A" w:rsidP="00A302A1">
      <w:pPr>
        <w:pStyle w:val="Proposal"/>
        <w:rPr>
          <w:lang w:val="en-GB"/>
        </w:rPr>
      </w:pPr>
      <w:bookmarkStart w:id="185" w:name="_Toc61869504"/>
      <w:bookmarkStart w:id="186" w:name="_Toc61870345"/>
      <w:bookmarkStart w:id="187" w:name="_Toc61871481"/>
      <w:bookmarkStart w:id="188" w:name="_Toc61874660"/>
      <w:bookmarkStart w:id="189" w:name="_Toc61893685"/>
      <w:bookmarkStart w:id="190" w:name="_Toc71645251"/>
      <w:bookmarkStart w:id="191" w:name="_Toc71646786"/>
      <w:bookmarkStart w:id="192" w:name="_Toc71648198"/>
      <w:bookmarkStart w:id="193" w:name="_Toc71649898"/>
      <w:bookmarkStart w:id="194" w:name="_Toc71655199"/>
      <w:bookmarkStart w:id="195" w:name="_Toc71659414"/>
      <w:bookmarkStart w:id="196" w:name="_Toc71659897"/>
      <w:bookmarkStart w:id="197" w:name="_Toc71665120"/>
      <w:bookmarkStart w:id="198" w:name="_Toc71668892"/>
      <w:bookmarkStart w:id="199" w:name="_Toc71668937"/>
      <w:bookmarkStart w:id="200" w:name="_Toc71669001"/>
      <w:bookmarkStart w:id="201" w:name="_Toc71671254"/>
      <w:bookmarkStart w:id="202" w:name="_Toc71671408"/>
      <w:bookmarkStart w:id="203" w:name="_Toc79159562"/>
      <w:bookmarkStart w:id="204" w:name="_Toc79159678"/>
      <w:bookmarkStart w:id="205" w:name="_Toc79178211"/>
      <w:bookmarkStart w:id="206" w:name="_Toc83997287"/>
      <w:bookmarkStart w:id="207" w:name="_Toc84012645"/>
      <w:bookmarkStart w:id="208" w:name="_Toc84017972"/>
      <w:bookmarkStart w:id="209" w:name="_Toc84019213"/>
      <w:bookmarkStart w:id="210" w:name="_Toc84022343"/>
      <w:r>
        <w:rPr>
          <w:lang w:val="en-GB"/>
        </w:rPr>
        <w:t>Support configuration of reference signals for measuring CLI according to the aggressor node’s current beamforming</w:t>
      </w:r>
      <w:r w:rsidR="003060F4">
        <w:rPr>
          <w:lang w:val="en-GB"/>
        </w:rPr>
        <w:t>,</w:t>
      </w:r>
      <w:r>
        <w:rPr>
          <w:lang w:val="en-GB"/>
        </w:rPr>
        <w:t xml:space="preserve"> Tx power</w:t>
      </w:r>
      <w:r w:rsidR="003060F4">
        <w:rPr>
          <w:lang w:val="en-GB"/>
        </w:rPr>
        <w:t>, etc.</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4F2DEBDB" w14:textId="6D11EB60" w:rsidR="00356140" w:rsidRDefault="00356140" w:rsidP="00356140">
      <w:pPr>
        <w:rPr>
          <w:lang w:val="en-GB"/>
        </w:rPr>
      </w:pPr>
      <w:r>
        <w:rPr>
          <w:lang w:val="en-GB"/>
        </w:rPr>
        <w:t>A similar situation applies to the case of self-interference for enhanced duplexing. Since beamforming can change the amount of SI between DU and MT of the IAB node, and since this interference generally depends on the environment, which may be varying in the case of mobile IAB or changing scattering environment, it is desired to devise similar mechanisms for SI measurement. In order to save resource overhead, same reference signals can be used for CLI and SI. Therefore, we propose to consider the different types of interfer</w:t>
      </w:r>
      <w:r w:rsidR="003B6C22">
        <w:rPr>
          <w:lang w:val="en-GB"/>
        </w:rPr>
        <w:t>e</w:t>
      </w:r>
      <w:r>
        <w:rPr>
          <w:lang w:val="en-GB"/>
        </w:rPr>
        <w:t>nce under the same framework.</w:t>
      </w:r>
    </w:p>
    <w:p w14:paraId="658ED3D4" w14:textId="29226AAC" w:rsidR="00274080" w:rsidRDefault="00274080" w:rsidP="00A302A1">
      <w:pPr>
        <w:pStyle w:val="Proposal"/>
      </w:pPr>
      <w:bookmarkStart w:id="211" w:name="_Toc54311506"/>
      <w:bookmarkStart w:id="212" w:name="_Toc54311606"/>
      <w:bookmarkStart w:id="213" w:name="_Toc54311801"/>
      <w:bookmarkStart w:id="214" w:name="_Toc54332054"/>
      <w:bookmarkStart w:id="215" w:name="_Toc54332732"/>
      <w:bookmarkStart w:id="216" w:name="_Toc54332776"/>
      <w:bookmarkStart w:id="217" w:name="_Toc54332818"/>
      <w:bookmarkStart w:id="218" w:name="_Toc54336718"/>
      <w:bookmarkStart w:id="219" w:name="_Toc54336879"/>
      <w:bookmarkStart w:id="220" w:name="_Toc54341456"/>
      <w:bookmarkStart w:id="221" w:name="_Toc54341514"/>
      <w:bookmarkStart w:id="222" w:name="_Toc54345803"/>
      <w:bookmarkStart w:id="223" w:name="_Toc54393520"/>
      <w:bookmarkStart w:id="224" w:name="_Toc54393581"/>
      <w:bookmarkStart w:id="225" w:name="_Toc54393720"/>
      <w:bookmarkStart w:id="226" w:name="_Toc61520646"/>
      <w:bookmarkStart w:id="227" w:name="_Toc61536512"/>
      <w:bookmarkStart w:id="228" w:name="_Toc61541292"/>
      <w:bookmarkStart w:id="229" w:name="_Toc61541344"/>
      <w:bookmarkStart w:id="230" w:name="_Toc61544635"/>
      <w:bookmarkStart w:id="231" w:name="_Toc61547548"/>
      <w:bookmarkStart w:id="232" w:name="_Toc61558133"/>
      <w:bookmarkStart w:id="233" w:name="_Toc61559442"/>
      <w:bookmarkStart w:id="234" w:name="_Toc61860816"/>
      <w:bookmarkStart w:id="235" w:name="_Toc61869505"/>
      <w:bookmarkStart w:id="236" w:name="_Toc61870346"/>
      <w:bookmarkStart w:id="237" w:name="_Toc61871482"/>
      <w:bookmarkStart w:id="238" w:name="_Toc61874661"/>
      <w:bookmarkStart w:id="239" w:name="_Toc61893686"/>
      <w:bookmarkStart w:id="240" w:name="_Toc71645252"/>
      <w:bookmarkStart w:id="241" w:name="_Toc71646787"/>
      <w:bookmarkStart w:id="242" w:name="_Toc71648199"/>
      <w:bookmarkStart w:id="243" w:name="_Toc71649899"/>
      <w:bookmarkStart w:id="244" w:name="_Toc71655200"/>
      <w:bookmarkStart w:id="245" w:name="_Toc71659415"/>
      <w:bookmarkStart w:id="246" w:name="_Toc71659898"/>
      <w:bookmarkStart w:id="247" w:name="_Toc71665121"/>
      <w:bookmarkStart w:id="248" w:name="_Toc71668893"/>
      <w:bookmarkStart w:id="249" w:name="_Toc71668938"/>
      <w:bookmarkStart w:id="250" w:name="_Toc71669002"/>
      <w:bookmarkStart w:id="251" w:name="_Toc71671255"/>
      <w:bookmarkStart w:id="252" w:name="_Toc71671409"/>
      <w:bookmarkStart w:id="253" w:name="_Toc79159563"/>
      <w:bookmarkStart w:id="254" w:name="_Toc79159679"/>
      <w:bookmarkStart w:id="255" w:name="_Toc79178212"/>
      <w:bookmarkStart w:id="256" w:name="_Toc83997288"/>
      <w:bookmarkStart w:id="257" w:name="_Toc84012646"/>
      <w:bookmarkStart w:id="258" w:name="_Toc84017973"/>
      <w:bookmarkStart w:id="259" w:name="_Toc84019214"/>
      <w:bookmarkStart w:id="260" w:name="_Toc84022344"/>
      <w:r w:rsidRPr="00C21D29">
        <w:t>Support interference management</w:t>
      </w:r>
      <w:r w:rsidR="00C21D29" w:rsidRPr="00C21D29">
        <w:t>,</w:t>
      </w:r>
      <w:r w:rsidRPr="00C21D29">
        <w:t xml:space="preserve"> including CLI and SI</w:t>
      </w:r>
      <w:r w:rsidR="00C21D29" w:rsidRPr="00C21D29">
        <w:t>,</w:t>
      </w:r>
      <w:r w:rsidRPr="00C21D29">
        <w:t xml:space="preserve"> at least </w:t>
      </w:r>
      <w:r w:rsidR="00316A1B" w:rsidRPr="00C21D29">
        <w:t>among</w:t>
      </w:r>
      <w:r w:rsidRPr="00C21D29">
        <w:t xml:space="preserve"> IAB nodes connected to the same IAB donor.</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00C21D29" w:rsidRPr="00C21D29">
        <w:t xml:space="preserve"> CLI and SI management can be specified under the same framework in order to reduce specification effort, improve implementation flexibility, and save resource overhead for reference signals.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3B7EE83" w14:textId="77777777" w:rsidR="0001103D" w:rsidRDefault="0001103D" w:rsidP="0001103D">
      <w:pPr>
        <w:rPr>
          <w:lang w:val="en-GB"/>
        </w:rPr>
      </w:pPr>
      <w:r w:rsidRPr="00C54C1C">
        <w:rPr>
          <w:lang w:val="en-GB"/>
        </w:rPr>
        <w:t xml:space="preserve">The following was agreed in </w:t>
      </w:r>
      <w:r>
        <w:rPr>
          <w:lang w:val="en-GB"/>
        </w:rPr>
        <w:t>the previous meetings</w:t>
      </w:r>
      <w:r w:rsidRPr="00C54C1C">
        <w:rPr>
          <w:lang w:val="en-GB"/>
        </w:rPr>
        <w:t xml:space="preserve"> </w:t>
      </w:r>
      <w:r w:rsidRPr="00C54C1C">
        <w:rPr>
          <w:lang w:val="en-GB"/>
        </w:rPr>
        <w:fldChar w:fldCharType="begin"/>
      </w:r>
      <w:r w:rsidRPr="00C54C1C">
        <w:rPr>
          <w:lang w:val="en-GB"/>
        </w:rPr>
        <w:instrText xml:space="preserve"> REF _Ref71645684 \r \h  \* MERGEFORMAT </w:instrText>
      </w:r>
      <w:r w:rsidRPr="00C54C1C">
        <w:rPr>
          <w:lang w:val="en-GB"/>
        </w:rPr>
      </w:r>
      <w:r w:rsidRPr="00C54C1C">
        <w:rPr>
          <w:lang w:val="en-GB"/>
        </w:rPr>
        <w:fldChar w:fldCharType="separate"/>
      </w:r>
      <w:r w:rsidRPr="00C54C1C">
        <w:rPr>
          <w:cs/>
          <w:lang w:val="en-GB"/>
        </w:rPr>
        <w:t>‎</w:t>
      </w:r>
      <w:r w:rsidRPr="00C54C1C">
        <w:rPr>
          <w:lang w:val="en-GB"/>
        </w:rPr>
        <w:t>[2]</w:t>
      </w:r>
      <w:r w:rsidRPr="00C54C1C">
        <w:rPr>
          <w:lang w:val="en-GB"/>
        </w:rPr>
        <w:fldChar w:fldCharType="end"/>
      </w:r>
      <w:r>
        <w:rPr>
          <w:lang w:val="en-GB"/>
        </w:rPr>
        <w:fldChar w:fldCharType="begin"/>
      </w:r>
      <w:r>
        <w:rPr>
          <w:lang w:val="en-GB"/>
        </w:rPr>
        <w:instrText xml:space="preserve"> REF _Ref83991124 \r \h </w:instrText>
      </w:r>
      <w:r>
        <w:rPr>
          <w:lang w:val="en-GB"/>
        </w:rPr>
      </w:r>
      <w:r>
        <w:rPr>
          <w:lang w:val="en-GB"/>
        </w:rPr>
        <w:fldChar w:fldCharType="separate"/>
      </w:r>
      <w:r>
        <w:rPr>
          <w:cs/>
          <w:lang w:val="en-GB"/>
        </w:rPr>
        <w:t>‎</w:t>
      </w:r>
      <w:r>
        <w:rPr>
          <w:lang w:val="en-GB"/>
        </w:rPr>
        <w:t>[3]</w:t>
      </w:r>
      <w:r>
        <w:rPr>
          <w:lang w:val="en-GB"/>
        </w:rPr>
        <w:fldChar w:fldCharType="end"/>
      </w:r>
      <w:r w:rsidRPr="00C54C1C">
        <w:rPr>
          <w:lang w:val="en-GB"/>
        </w:rPr>
        <w:t>:</w:t>
      </w:r>
    </w:p>
    <w:p w14:paraId="6245EE21" w14:textId="77777777" w:rsidR="0001103D" w:rsidRPr="004F4C6B" w:rsidRDefault="0001103D" w:rsidP="0001103D">
      <w:pPr>
        <w:adjustRightInd w:val="0"/>
        <w:snapToGrid w:val="0"/>
        <w:spacing w:before="240" w:after="0"/>
        <w:ind w:left="1267" w:hanging="1267"/>
        <w:jc w:val="both"/>
        <w:rPr>
          <w:rFonts w:asciiTheme="majorBidi" w:hAnsiTheme="majorBidi" w:cstheme="majorBidi"/>
          <w:b/>
          <w:bCs/>
          <w:szCs w:val="20"/>
          <w:highlight w:val="green"/>
        </w:rPr>
      </w:pPr>
      <w:r w:rsidRPr="004F4C6B">
        <w:rPr>
          <w:rFonts w:asciiTheme="majorBidi" w:hAnsiTheme="majorBidi" w:cstheme="majorBidi"/>
          <w:b/>
          <w:szCs w:val="20"/>
          <w:highlight w:val="green"/>
        </w:rPr>
        <w:t>Agreement</w:t>
      </w:r>
    </w:p>
    <w:p w14:paraId="2FCD6053" w14:textId="77777777" w:rsidR="0001103D" w:rsidRPr="004F4C6B" w:rsidRDefault="0001103D" w:rsidP="0001103D">
      <w:pPr>
        <w:rPr>
          <w:rFonts w:asciiTheme="majorBidi" w:hAnsiTheme="majorBidi" w:cstheme="majorBidi"/>
          <w:bCs/>
          <w:szCs w:val="20"/>
        </w:rPr>
      </w:pPr>
      <w:r w:rsidRPr="004F4C6B">
        <w:rPr>
          <w:rFonts w:asciiTheme="majorBidi" w:hAnsiTheme="majorBidi" w:cstheme="majorBidi"/>
          <w:bCs/>
          <w:szCs w:val="20"/>
        </w:rPr>
        <w:t>Rel-16 CLI coordination signalling (Intended TDD DL-UL Configuration) is extended to support IAB specific UFD patterns.</w:t>
      </w:r>
    </w:p>
    <w:p w14:paraId="74F51F0D" w14:textId="77777777" w:rsidR="0001103D" w:rsidRPr="004F4C6B" w:rsidRDefault="0001103D" w:rsidP="0001103D">
      <w:pPr>
        <w:numPr>
          <w:ilvl w:val="0"/>
          <w:numId w:val="18"/>
        </w:numPr>
        <w:spacing w:after="0" w:line="240" w:lineRule="auto"/>
        <w:rPr>
          <w:rFonts w:asciiTheme="majorBidi" w:hAnsiTheme="majorBidi" w:cstheme="majorBidi"/>
          <w:bCs/>
          <w:szCs w:val="20"/>
        </w:rPr>
      </w:pPr>
      <w:r w:rsidRPr="004F4C6B">
        <w:rPr>
          <w:rFonts w:asciiTheme="majorBidi" w:hAnsiTheme="majorBidi" w:cstheme="majorBidi"/>
          <w:bCs/>
          <w:szCs w:val="20"/>
        </w:rPr>
        <w:t>FFS: Support the exchange of IAB-DU H/S/NA resource configuration information among neighbouring IAB-nodes/IAB-donors for CLI management purposes.</w:t>
      </w:r>
    </w:p>
    <w:p w14:paraId="7AB519D3" w14:textId="77777777" w:rsidR="0001103D" w:rsidRPr="00974DCF" w:rsidRDefault="0001103D" w:rsidP="0001103D">
      <w:pPr>
        <w:adjustRightInd w:val="0"/>
        <w:snapToGrid w:val="0"/>
        <w:spacing w:before="240" w:after="0"/>
        <w:ind w:left="1267" w:hanging="1267"/>
        <w:jc w:val="both"/>
        <w:rPr>
          <w:rFonts w:asciiTheme="majorBidi" w:hAnsiTheme="majorBidi" w:cstheme="majorBidi"/>
          <w:b/>
          <w:szCs w:val="20"/>
          <w:highlight w:val="green"/>
        </w:rPr>
      </w:pPr>
      <w:r w:rsidRPr="00974DCF">
        <w:rPr>
          <w:rFonts w:asciiTheme="majorBidi" w:hAnsiTheme="majorBidi" w:cstheme="majorBidi"/>
          <w:b/>
          <w:szCs w:val="20"/>
          <w:highlight w:val="green"/>
        </w:rPr>
        <w:t>Agreement</w:t>
      </w:r>
    </w:p>
    <w:p w14:paraId="10ACA745" w14:textId="77777777" w:rsidR="0001103D" w:rsidRPr="00974DCF" w:rsidRDefault="0001103D" w:rsidP="0001103D">
      <w:pPr>
        <w:pStyle w:val="ListParagraph"/>
        <w:numPr>
          <w:ilvl w:val="0"/>
          <w:numId w:val="18"/>
        </w:numPr>
        <w:rPr>
          <w:szCs w:val="20"/>
        </w:rPr>
      </w:pPr>
      <w:r w:rsidRPr="00974DCF">
        <w:rPr>
          <w:szCs w:val="20"/>
        </w:rPr>
        <w:t>Support the exchange of semi-static Rel-16 IAB-DU H/S/NA resource configuration information and Rel-17 frequency domain IAB-DU H/S/NA resource configuration information among neighbouring IAB-nodes/IAB-donors</w:t>
      </w:r>
    </w:p>
    <w:p w14:paraId="25275FA0" w14:textId="0F0E289C" w:rsidR="005F5880" w:rsidRDefault="0001103D" w:rsidP="00456218">
      <w:pPr>
        <w:rPr>
          <w:lang w:bidi="fa-IR"/>
        </w:rPr>
      </w:pPr>
      <w:r>
        <w:rPr>
          <w:lang w:bidi="fa-IR"/>
        </w:rPr>
        <w:t>C</w:t>
      </w:r>
      <w:r w:rsidR="00FD2D34">
        <w:rPr>
          <w:lang w:bidi="fa-IR"/>
        </w:rPr>
        <w:t xml:space="preserve">ommunicating H/S/NA resource configuration information to nearby cells </w:t>
      </w:r>
      <w:r>
        <w:rPr>
          <w:lang w:bidi="fa-IR"/>
        </w:rPr>
        <w:t>can</w:t>
      </w:r>
      <w:r w:rsidR="00FD2D34">
        <w:rPr>
          <w:lang w:bidi="fa-IR"/>
        </w:rPr>
        <w:t xml:space="preserve"> help </w:t>
      </w:r>
      <w:r>
        <w:rPr>
          <w:lang w:bidi="fa-IR"/>
        </w:rPr>
        <w:t>with</w:t>
      </w:r>
      <w:r w:rsidR="00FD2D34">
        <w:rPr>
          <w:lang w:bidi="fa-IR"/>
        </w:rPr>
        <w:t xml:space="preserve"> </w:t>
      </w:r>
      <w:r w:rsidR="00030060">
        <w:rPr>
          <w:lang w:bidi="fa-IR"/>
        </w:rPr>
        <w:t>anticipating</w:t>
      </w:r>
      <w:r w:rsidR="00FD2D34">
        <w:rPr>
          <w:lang w:bidi="fa-IR"/>
        </w:rPr>
        <w:t xml:space="preserve"> variable interference and taking appropriate actions for interference avoidance and handling. However, sending complete information of H/S/NA resource configurations impose</w:t>
      </w:r>
      <w:r w:rsidR="008A3F6C">
        <w:rPr>
          <w:lang w:bidi="fa-IR"/>
        </w:rPr>
        <w:t>s</w:t>
      </w:r>
      <w:r w:rsidR="00FD2D34">
        <w:rPr>
          <w:lang w:bidi="fa-IR"/>
        </w:rPr>
        <w:t xml:space="preserve"> a large overhead, especially in </w:t>
      </w:r>
      <w:r>
        <w:rPr>
          <w:lang w:bidi="fa-IR"/>
        </w:rPr>
        <w:t>the presence of topological changes</w:t>
      </w:r>
      <w:r w:rsidR="00FD2D34">
        <w:rPr>
          <w:lang w:bidi="fa-IR"/>
        </w:rPr>
        <w:t xml:space="preserve">. Therefore, we propose </w:t>
      </w:r>
      <w:r w:rsidR="005F5880">
        <w:rPr>
          <w:lang w:bidi="fa-IR"/>
        </w:rPr>
        <w:t>the following.</w:t>
      </w:r>
    </w:p>
    <w:p w14:paraId="4A6A5709" w14:textId="21BE4145" w:rsidR="00456218" w:rsidRPr="00456218" w:rsidRDefault="005F5880" w:rsidP="005F5880">
      <w:pPr>
        <w:pStyle w:val="Proposal"/>
        <w:rPr>
          <w:lang w:bidi="fa-IR"/>
        </w:rPr>
      </w:pPr>
      <w:bookmarkStart w:id="261" w:name="_Toc83997289"/>
      <w:bookmarkStart w:id="262" w:name="_Toc84012648"/>
      <w:bookmarkStart w:id="263" w:name="_Toc84017974"/>
      <w:bookmarkStart w:id="264" w:name="_Toc84019215"/>
      <w:bookmarkStart w:id="265" w:name="_Toc84022345"/>
      <w:r>
        <w:rPr>
          <w:lang w:bidi="fa-IR"/>
        </w:rPr>
        <w:lastRenderedPageBreak/>
        <w:t>Investigate how</w:t>
      </w:r>
      <w:r w:rsidR="00030060">
        <w:rPr>
          <w:lang w:bidi="fa-IR"/>
        </w:rPr>
        <w:t xml:space="preserve"> to </w:t>
      </w:r>
      <w:r>
        <w:rPr>
          <w:lang w:bidi="fa-IR"/>
        </w:rPr>
        <w:t>reduce signaling overhead</w:t>
      </w:r>
      <w:r w:rsidR="00030060">
        <w:rPr>
          <w:lang w:bidi="fa-IR"/>
        </w:rPr>
        <w:t xml:space="preserve"> </w:t>
      </w:r>
      <w:r>
        <w:rPr>
          <w:lang w:bidi="fa-IR"/>
        </w:rPr>
        <w:t>of transmitting H/S/NA information to neighboring IAB donors/nodes</w:t>
      </w:r>
      <w:r w:rsidR="00030060">
        <w:rPr>
          <w:lang w:bidi="fa-IR"/>
        </w:rPr>
        <w:t>.</w:t>
      </w:r>
      <w:bookmarkEnd w:id="261"/>
      <w:bookmarkEnd w:id="262"/>
      <w:bookmarkEnd w:id="263"/>
      <w:bookmarkEnd w:id="264"/>
      <w:bookmarkEnd w:id="265"/>
    </w:p>
    <w:bookmarkEnd w:id="139"/>
    <w:bookmarkEnd w:id="140"/>
    <w:p w14:paraId="38B8D48A" w14:textId="6ADEA09F" w:rsidR="00872977" w:rsidRPr="001B5AA8" w:rsidRDefault="00872977" w:rsidP="00872977">
      <w:pPr>
        <w:pStyle w:val="Heading1"/>
      </w:pPr>
      <w:r w:rsidRPr="001B5AA8">
        <w:tab/>
      </w:r>
      <w:r>
        <w:t>Conclusions</w:t>
      </w:r>
    </w:p>
    <w:p w14:paraId="25BE853B" w14:textId="68E07E84" w:rsidR="00872977" w:rsidRDefault="00872977" w:rsidP="00872977">
      <w:r>
        <w:t>In this contribution, we discussed other enhancements for simultaneous operation of child and parent links of an IAB-node and made the following proposals:</w:t>
      </w:r>
    </w:p>
    <w:p w14:paraId="3E043AB2" w14:textId="77777777" w:rsidR="00C544A8" w:rsidRDefault="00D60501">
      <w:pPr>
        <w:pStyle w:val="TableofFigures"/>
        <w:rPr>
          <w:rFonts w:asciiTheme="minorHAnsi" w:eastAsiaTheme="minorEastAsia" w:hAnsiTheme="minorHAnsi" w:cstheme="minorBidi"/>
          <w:b w:val="0"/>
          <w:bCs w:val="0"/>
          <w:noProof/>
          <w:sz w:val="22"/>
          <w:szCs w:val="22"/>
        </w:rPr>
      </w:pPr>
      <w:r>
        <w:fldChar w:fldCharType="begin"/>
      </w:r>
      <w:r>
        <w:instrText xml:space="preserve"> TOC \n \t "Proposal" \c </w:instrText>
      </w:r>
      <w:r>
        <w:fldChar w:fldCharType="separate"/>
      </w:r>
      <w:r w:rsidR="00C544A8">
        <w:rPr>
          <w:noProof/>
        </w:rPr>
        <w:t>Proposal 1:</w:t>
      </w:r>
      <w:r w:rsidR="00C544A8">
        <w:rPr>
          <w:rFonts w:asciiTheme="minorHAnsi" w:eastAsiaTheme="minorEastAsia" w:hAnsiTheme="minorHAnsi" w:cstheme="minorBidi"/>
          <w:b w:val="0"/>
          <w:bCs w:val="0"/>
          <w:noProof/>
          <w:sz w:val="22"/>
          <w:szCs w:val="22"/>
        </w:rPr>
        <w:tab/>
      </w:r>
      <w:r w:rsidR="00C544A8">
        <w:rPr>
          <w:noProof/>
        </w:rPr>
        <w:t>Support MAC CE signaling for activation/deactivation of Case 6 timing.</w:t>
      </w:r>
    </w:p>
    <w:p w14:paraId="434CA6E4" w14:textId="77777777" w:rsidR="00C544A8" w:rsidRDefault="00C544A8">
      <w:pPr>
        <w:pStyle w:val="TableofFigures"/>
        <w:rPr>
          <w:rFonts w:asciiTheme="minorHAnsi" w:eastAsiaTheme="minorEastAsia" w:hAnsiTheme="minorHAnsi" w:cstheme="minorBidi"/>
          <w:b w:val="0"/>
          <w:bCs w:val="0"/>
          <w:noProof/>
          <w:sz w:val="22"/>
          <w:szCs w:val="22"/>
        </w:rPr>
      </w:pPr>
      <w:r>
        <w:rPr>
          <w:noProof/>
        </w:rPr>
        <w:t>Proposal 2:</w:t>
      </w:r>
      <w:r>
        <w:rPr>
          <w:rFonts w:asciiTheme="minorHAnsi" w:eastAsiaTheme="minorEastAsia" w:hAnsiTheme="minorHAnsi" w:cstheme="minorBidi"/>
          <w:b w:val="0"/>
          <w:bCs w:val="0"/>
          <w:noProof/>
          <w:sz w:val="22"/>
          <w:szCs w:val="22"/>
        </w:rPr>
        <w:tab/>
      </w:r>
      <w:r>
        <w:rPr>
          <w:noProof/>
        </w:rPr>
        <w:t>Support MAC CE signaling for activation/deactivation of Case 7 timing. The activation MAC CE message can carry an additional TA value as offset to the legacy TA value.</w:t>
      </w:r>
    </w:p>
    <w:p w14:paraId="6EAB45B4" w14:textId="77777777" w:rsidR="00C544A8" w:rsidRDefault="00C544A8">
      <w:pPr>
        <w:pStyle w:val="TableofFigures"/>
        <w:rPr>
          <w:rFonts w:asciiTheme="minorHAnsi" w:eastAsiaTheme="minorEastAsia" w:hAnsiTheme="minorHAnsi" w:cstheme="minorBidi"/>
          <w:b w:val="0"/>
          <w:bCs w:val="0"/>
          <w:noProof/>
          <w:sz w:val="22"/>
          <w:szCs w:val="22"/>
        </w:rPr>
      </w:pPr>
      <w:r>
        <w:rPr>
          <w:noProof/>
        </w:rPr>
        <w:t>Proposal 3:</w:t>
      </w:r>
      <w:r>
        <w:rPr>
          <w:rFonts w:asciiTheme="minorHAnsi" w:eastAsiaTheme="minorEastAsia" w:hAnsiTheme="minorHAnsi" w:cstheme="minorBidi"/>
          <w:b w:val="0"/>
          <w:bCs w:val="0"/>
          <w:noProof/>
          <w:sz w:val="22"/>
          <w:szCs w:val="22"/>
        </w:rPr>
        <w:tab/>
      </w:r>
      <w:r>
        <w:rPr>
          <w:noProof/>
        </w:rPr>
        <w:t>Support RRC configuration for Case-6 and Case-7 timing alignment in addition to dynamic signaling.</w:t>
      </w:r>
    </w:p>
    <w:p w14:paraId="3B9DF22B" w14:textId="77777777" w:rsidR="00C544A8" w:rsidRDefault="00C544A8">
      <w:pPr>
        <w:pStyle w:val="TableofFigures"/>
        <w:rPr>
          <w:rFonts w:asciiTheme="minorHAnsi" w:eastAsiaTheme="minorEastAsia" w:hAnsiTheme="minorHAnsi" w:cstheme="minorBidi"/>
          <w:b w:val="0"/>
          <w:bCs w:val="0"/>
          <w:noProof/>
          <w:sz w:val="22"/>
          <w:szCs w:val="22"/>
        </w:rPr>
      </w:pPr>
      <w:r w:rsidRPr="00972DD1">
        <w:rPr>
          <w:noProof/>
          <w:lang w:val="en-GB"/>
        </w:rPr>
        <w:t>Proposal 4:</w:t>
      </w:r>
      <w:r>
        <w:rPr>
          <w:rFonts w:asciiTheme="minorHAnsi" w:eastAsiaTheme="minorEastAsia" w:hAnsiTheme="minorHAnsi" w:cstheme="minorBidi"/>
          <w:b w:val="0"/>
          <w:bCs w:val="0"/>
          <w:noProof/>
          <w:sz w:val="22"/>
          <w:szCs w:val="22"/>
        </w:rPr>
        <w:tab/>
      </w:r>
      <w:r w:rsidRPr="00972DD1">
        <w:rPr>
          <w:noProof/>
          <w:lang w:val="en-GB"/>
        </w:rPr>
        <w:t xml:space="preserve">Signalling for timing alignment indication is linked to multiplexing capability of the IAB node as well as whether the IAB node </w:t>
      </w:r>
      <w:r w:rsidRPr="00972DD1">
        <w:rPr>
          <w:noProof/>
          <w:u w:val="single"/>
          <w:lang w:val="en-GB"/>
        </w:rPr>
        <w:t>requires</w:t>
      </w:r>
      <w:r w:rsidRPr="00972DD1">
        <w:rPr>
          <w:noProof/>
          <w:lang w:val="en-GB"/>
        </w:rPr>
        <w:t xml:space="preserve"> enhanced timing alignment.</w:t>
      </w:r>
    </w:p>
    <w:p w14:paraId="35602520" w14:textId="77777777" w:rsidR="00C544A8" w:rsidRDefault="00C544A8">
      <w:pPr>
        <w:pStyle w:val="TableofFigures"/>
        <w:rPr>
          <w:rFonts w:asciiTheme="minorHAnsi" w:eastAsiaTheme="minorEastAsia" w:hAnsiTheme="minorHAnsi" w:cstheme="minorBidi"/>
          <w:b w:val="0"/>
          <w:bCs w:val="0"/>
          <w:noProof/>
          <w:sz w:val="22"/>
          <w:szCs w:val="22"/>
        </w:rPr>
      </w:pPr>
      <w:r>
        <w:rPr>
          <w:noProof/>
        </w:rPr>
        <w:t>Proposal 5:</w:t>
      </w:r>
      <w:r>
        <w:rPr>
          <w:rFonts w:asciiTheme="minorHAnsi" w:eastAsiaTheme="minorEastAsia" w:hAnsiTheme="minorHAnsi" w:cstheme="minorBidi"/>
          <w:b w:val="0"/>
          <w:bCs w:val="0"/>
          <w:noProof/>
          <w:sz w:val="22"/>
          <w:szCs w:val="22"/>
        </w:rPr>
        <w:tab/>
      </w:r>
      <w:r>
        <w:rPr>
          <w:noProof/>
        </w:rPr>
        <w:t>Support a unified framework for timing alignment.</w:t>
      </w:r>
    </w:p>
    <w:p w14:paraId="447D1DBB" w14:textId="77777777" w:rsidR="00C544A8" w:rsidRDefault="00C544A8">
      <w:pPr>
        <w:pStyle w:val="TableofFigures"/>
        <w:rPr>
          <w:rFonts w:asciiTheme="minorHAnsi" w:eastAsiaTheme="minorEastAsia" w:hAnsiTheme="minorHAnsi" w:cstheme="minorBidi"/>
          <w:b w:val="0"/>
          <w:bCs w:val="0"/>
          <w:noProof/>
          <w:sz w:val="22"/>
          <w:szCs w:val="22"/>
        </w:rPr>
      </w:pPr>
      <w:r w:rsidRPr="00972DD1">
        <w:rPr>
          <w:noProof/>
          <w:lang w:val="en-GB"/>
        </w:rPr>
        <w:t>Proposal 6:</w:t>
      </w:r>
      <w:r>
        <w:rPr>
          <w:rFonts w:asciiTheme="minorHAnsi" w:eastAsiaTheme="minorEastAsia" w:hAnsiTheme="minorHAnsi" w:cstheme="minorBidi"/>
          <w:b w:val="0"/>
          <w:bCs w:val="0"/>
          <w:noProof/>
          <w:sz w:val="22"/>
          <w:szCs w:val="22"/>
        </w:rPr>
        <w:tab/>
      </w:r>
      <w:r w:rsidRPr="00972DD1">
        <w:rPr>
          <w:noProof/>
          <w:lang w:val="en-GB"/>
        </w:rPr>
        <w:t xml:space="preserve">Support a capability signalling, e.g., number of IFFT/FFT windows, to indicate whether the IAB node </w:t>
      </w:r>
      <w:r w:rsidRPr="00972DD1">
        <w:rPr>
          <w:noProof/>
          <w:u w:val="single"/>
          <w:lang w:val="en-GB"/>
        </w:rPr>
        <w:t>requires</w:t>
      </w:r>
      <w:r w:rsidRPr="00972DD1">
        <w:rPr>
          <w:noProof/>
          <w:lang w:val="en-GB"/>
        </w:rPr>
        <w:t xml:space="preserve"> timing alignment between IAB-MT and IAB-DU operations. If negative, the IAB node can transmit unaligned OFDM symbols (Case A) and receive/process unaligned OFDM symbols (Case B), which simplifies signalling and configuration significantly.</w:t>
      </w:r>
    </w:p>
    <w:p w14:paraId="0EEA785C" w14:textId="77777777" w:rsidR="00C544A8" w:rsidRDefault="00C544A8">
      <w:pPr>
        <w:pStyle w:val="TableofFigures"/>
        <w:rPr>
          <w:rFonts w:asciiTheme="minorHAnsi" w:eastAsiaTheme="minorEastAsia" w:hAnsiTheme="minorHAnsi" w:cstheme="minorBidi"/>
          <w:b w:val="0"/>
          <w:bCs w:val="0"/>
          <w:noProof/>
          <w:sz w:val="22"/>
          <w:szCs w:val="22"/>
        </w:rPr>
      </w:pPr>
      <w:r>
        <w:rPr>
          <w:noProof/>
        </w:rPr>
        <w:t>Proposal 7:</w:t>
      </w:r>
      <w:r>
        <w:rPr>
          <w:rFonts w:asciiTheme="minorHAnsi" w:eastAsiaTheme="minorEastAsia" w:hAnsiTheme="minorHAnsi" w:cstheme="minorBidi"/>
          <w:b w:val="0"/>
          <w:bCs w:val="0"/>
          <w:noProof/>
          <w:sz w:val="22"/>
          <w:szCs w:val="22"/>
        </w:rPr>
        <w:tab/>
      </w:r>
      <w:r>
        <w:rPr>
          <w:noProof/>
        </w:rPr>
        <w:t>Support IAB-MT reporting power headroom or power headroom offset to its parent node when a collocated IAB-DU receives a DL power adjustment message from its child node.</w:t>
      </w:r>
    </w:p>
    <w:p w14:paraId="54182AB3" w14:textId="77777777" w:rsidR="00C544A8" w:rsidRDefault="00C544A8">
      <w:pPr>
        <w:pStyle w:val="TableofFigures"/>
        <w:rPr>
          <w:rFonts w:asciiTheme="minorHAnsi" w:eastAsiaTheme="minorEastAsia" w:hAnsiTheme="minorHAnsi" w:cstheme="minorBidi"/>
          <w:b w:val="0"/>
          <w:bCs w:val="0"/>
          <w:noProof/>
          <w:sz w:val="22"/>
          <w:szCs w:val="22"/>
        </w:rPr>
      </w:pPr>
      <w:r>
        <w:rPr>
          <w:noProof/>
        </w:rPr>
        <w:t>Proposal 8:</w:t>
      </w:r>
      <w:r>
        <w:rPr>
          <w:rFonts w:asciiTheme="minorHAnsi" w:eastAsiaTheme="minorEastAsia" w:hAnsiTheme="minorHAnsi" w:cstheme="minorBidi"/>
          <w:b w:val="0"/>
          <w:bCs w:val="0"/>
          <w:noProof/>
          <w:sz w:val="22"/>
          <w:szCs w:val="22"/>
        </w:rPr>
        <w:tab/>
      </w:r>
      <w:r>
        <w:rPr>
          <w:noProof/>
        </w:rPr>
        <w:t>Support PH or PH offset reporting for specific time-frequency resources and/or specific D/U/F resource attributes. Further study relationship with H/S/NA attributes.</w:t>
      </w:r>
    </w:p>
    <w:p w14:paraId="3E2B0798" w14:textId="77777777" w:rsidR="00C544A8" w:rsidRDefault="00C544A8">
      <w:pPr>
        <w:pStyle w:val="TableofFigures"/>
        <w:rPr>
          <w:rFonts w:asciiTheme="minorHAnsi" w:eastAsiaTheme="minorEastAsia" w:hAnsiTheme="minorHAnsi" w:cstheme="minorBidi"/>
          <w:b w:val="0"/>
          <w:bCs w:val="0"/>
          <w:noProof/>
          <w:sz w:val="22"/>
          <w:szCs w:val="22"/>
        </w:rPr>
      </w:pPr>
      <w:r>
        <w:rPr>
          <w:noProof/>
        </w:rPr>
        <w:t>Proposal 9:</w:t>
      </w:r>
      <w:r>
        <w:rPr>
          <w:rFonts w:asciiTheme="minorHAnsi" w:eastAsiaTheme="minorEastAsia" w:hAnsiTheme="minorHAnsi" w:cstheme="minorBidi"/>
          <w:b w:val="0"/>
          <w:bCs w:val="0"/>
          <w:noProof/>
          <w:sz w:val="22"/>
          <w:szCs w:val="22"/>
        </w:rPr>
        <w:tab/>
      </w:r>
      <w:r>
        <w:rPr>
          <w:noProof/>
        </w:rPr>
        <w:t>Support MAC CE signaling for the DL TX power adjustment request from the IAB node to its parent node. The request message includes a requested value of power adjustment in dB as well indication of time-frequency resources and spatial information.</w:t>
      </w:r>
    </w:p>
    <w:p w14:paraId="13CF21A5" w14:textId="77777777" w:rsidR="00C544A8" w:rsidRDefault="00C544A8">
      <w:pPr>
        <w:pStyle w:val="TableofFigures"/>
        <w:rPr>
          <w:rFonts w:asciiTheme="minorHAnsi" w:eastAsiaTheme="minorEastAsia" w:hAnsiTheme="minorHAnsi" w:cstheme="minorBidi"/>
          <w:b w:val="0"/>
          <w:bCs w:val="0"/>
          <w:noProof/>
          <w:sz w:val="22"/>
          <w:szCs w:val="22"/>
        </w:rPr>
      </w:pPr>
      <w:r>
        <w:rPr>
          <w:noProof/>
        </w:rPr>
        <w:t>Proposal 10:</w:t>
      </w:r>
      <w:r>
        <w:rPr>
          <w:rFonts w:asciiTheme="minorHAnsi" w:eastAsiaTheme="minorEastAsia" w:hAnsiTheme="minorHAnsi" w:cstheme="minorBidi"/>
          <w:b w:val="0"/>
          <w:bCs w:val="0"/>
          <w:noProof/>
          <w:sz w:val="22"/>
          <w:szCs w:val="22"/>
        </w:rPr>
        <w:tab/>
      </w:r>
      <w:r>
        <w:rPr>
          <w:noProof/>
        </w:rPr>
        <w:t>Support MAC CE signaling for the DL TX power adjustment response from the parent node back to the IAB node. The response message includes a value of granted power adjustment in dB as well indication of time-frequency resources and spatial information.</w:t>
      </w:r>
    </w:p>
    <w:p w14:paraId="0C4A7F1A" w14:textId="77777777" w:rsidR="00C544A8" w:rsidRDefault="00C544A8">
      <w:pPr>
        <w:pStyle w:val="TableofFigures"/>
        <w:rPr>
          <w:rFonts w:asciiTheme="minorHAnsi" w:eastAsiaTheme="minorEastAsia" w:hAnsiTheme="minorHAnsi" w:cstheme="minorBidi"/>
          <w:b w:val="0"/>
          <w:bCs w:val="0"/>
          <w:noProof/>
          <w:sz w:val="22"/>
          <w:szCs w:val="22"/>
        </w:rPr>
      </w:pPr>
      <w:r>
        <w:rPr>
          <w:noProof/>
        </w:rPr>
        <w:t>Proposal 11:</w:t>
      </w:r>
      <w:r>
        <w:rPr>
          <w:rFonts w:asciiTheme="minorHAnsi" w:eastAsiaTheme="minorEastAsia" w:hAnsiTheme="minorHAnsi" w:cstheme="minorBidi"/>
          <w:b w:val="0"/>
          <w:bCs w:val="0"/>
          <w:noProof/>
          <w:sz w:val="22"/>
          <w:szCs w:val="22"/>
        </w:rPr>
        <w:tab/>
      </w:r>
      <w:r>
        <w:rPr>
          <w:noProof/>
        </w:rPr>
        <w:t>Support timing adjustment for CLI measurements at the victim node based on timing obtained by receiving SSB from the aggressor node.</w:t>
      </w:r>
    </w:p>
    <w:p w14:paraId="20FAB8DA" w14:textId="77777777" w:rsidR="00C544A8" w:rsidRDefault="00C544A8">
      <w:pPr>
        <w:pStyle w:val="TableofFigures"/>
        <w:rPr>
          <w:rFonts w:asciiTheme="minorHAnsi" w:eastAsiaTheme="minorEastAsia" w:hAnsiTheme="minorHAnsi" w:cstheme="minorBidi"/>
          <w:b w:val="0"/>
          <w:bCs w:val="0"/>
          <w:noProof/>
          <w:sz w:val="22"/>
          <w:szCs w:val="22"/>
        </w:rPr>
      </w:pPr>
      <w:r w:rsidRPr="00972DD1">
        <w:rPr>
          <w:noProof/>
          <w:lang w:val="en-GB"/>
        </w:rPr>
        <w:t>Proposal 12:</w:t>
      </w:r>
      <w:r>
        <w:rPr>
          <w:rFonts w:asciiTheme="minorHAnsi" w:eastAsiaTheme="minorEastAsia" w:hAnsiTheme="minorHAnsi" w:cstheme="minorBidi"/>
          <w:b w:val="0"/>
          <w:bCs w:val="0"/>
          <w:noProof/>
          <w:sz w:val="22"/>
          <w:szCs w:val="22"/>
        </w:rPr>
        <w:tab/>
      </w:r>
      <w:r w:rsidRPr="00972DD1">
        <w:rPr>
          <w:noProof/>
          <w:lang w:val="en-GB"/>
        </w:rPr>
        <w:t>Support configuration of reference signals for measuring CLI according to the aggressor node’s current beamforming, Tx power, etc.</w:t>
      </w:r>
    </w:p>
    <w:p w14:paraId="4D9243B5" w14:textId="77777777" w:rsidR="00C544A8" w:rsidRDefault="00C544A8">
      <w:pPr>
        <w:pStyle w:val="TableofFigures"/>
        <w:rPr>
          <w:rFonts w:asciiTheme="minorHAnsi" w:eastAsiaTheme="minorEastAsia" w:hAnsiTheme="minorHAnsi" w:cstheme="minorBidi"/>
          <w:b w:val="0"/>
          <w:bCs w:val="0"/>
          <w:noProof/>
          <w:sz w:val="22"/>
          <w:szCs w:val="22"/>
        </w:rPr>
      </w:pPr>
      <w:r>
        <w:rPr>
          <w:noProof/>
        </w:rPr>
        <w:t>Proposal 13:</w:t>
      </w:r>
      <w:r>
        <w:rPr>
          <w:rFonts w:asciiTheme="minorHAnsi" w:eastAsiaTheme="minorEastAsia" w:hAnsiTheme="minorHAnsi" w:cstheme="minorBidi"/>
          <w:b w:val="0"/>
          <w:bCs w:val="0"/>
          <w:noProof/>
          <w:sz w:val="22"/>
          <w:szCs w:val="22"/>
        </w:rPr>
        <w:tab/>
      </w:r>
      <w:r>
        <w:rPr>
          <w:noProof/>
        </w:rPr>
        <w:t>Support interference management, including CLI and SI, at least among IAB nodes connected to the same IAB donor. CLI and SI management can be specified under the same framework in order to reduce specification effort, improve implementation flexibility, and save resource overhead for reference signals.</w:t>
      </w:r>
    </w:p>
    <w:p w14:paraId="7F3C5FA6" w14:textId="77777777" w:rsidR="00C544A8" w:rsidRDefault="00C544A8">
      <w:pPr>
        <w:pStyle w:val="TableofFigures"/>
        <w:rPr>
          <w:rFonts w:asciiTheme="minorHAnsi" w:eastAsiaTheme="minorEastAsia" w:hAnsiTheme="minorHAnsi" w:cstheme="minorBidi"/>
          <w:b w:val="0"/>
          <w:bCs w:val="0"/>
          <w:noProof/>
          <w:sz w:val="22"/>
          <w:szCs w:val="22"/>
        </w:rPr>
      </w:pPr>
      <w:r>
        <w:rPr>
          <w:noProof/>
          <w:lang w:bidi="fa-IR"/>
        </w:rPr>
        <w:t>Proposal 14:</w:t>
      </w:r>
      <w:r>
        <w:rPr>
          <w:rFonts w:asciiTheme="minorHAnsi" w:eastAsiaTheme="minorEastAsia" w:hAnsiTheme="minorHAnsi" w:cstheme="minorBidi"/>
          <w:b w:val="0"/>
          <w:bCs w:val="0"/>
          <w:noProof/>
          <w:sz w:val="22"/>
          <w:szCs w:val="22"/>
        </w:rPr>
        <w:tab/>
      </w:r>
      <w:r>
        <w:rPr>
          <w:noProof/>
          <w:lang w:bidi="fa-IR"/>
        </w:rPr>
        <w:t>Investigate how to reduce signaling overhead of transmitting H/S/NA information to neighboring IAB donors/nodes.</w:t>
      </w:r>
    </w:p>
    <w:p w14:paraId="0FF0CD17" w14:textId="4A2E6EE5" w:rsidR="00D60501" w:rsidRDefault="00D60501" w:rsidP="00D60501">
      <w:r>
        <w:fldChar w:fldCharType="end"/>
      </w:r>
    </w:p>
    <w:p w14:paraId="0C3A75AA" w14:textId="79C4EFFD" w:rsidR="00872977" w:rsidRPr="001B5AA8" w:rsidRDefault="00872977" w:rsidP="00872977">
      <w:pPr>
        <w:pStyle w:val="Heading1"/>
      </w:pPr>
      <w:r>
        <w:rPr>
          <w:lang w:val="en-US"/>
        </w:rPr>
        <w:tab/>
        <w:t>References</w:t>
      </w:r>
    </w:p>
    <w:p w14:paraId="5A026CF1" w14:textId="5618235D" w:rsidR="00636497" w:rsidRPr="00F84419" w:rsidRDefault="00636497" w:rsidP="005D3478">
      <w:pPr>
        <w:pStyle w:val="References"/>
        <w:numPr>
          <w:ilvl w:val="0"/>
          <w:numId w:val="4"/>
        </w:numPr>
      </w:pPr>
      <w:bookmarkStart w:id="266" w:name="_Ref54187073"/>
      <w:bookmarkStart w:id="267" w:name="_Ref61548423"/>
      <w:bookmarkStart w:id="268" w:name="_Ref30491916"/>
      <w:bookmarkStart w:id="269" w:name="_Ref30492464"/>
      <w:r w:rsidRPr="00F84419">
        <w:t>R1-210</w:t>
      </w:r>
      <w:r w:rsidR="00462C83">
        <w:t>9936</w:t>
      </w:r>
      <w:r w:rsidRPr="00F84419">
        <w:t>, “Resource multiplexing in enhanced IAB systems,” Lenovo, Motorola Mobility, RAN1#10</w:t>
      </w:r>
      <w:r w:rsidR="00F84419" w:rsidRPr="00F84419">
        <w:t>6</w:t>
      </w:r>
      <w:r w:rsidRPr="00F84419">
        <w:t>-</w:t>
      </w:r>
      <w:r w:rsidR="00462C83">
        <w:t>bis-</w:t>
      </w:r>
      <w:r w:rsidRPr="00F84419">
        <w:t>e, Electronic Meeting,</w:t>
      </w:r>
      <w:r w:rsidR="00F84419" w:rsidRPr="00F84419">
        <w:t xml:space="preserve"> </w:t>
      </w:r>
      <w:r w:rsidR="00462C83">
        <w:t>October</w:t>
      </w:r>
      <w:r w:rsidRPr="00F84419">
        <w:t xml:space="preserve"> 2021.</w:t>
      </w:r>
      <w:bookmarkEnd w:id="266"/>
    </w:p>
    <w:p w14:paraId="4E77F7D9" w14:textId="6014A708" w:rsidR="00636497" w:rsidRDefault="00E16FCC" w:rsidP="005D3478">
      <w:pPr>
        <w:pStyle w:val="References"/>
        <w:numPr>
          <w:ilvl w:val="0"/>
          <w:numId w:val="4"/>
        </w:numPr>
      </w:pPr>
      <w:bookmarkStart w:id="270" w:name="_Ref71645684"/>
      <w:bookmarkEnd w:id="267"/>
      <w:r>
        <w:t>RAN1#10</w:t>
      </w:r>
      <w:r w:rsidR="00FB240C">
        <w:t>5</w:t>
      </w:r>
      <w:r>
        <w:t>-e Chairman’s Notes.</w:t>
      </w:r>
      <w:bookmarkEnd w:id="268"/>
      <w:bookmarkEnd w:id="269"/>
      <w:bookmarkEnd w:id="270"/>
    </w:p>
    <w:p w14:paraId="1358DA71" w14:textId="3D823376" w:rsidR="00462C83" w:rsidRPr="00872977" w:rsidRDefault="00462C83" w:rsidP="005D3478">
      <w:pPr>
        <w:pStyle w:val="References"/>
        <w:numPr>
          <w:ilvl w:val="0"/>
          <w:numId w:val="4"/>
        </w:numPr>
      </w:pPr>
      <w:bookmarkStart w:id="271" w:name="_Ref83991124"/>
      <w:r>
        <w:t>RAN1#106-e Chairman’s Notes.</w:t>
      </w:r>
      <w:bookmarkEnd w:id="271"/>
    </w:p>
    <w:sectPr w:rsidR="00462C83" w:rsidRPr="00872977" w:rsidSect="00E054B7">
      <w:headerReference w:type="even"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ABAA1" w14:textId="77777777" w:rsidR="006E291C" w:rsidRDefault="006E291C">
      <w:r>
        <w:separator/>
      </w:r>
    </w:p>
  </w:endnote>
  <w:endnote w:type="continuationSeparator" w:id="0">
    <w:p w14:paraId="0F9902D7" w14:textId="77777777" w:rsidR="006E291C" w:rsidRDefault="006E291C">
      <w:r>
        <w:continuationSeparator/>
      </w:r>
    </w:p>
  </w:endnote>
  <w:endnote w:type="continuationNotice" w:id="1">
    <w:p w14:paraId="5B85592F" w14:textId="77777777" w:rsidR="006E291C" w:rsidRDefault="006E2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8AE7" w14:textId="77777777" w:rsidR="00E462E6" w:rsidRDefault="00E462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E462E6" w:rsidRDefault="00E462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45AE" w14:textId="2DA8EDFF" w:rsidR="00E462E6" w:rsidRDefault="00E462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39040" w14:textId="77777777" w:rsidR="006E291C" w:rsidRDefault="006E291C">
      <w:r>
        <w:separator/>
      </w:r>
    </w:p>
  </w:footnote>
  <w:footnote w:type="continuationSeparator" w:id="0">
    <w:p w14:paraId="30A0A04F" w14:textId="77777777" w:rsidR="006E291C" w:rsidRDefault="006E291C">
      <w:r>
        <w:continuationSeparator/>
      </w:r>
    </w:p>
  </w:footnote>
  <w:footnote w:type="continuationNotice" w:id="1">
    <w:p w14:paraId="40603C59" w14:textId="77777777" w:rsidR="006E291C" w:rsidRDefault="006E29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A9B9" w14:textId="77777777" w:rsidR="00E462E6" w:rsidRDefault="00E462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1C90E26"/>
    <w:multiLevelType w:val="hybridMultilevel"/>
    <w:tmpl w:val="FAB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4" w15:restartNumberingAfterBreak="0">
    <w:nsid w:val="1FD269EA"/>
    <w:multiLevelType w:val="hybridMultilevel"/>
    <w:tmpl w:val="68FE3590"/>
    <w:lvl w:ilvl="0" w:tplc="61902A80">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65FEA"/>
    <w:multiLevelType w:val="hybridMultilevel"/>
    <w:tmpl w:val="AA62E6E2"/>
    <w:lvl w:ilvl="0" w:tplc="B2E2212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5B64BD"/>
    <w:multiLevelType w:val="hybridMultilevel"/>
    <w:tmpl w:val="FAEE2638"/>
    <w:lvl w:ilvl="0" w:tplc="1944B56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ECA00C7"/>
    <w:multiLevelType w:val="hybridMultilevel"/>
    <w:tmpl w:val="390E25F0"/>
    <w:lvl w:ilvl="0" w:tplc="E15ADA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BC7D3A"/>
    <w:multiLevelType w:val="hybridMultilevel"/>
    <w:tmpl w:val="AA201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8B66B5"/>
    <w:multiLevelType w:val="hybridMultilevel"/>
    <w:tmpl w:val="E592D996"/>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0"/>
  </w:num>
  <w:num w:numId="4">
    <w:abstractNumId w:val="10"/>
    <w:lvlOverride w:ilvl="0">
      <w:startOverride w:val="1"/>
    </w:lvlOverride>
  </w:num>
  <w:num w:numId="5">
    <w:abstractNumId w:val="7"/>
  </w:num>
  <w:num w:numId="6">
    <w:abstractNumId w:val="20"/>
  </w:num>
  <w:num w:numId="7">
    <w:abstractNumId w:val="4"/>
  </w:num>
  <w:num w:numId="8">
    <w:abstractNumId w:val="11"/>
  </w:num>
  <w:num w:numId="9">
    <w:abstractNumId w:val="14"/>
  </w:num>
  <w:num w:numId="10">
    <w:abstractNumId w:val="9"/>
  </w:num>
  <w:num w:numId="11">
    <w:abstractNumId w:val="1"/>
  </w:num>
  <w:num w:numId="12">
    <w:abstractNumId w:val="15"/>
  </w:num>
  <w:num w:numId="13">
    <w:abstractNumId w:val="4"/>
  </w:num>
  <w:num w:numId="14">
    <w:abstractNumId w:val="4"/>
  </w:num>
  <w:num w:numId="15">
    <w:abstractNumId w:val="6"/>
  </w:num>
  <w:num w:numId="16">
    <w:abstractNumId w:val="5"/>
  </w:num>
  <w:num w:numId="17">
    <w:abstractNumId w:val="0"/>
  </w:num>
  <w:num w:numId="18">
    <w:abstractNumId w:val="18"/>
  </w:num>
  <w:num w:numId="19">
    <w:abstractNumId w:val="17"/>
  </w:num>
  <w:num w:numId="20">
    <w:abstractNumId w:val="16"/>
  </w:num>
  <w:num w:numId="21">
    <w:abstractNumId w:val="13"/>
  </w:num>
  <w:num w:numId="22">
    <w:abstractNumId w:val="19"/>
  </w:num>
  <w:num w:numId="23">
    <w:abstractNumId w:val="2"/>
  </w:num>
  <w:num w:numId="2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CC1"/>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03D"/>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5CB9"/>
    <w:rsid w:val="000266AE"/>
    <w:rsid w:val="00026905"/>
    <w:rsid w:val="0002735A"/>
    <w:rsid w:val="00030060"/>
    <w:rsid w:val="000300FE"/>
    <w:rsid w:val="00030F08"/>
    <w:rsid w:val="00030F74"/>
    <w:rsid w:val="000319C1"/>
    <w:rsid w:val="00031EDD"/>
    <w:rsid w:val="00032DAB"/>
    <w:rsid w:val="00032E45"/>
    <w:rsid w:val="00033796"/>
    <w:rsid w:val="000349B7"/>
    <w:rsid w:val="000349E0"/>
    <w:rsid w:val="00034B9E"/>
    <w:rsid w:val="00034C07"/>
    <w:rsid w:val="00035400"/>
    <w:rsid w:val="0003540B"/>
    <w:rsid w:val="000357CA"/>
    <w:rsid w:val="0003595D"/>
    <w:rsid w:val="00035BA3"/>
    <w:rsid w:val="0003611C"/>
    <w:rsid w:val="00037637"/>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173"/>
    <w:rsid w:val="0005160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1361"/>
    <w:rsid w:val="000619CC"/>
    <w:rsid w:val="00062551"/>
    <w:rsid w:val="00062963"/>
    <w:rsid w:val="00062CA8"/>
    <w:rsid w:val="00063E21"/>
    <w:rsid w:val="00063F57"/>
    <w:rsid w:val="0006549C"/>
    <w:rsid w:val="0006633C"/>
    <w:rsid w:val="00066576"/>
    <w:rsid w:val="00066696"/>
    <w:rsid w:val="000667D1"/>
    <w:rsid w:val="00066B79"/>
    <w:rsid w:val="0006739D"/>
    <w:rsid w:val="0006774C"/>
    <w:rsid w:val="00070412"/>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1052"/>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372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F37"/>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57C"/>
    <w:rsid w:val="000C764F"/>
    <w:rsid w:val="000D037E"/>
    <w:rsid w:val="000D0C91"/>
    <w:rsid w:val="000D0F9A"/>
    <w:rsid w:val="000D11B1"/>
    <w:rsid w:val="000D148D"/>
    <w:rsid w:val="000D1570"/>
    <w:rsid w:val="000D1610"/>
    <w:rsid w:val="000D1842"/>
    <w:rsid w:val="000D1A08"/>
    <w:rsid w:val="000D1A61"/>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BC0"/>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23"/>
    <w:rsid w:val="000F4734"/>
    <w:rsid w:val="000F4F44"/>
    <w:rsid w:val="000F6974"/>
    <w:rsid w:val="000F6AFA"/>
    <w:rsid w:val="000F6DDE"/>
    <w:rsid w:val="000F7452"/>
    <w:rsid w:val="000F794D"/>
    <w:rsid w:val="000F7C7A"/>
    <w:rsid w:val="00100E41"/>
    <w:rsid w:val="00101489"/>
    <w:rsid w:val="00101ACE"/>
    <w:rsid w:val="00102147"/>
    <w:rsid w:val="00102FE9"/>
    <w:rsid w:val="00103E0E"/>
    <w:rsid w:val="00104058"/>
    <w:rsid w:val="0010405D"/>
    <w:rsid w:val="00104228"/>
    <w:rsid w:val="00104A80"/>
    <w:rsid w:val="00105820"/>
    <w:rsid w:val="00105CEE"/>
    <w:rsid w:val="00105FC2"/>
    <w:rsid w:val="00106117"/>
    <w:rsid w:val="00106CC3"/>
    <w:rsid w:val="00106E7E"/>
    <w:rsid w:val="00107123"/>
    <w:rsid w:val="00107A94"/>
    <w:rsid w:val="00110030"/>
    <w:rsid w:val="00110086"/>
    <w:rsid w:val="0011051C"/>
    <w:rsid w:val="00110AE3"/>
    <w:rsid w:val="00110C45"/>
    <w:rsid w:val="00111011"/>
    <w:rsid w:val="001115C0"/>
    <w:rsid w:val="00111AD9"/>
    <w:rsid w:val="00112B8F"/>
    <w:rsid w:val="00112CFB"/>
    <w:rsid w:val="001134DA"/>
    <w:rsid w:val="001140FA"/>
    <w:rsid w:val="001141C4"/>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1B2"/>
    <w:rsid w:val="0014452E"/>
    <w:rsid w:val="00144F22"/>
    <w:rsid w:val="001459EB"/>
    <w:rsid w:val="001461C2"/>
    <w:rsid w:val="00146540"/>
    <w:rsid w:val="00146E5E"/>
    <w:rsid w:val="0014719D"/>
    <w:rsid w:val="001474D9"/>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8EF"/>
    <w:rsid w:val="00167C50"/>
    <w:rsid w:val="00167ECA"/>
    <w:rsid w:val="00170C2B"/>
    <w:rsid w:val="00172414"/>
    <w:rsid w:val="001724C5"/>
    <w:rsid w:val="00172C20"/>
    <w:rsid w:val="001746E6"/>
    <w:rsid w:val="00174883"/>
    <w:rsid w:val="00174DDB"/>
    <w:rsid w:val="001752EC"/>
    <w:rsid w:val="001755CA"/>
    <w:rsid w:val="00175891"/>
    <w:rsid w:val="001758E7"/>
    <w:rsid w:val="00175B5A"/>
    <w:rsid w:val="00176E1D"/>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5A5F"/>
    <w:rsid w:val="00196220"/>
    <w:rsid w:val="0019734F"/>
    <w:rsid w:val="00197366"/>
    <w:rsid w:val="001977D0"/>
    <w:rsid w:val="00197FA7"/>
    <w:rsid w:val="001A019F"/>
    <w:rsid w:val="001A0303"/>
    <w:rsid w:val="001A037C"/>
    <w:rsid w:val="001A067A"/>
    <w:rsid w:val="001A0D8D"/>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0AB"/>
    <w:rsid w:val="001C04A8"/>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097"/>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416"/>
    <w:rsid w:val="002015BA"/>
    <w:rsid w:val="00201AFC"/>
    <w:rsid w:val="00202561"/>
    <w:rsid w:val="00202674"/>
    <w:rsid w:val="0020293F"/>
    <w:rsid w:val="00202D97"/>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712"/>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142"/>
    <w:rsid w:val="002612AF"/>
    <w:rsid w:val="00261D05"/>
    <w:rsid w:val="002624AF"/>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1501"/>
    <w:rsid w:val="002727C8"/>
    <w:rsid w:val="00272FEB"/>
    <w:rsid w:val="002738C9"/>
    <w:rsid w:val="00273B2D"/>
    <w:rsid w:val="00273CFB"/>
    <w:rsid w:val="00274080"/>
    <w:rsid w:val="00274B3C"/>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EDF"/>
    <w:rsid w:val="00296FD8"/>
    <w:rsid w:val="0029743A"/>
    <w:rsid w:val="00297DBE"/>
    <w:rsid w:val="002A0724"/>
    <w:rsid w:val="002A07C1"/>
    <w:rsid w:val="002A08EC"/>
    <w:rsid w:val="002A1DF0"/>
    <w:rsid w:val="002A205B"/>
    <w:rsid w:val="002A3668"/>
    <w:rsid w:val="002A53DF"/>
    <w:rsid w:val="002B0122"/>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59B6"/>
    <w:rsid w:val="002B7C8F"/>
    <w:rsid w:val="002B7FB1"/>
    <w:rsid w:val="002C0364"/>
    <w:rsid w:val="002C0397"/>
    <w:rsid w:val="002C0779"/>
    <w:rsid w:val="002C0ADF"/>
    <w:rsid w:val="002C138C"/>
    <w:rsid w:val="002C203A"/>
    <w:rsid w:val="002C2FCD"/>
    <w:rsid w:val="002C36BB"/>
    <w:rsid w:val="002C36EB"/>
    <w:rsid w:val="002C3AE4"/>
    <w:rsid w:val="002C4749"/>
    <w:rsid w:val="002C4CB7"/>
    <w:rsid w:val="002C5620"/>
    <w:rsid w:val="002C57BB"/>
    <w:rsid w:val="002C61E0"/>
    <w:rsid w:val="002C6221"/>
    <w:rsid w:val="002C6374"/>
    <w:rsid w:val="002C6F89"/>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74A"/>
    <w:rsid w:val="002E3BFD"/>
    <w:rsid w:val="002E3E70"/>
    <w:rsid w:val="002E481B"/>
    <w:rsid w:val="002E499F"/>
    <w:rsid w:val="002E503B"/>
    <w:rsid w:val="002E5057"/>
    <w:rsid w:val="002E53CF"/>
    <w:rsid w:val="002E58E1"/>
    <w:rsid w:val="002E60E3"/>
    <w:rsid w:val="002E65AE"/>
    <w:rsid w:val="002E68A2"/>
    <w:rsid w:val="002E6C03"/>
    <w:rsid w:val="002F0045"/>
    <w:rsid w:val="002F025B"/>
    <w:rsid w:val="002F0590"/>
    <w:rsid w:val="002F08A1"/>
    <w:rsid w:val="002F1E03"/>
    <w:rsid w:val="002F24F2"/>
    <w:rsid w:val="002F2AE0"/>
    <w:rsid w:val="002F2FB7"/>
    <w:rsid w:val="002F3827"/>
    <w:rsid w:val="002F413F"/>
    <w:rsid w:val="002F44AD"/>
    <w:rsid w:val="002F45D3"/>
    <w:rsid w:val="002F5C18"/>
    <w:rsid w:val="002F5FDA"/>
    <w:rsid w:val="002F7D48"/>
    <w:rsid w:val="002F7D9F"/>
    <w:rsid w:val="0030000D"/>
    <w:rsid w:val="003005AC"/>
    <w:rsid w:val="00300A26"/>
    <w:rsid w:val="00300CD7"/>
    <w:rsid w:val="003011C0"/>
    <w:rsid w:val="0030121F"/>
    <w:rsid w:val="00301890"/>
    <w:rsid w:val="003024DE"/>
    <w:rsid w:val="00302701"/>
    <w:rsid w:val="0030298C"/>
    <w:rsid w:val="00302CBE"/>
    <w:rsid w:val="0030305A"/>
    <w:rsid w:val="003031CF"/>
    <w:rsid w:val="00303442"/>
    <w:rsid w:val="003044B9"/>
    <w:rsid w:val="00304F48"/>
    <w:rsid w:val="003060F4"/>
    <w:rsid w:val="003073BB"/>
    <w:rsid w:val="00307683"/>
    <w:rsid w:val="00307B27"/>
    <w:rsid w:val="00307D3F"/>
    <w:rsid w:val="0031005A"/>
    <w:rsid w:val="0031013F"/>
    <w:rsid w:val="0031058E"/>
    <w:rsid w:val="00311941"/>
    <w:rsid w:val="003123EA"/>
    <w:rsid w:val="003125FA"/>
    <w:rsid w:val="00313C4F"/>
    <w:rsid w:val="00314280"/>
    <w:rsid w:val="00314552"/>
    <w:rsid w:val="003158FE"/>
    <w:rsid w:val="00315DD9"/>
    <w:rsid w:val="00316717"/>
    <w:rsid w:val="00316A1B"/>
    <w:rsid w:val="00317050"/>
    <w:rsid w:val="003171F2"/>
    <w:rsid w:val="00320B56"/>
    <w:rsid w:val="00320BED"/>
    <w:rsid w:val="00320F94"/>
    <w:rsid w:val="003230B0"/>
    <w:rsid w:val="00325F5C"/>
    <w:rsid w:val="003268CF"/>
    <w:rsid w:val="00326974"/>
    <w:rsid w:val="00326EBB"/>
    <w:rsid w:val="00327A0A"/>
    <w:rsid w:val="0033007D"/>
    <w:rsid w:val="0033027D"/>
    <w:rsid w:val="003308C4"/>
    <w:rsid w:val="00330DE8"/>
    <w:rsid w:val="00331EDC"/>
    <w:rsid w:val="00331FF4"/>
    <w:rsid w:val="003323F3"/>
    <w:rsid w:val="0033306E"/>
    <w:rsid w:val="00333DC8"/>
    <w:rsid w:val="00335250"/>
    <w:rsid w:val="0033592C"/>
    <w:rsid w:val="00335B9C"/>
    <w:rsid w:val="00336164"/>
    <w:rsid w:val="0034150F"/>
    <w:rsid w:val="0034298C"/>
    <w:rsid w:val="0034305B"/>
    <w:rsid w:val="00343E84"/>
    <w:rsid w:val="003444EB"/>
    <w:rsid w:val="00344778"/>
    <w:rsid w:val="00344E12"/>
    <w:rsid w:val="00344F78"/>
    <w:rsid w:val="0034511B"/>
    <w:rsid w:val="00345740"/>
    <w:rsid w:val="00346F28"/>
    <w:rsid w:val="003504EC"/>
    <w:rsid w:val="00350501"/>
    <w:rsid w:val="00350996"/>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140"/>
    <w:rsid w:val="00356CEC"/>
    <w:rsid w:val="00357034"/>
    <w:rsid w:val="00357522"/>
    <w:rsid w:val="003576D7"/>
    <w:rsid w:val="00357712"/>
    <w:rsid w:val="00360C31"/>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6EBE"/>
    <w:rsid w:val="0037709A"/>
    <w:rsid w:val="003773C7"/>
    <w:rsid w:val="00377569"/>
    <w:rsid w:val="00377886"/>
    <w:rsid w:val="00377A68"/>
    <w:rsid w:val="00377C91"/>
    <w:rsid w:val="00377CE8"/>
    <w:rsid w:val="003810EA"/>
    <w:rsid w:val="003811F7"/>
    <w:rsid w:val="0038166A"/>
    <w:rsid w:val="0038187D"/>
    <w:rsid w:val="003821E7"/>
    <w:rsid w:val="00382B96"/>
    <w:rsid w:val="00383130"/>
    <w:rsid w:val="003834C7"/>
    <w:rsid w:val="00383D4B"/>
    <w:rsid w:val="00384735"/>
    <w:rsid w:val="003848D9"/>
    <w:rsid w:val="003855F6"/>
    <w:rsid w:val="00385614"/>
    <w:rsid w:val="00385CCE"/>
    <w:rsid w:val="00385DBB"/>
    <w:rsid w:val="00386B71"/>
    <w:rsid w:val="003871D9"/>
    <w:rsid w:val="00387771"/>
    <w:rsid w:val="00387B4D"/>
    <w:rsid w:val="003908C2"/>
    <w:rsid w:val="003912B0"/>
    <w:rsid w:val="0039178D"/>
    <w:rsid w:val="003925B5"/>
    <w:rsid w:val="00392C0A"/>
    <w:rsid w:val="00392D4A"/>
    <w:rsid w:val="00393367"/>
    <w:rsid w:val="003939F6"/>
    <w:rsid w:val="00393AA5"/>
    <w:rsid w:val="00393B78"/>
    <w:rsid w:val="00393B7F"/>
    <w:rsid w:val="00393E2E"/>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A10"/>
    <w:rsid w:val="003A6D8E"/>
    <w:rsid w:val="003A7789"/>
    <w:rsid w:val="003A7AF7"/>
    <w:rsid w:val="003B0B4D"/>
    <w:rsid w:val="003B1041"/>
    <w:rsid w:val="003B1961"/>
    <w:rsid w:val="003B1E84"/>
    <w:rsid w:val="003B2360"/>
    <w:rsid w:val="003B3F9B"/>
    <w:rsid w:val="003B47B7"/>
    <w:rsid w:val="003B4FDE"/>
    <w:rsid w:val="003B5051"/>
    <w:rsid w:val="003B570F"/>
    <w:rsid w:val="003B5BA9"/>
    <w:rsid w:val="003B5E30"/>
    <w:rsid w:val="003B6256"/>
    <w:rsid w:val="003B640C"/>
    <w:rsid w:val="003B661B"/>
    <w:rsid w:val="003B6C22"/>
    <w:rsid w:val="003B6FCB"/>
    <w:rsid w:val="003C00D9"/>
    <w:rsid w:val="003C0FB1"/>
    <w:rsid w:val="003C1734"/>
    <w:rsid w:val="003C1F75"/>
    <w:rsid w:val="003C23C3"/>
    <w:rsid w:val="003C28E6"/>
    <w:rsid w:val="003C4F25"/>
    <w:rsid w:val="003C5113"/>
    <w:rsid w:val="003C5399"/>
    <w:rsid w:val="003C5FE4"/>
    <w:rsid w:val="003C6131"/>
    <w:rsid w:val="003C6280"/>
    <w:rsid w:val="003C6E9F"/>
    <w:rsid w:val="003C78A0"/>
    <w:rsid w:val="003C7CE7"/>
    <w:rsid w:val="003D0246"/>
    <w:rsid w:val="003D09DA"/>
    <w:rsid w:val="003D0A1E"/>
    <w:rsid w:val="003D0AD2"/>
    <w:rsid w:val="003D12AF"/>
    <w:rsid w:val="003D132A"/>
    <w:rsid w:val="003D2339"/>
    <w:rsid w:val="003D26AA"/>
    <w:rsid w:val="003D3577"/>
    <w:rsid w:val="003D35CB"/>
    <w:rsid w:val="003D3C11"/>
    <w:rsid w:val="003D40A4"/>
    <w:rsid w:val="003D4350"/>
    <w:rsid w:val="003D4409"/>
    <w:rsid w:val="003D4A54"/>
    <w:rsid w:val="003D5717"/>
    <w:rsid w:val="003D5B80"/>
    <w:rsid w:val="003D676A"/>
    <w:rsid w:val="003D6873"/>
    <w:rsid w:val="003D68E7"/>
    <w:rsid w:val="003D7739"/>
    <w:rsid w:val="003D7FB8"/>
    <w:rsid w:val="003E0247"/>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9D0"/>
    <w:rsid w:val="00406F4B"/>
    <w:rsid w:val="004073B0"/>
    <w:rsid w:val="004077CC"/>
    <w:rsid w:val="00407E7E"/>
    <w:rsid w:val="0041093B"/>
    <w:rsid w:val="00410BEC"/>
    <w:rsid w:val="004111BE"/>
    <w:rsid w:val="00411873"/>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4C3"/>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364"/>
    <w:rsid w:val="0043480E"/>
    <w:rsid w:val="004352B4"/>
    <w:rsid w:val="004355EB"/>
    <w:rsid w:val="00435602"/>
    <w:rsid w:val="00435635"/>
    <w:rsid w:val="004356FA"/>
    <w:rsid w:val="00435CCF"/>
    <w:rsid w:val="004365C5"/>
    <w:rsid w:val="004366FE"/>
    <w:rsid w:val="00436983"/>
    <w:rsid w:val="00437179"/>
    <w:rsid w:val="004371AB"/>
    <w:rsid w:val="00437A07"/>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DEF"/>
    <w:rsid w:val="004543E4"/>
    <w:rsid w:val="00454539"/>
    <w:rsid w:val="004548E5"/>
    <w:rsid w:val="004549AF"/>
    <w:rsid w:val="00454C27"/>
    <w:rsid w:val="00455427"/>
    <w:rsid w:val="004555A7"/>
    <w:rsid w:val="00455B39"/>
    <w:rsid w:val="00456114"/>
    <w:rsid w:val="00456218"/>
    <w:rsid w:val="004562F8"/>
    <w:rsid w:val="00456971"/>
    <w:rsid w:val="00456DBF"/>
    <w:rsid w:val="004570F6"/>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2C83"/>
    <w:rsid w:val="00463146"/>
    <w:rsid w:val="004641FE"/>
    <w:rsid w:val="0046434B"/>
    <w:rsid w:val="00465573"/>
    <w:rsid w:val="00465FF9"/>
    <w:rsid w:val="0046644D"/>
    <w:rsid w:val="0046649C"/>
    <w:rsid w:val="004670B3"/>
    <w:rsid w:val="00467A56"/>
    <w:rsid w:val="00467B21"/>
    <w:rsid w:val="004706EF"/>
    <w:rsid w:val="00470750"/>
    <w:rsid w:val="004707FD"/>
    <w:rsid w:val="00470B6B"/>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C33"/>
    <w:rsid w:val="004952FE"/>
    <w:rsid w:val="00495AA2"/>
    <w:rsid w:val="004961DB"/>
    <w:rsid w:val="00496899"/>
    <w:rsid w:val="00496927"/>
    <w:rsid w:val="00496A97"/>
    <w:rsid w:val="00497E75"/>
    <w:rsid w:val="00497FF8"/>
    <w:rsid w:val="004A04B1"/>
    <w:rsid w:val="004A0C8F"/>
    <w:rsid w:val="004A11C3"/>
    <w:rsid w:val="004A15A9"/>
    <w:rsid w:val="004A201F"/>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5B1"/>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0609"/>
    <w:rsid w:val="004D1A33"/>
    <w:rsid w:val="004D1D64"/>
    <w:rsid w:val="004D25FC"/>
    <w:rsid w:val="004D2848"/>
    <w:rsid w:val="004D2AE1"/>
    <w:rsid w:val="004D2C45"/>
    <w:rsid w:val="004D2CDA"/>
    <w:rsid w:val="004D2DAF"/>
    <w:rsid w:val="004D3EB5"/>
    <w:rsid w:val="004D3F7D"/>
    <w:rsid w:val="004D4968"/>
    <w:rsid w:val="004D5F40"/>
    <w:rsid w:val="004D60F7"/>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7F7"/>
    <w:rsid w:val="004E49DC"/>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1DAC"/>
    <w:rsid w:val="004F2358"/>
    <w:rsid w:val="004F2826"/>
    <w:rsid w:val="004F2FC3"/>
    <w:rsid w:val="004F3155"/>
    <w:rsid w:val="004F359A"/>
    <w:rsid w:val="004F3A0C"/>
    <w:rsid w:val="004F3DD1"/>
    <w:rsid w:val="004F3E85"/>
    <w:rsid w:val="004F4241"/>
    <w:rsid w:val="004F438E"/>
    <w:rsid w:val="004F4C6B"/>
    <w:rsid w:val="004F4E30"/>
    <w:rsid w:val="004F5C31"/>
    <w:rsid w:val="004F6AFE"/>
    <w:rsid w:val="004F723E"/>
    <w:rsid w:val="004F7F1A"/>
    <w:rsid w:val="0050031C"/>
    <w:rsid w:val="005004F7"/>
    <w:rsid w:val="00500798"/>
    <w:rsid w:val="00500A59"/>
    <w:rsid w:val="00500B71"/>
    <w:rsid w:val="005015F9"/>
    <w:rsid w:val="0050169C"/>
    <w:rsid w:val="0050242A"/>
    <w:rsid w:val="00502B0E"/>
    <w:rsid w:val="00502C24"/>
    <w:rsid w:val="00502E28"/>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135"/>
    <w:rsid w:val="00517326"/>
    <w:rsid w:val="00517B89"/>
    <w:rsid w:val="00517C3B"/>
    <w:rsid w:val="0052001B"/>
    <w:rsid w:val="00521D65"/>
    <w:rsid w:val="00522592"/>
    <w:rsid w:val="00522E36"/>
    <w:rsid w:val="00523B71"/>
    <w:rsid w:val="00523F32"/>
    <w:rsid w:val="00524B22"/>
    <w:rsid w:val="005251DA"/>
    <w:rsid w:val="00525515"/>
    <w:rsid w:val="005255CE"/>
    <w:rsid w:val="00525AA5"/>
    <w:rsid w:val="00525CAE"/>
    <w:rsid w:val="00526653"/>
    <w:rsid w:val="00526C8A"/>
    <w:rsid w:val="00526E49"/>
    <w:rsid w:val="00527489"/>
    <w:rsid w:val="00527DB2"/>
    <w:rsid w:val="005302F7"/>
    <w:rsid w:val="005303F0"/>
    <w:rsid w:val="00530BD5"/>
    <w:rsid w:val="00531307"/>
    <w:rsid w:val="0053173A"/>
    <w:rsid w:val="00531824"/>
    <w:rsid w:val="00532462"/>
    <w:rsid w:val="00532976"/>
    <w:rsid w:val="00533215"/>
    <w:rsid w:val="005339D2"/>
    <w:rsid w:val="005341B0"/>
    <w:rsid w:val="0053437E"/>
    <w:rsid w:val="0053476E"/>
    <w:rsid w:val="00534834"/>
    <w:rsid w:val="005349EB"/>
    <w:rsid w:val="00534B42"/>
    <w:rsid w:val="00534D96"/>
    <w:rsid w:val="0053542C"/>
    <w:rsid w:val="005408FD"/>
    <w:rsid w:val="005409F3"/>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B67"/>
    <w:rsid w:val="00570C83"/>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025"/>
    <w:rsid w:val="00580760"/>
    <w:rsid w:val="00581367"/>
    <w:rsid w:val="005819D7"/>
    <w:rsid w:val="00582D3E"/>
    <w:rsid w:val="00582E3D"/>
    <w:rsid w:val="005836D0"/>
    <w:rsid w:val="00583766"/>
    <w:rsid w:val="005840E5"/>
    <w:rsid w:val="0058445A"/>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7E6"/>
    <w:rsid w:val="00594B20"/>
    <w:rsid w:val="00594F5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6B0"/>
    <w:rsid w:val="005A4A64"/>
    <w:rsid w:val="005A50A0"/>
    <w:rsid w:val="005A50FE"/>
    <w:rsid w:val="005A59CF"/>
    <w:rsid w:val="005A6CB4"/>
    <w:rsid w:val="005A7ECD"/>
    <w:rsid w:val="005A7F72"/>
    <w:rsid w:val="005B0443"/>
    <w:rsid w:val="005B097C"/>
    <w:rsid w:val="005B1CC4"/>
    <w:rsid w:val="005B1D3E"/>
    <w:rsid w:val="005B2EB8"/>
    <w:rsid w:val="005B33A1"/>
    <w:rsid w:val="005B4282"/>
    <w:rsid w:val="005B5251"/>
    <w:rsid w:val="005B54FE"/>
    <w:rsid w:val="005B5614"/>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478"/>
    <w:rsid w:val="005D38CA"/>
    <w:rsid w:val="005D4722"/>
    <w:rsid w:val="005D4884"/>
    <w:rsid w:val="005D49D1"/>
    <w:rsid w:val="005D544E"/>
    <w:rsid w:val="005D5E46"/>
    <w:rsid w:val="005D64A5"/>
    <w:rsid w:val="005D680B"/>
    <w:rsid w:val="005D6B30"/>
    <w:rsid w:val="005D7AA9"/>
    <w:rsid w:val="005E0010"/>
    <w:rsid w:val="005E0EAD"/>
    <w:rsid w:val="005E0EB3"/>
    <w:rsid w:val="005E1F47"/>
    <w:rsid w:val="005E260D"/>
    <w:rsid w:val="005E35FD"/>
    <w:rsid w:val="005E383F"/>
    <w:rsid w:val="005E399C"/>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44"/>
    <w:rsid w:val="005F4AC6"/>
    <w:rsid w:val="005F55AA"/>
    <w:rsid w:val="005F55CC"/>
    <w:rsid w:val="005F55E3"/>
    <w:rsid w:val="005F5880"/>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5A3"/>
    <w:rsid w:val="00606615"/>
    <w:rsid w:val="00606C6F"/>
    <w:rsid w:val="00606FA6"/>
    <w:rsid w:val="00607079"/>
    <w:rsid w:val="0060791C"/>
    <w:rsid w:val="00607ADE"/>
    <w:rsid w:val="00607FB4"/>
    <w:rsid w:val="00610E40"/>
    <w:rsid w:val="00611C83"/>
    <w:rsid w:val="00612015"/>
    <w:rsid w:val="006122CF"/>
    <w:rsid w:val="0061286E"/>
    <w:rsid w:val="00612C73"/>
    <w:rsid w:val="006133F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253"/>
    <w:rsid w:val="00623A12"/>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606"/>
    <w:rsid w:val="00635CC3"/>
    <w:rsid w:val="00636041"/>
    <w:rsid w:val="00636094"/>
    <w:rsid w:val="00636497"/>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6C2A"/>
    <w:rsid w:val="00646C3F"/>
    <w:rsid w:val="006478E6"/>
    <w:rsid w:val="00647D2D"/>
    <w:rsid w:val="00650854"/>
    <w:rsid w:val="00650A04"/>
    <w:rsid w:val="00650CAB"/>
    <w:rsid w:val="006510F4"/>
    <w:rsid w:val="006514E4"/>
    <w:rsid w:val="00651AD3"/>
    <w:rsid w:val="00651FA0"/>
    <w:rsid w:val="006526F3"/>
    <w:rsid w:val="0065293D"/>
    <w:rsid w:val="006529D4"/>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137"/>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6FFB"/>
    <w:rsid w:val="00677B01"/>
    <w:rsid w:val="00677E8D"/>
    <w:rsid w:val="00680A97"/>
    <w:rsid w:val="00680C3F"/>
    <w:rsid w:val="0068102D"/>
    <w:rsid w:val="0068226B"/>
    <w:rsid w:val="00682ED3"/>
    <w:rsid w:val="0068370B"/>
    <w:rsid w:val="00683EE8"/>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076"/>
    <w:rsid w:val="006979CD"/>
    <w:rsid w:val="00697FE2"/>
    <w:rsid w:val="006A0B49"/>
    <w:rsid w:val="006A1313"/>
    <w:rsid w:val="006A1419"/>
    <w:rsid w:val="006A1C6F"/>
    <w:rsid w:val="006A2347"/>
    <w:rsid w:val="006A24B3"/>
    <w:rsid w:val="006A2A3D"/>
    <w:rsid w:val="006A40A2"/>
    <w:rsid w:val="006A40F0"/>
    <w:rsid w:val="006A415E"/>
    <w:rsid w:val="006A46C7"/>
    <w:rsid w:val="006A49B5"/>
    <w:rsid w:val="006A5A82"/>
    <w:rsid w:val="006A5BC7"/>
    <w:rsid w:val="006A5C44"/>
    <w:rsid w:val="006A5DE5"/>
    <w:rsid w:val="006A636A"/>
    <w:rsid w:val="006A6518"/>
    <w:rsid w:val="006A6B69"/>
    <w:rsid w:val="006A6F85"/>
    <w:rsid w:val="006B1229"/>
    <w:rsid w:val="006B1938"/>
    <w:rsid w:val="006B19B2"/>
    <w:rsid w:val="006B1A7C"/>
    <w:rsid w:val="006B1DA2"/>
    <w:rsid w:val="006B1F5F"/>
    <w:rsid w:val="006B2064"/>
    <w:rsid w:val="006B3AD6"/>
    <w:rsid w:val="006B4F5B"/>
    <w:rsid w:val="006B5922"/>
    <w:rsid w:val="006B67DE"/>
    <w:rsid w:val="006B6C94"/>
    <w:rsid w:val="006B6E3E"/>
    <w:rsid w:val="006C066E"/>
    <w:rsid w:val="006C0900"/>
    <w:rsid w:val="006C09DD"/>
    <w:rsid w:val="006C10C0"/>
    <w:rsid w:val="006C12AE"/>
    <w:rsid w:val="006C30B8"/>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474"/>
    <w:rsid w:val="006D0B4F"/>
    <w:rsid w:val="006D1F1A"/>
    <w:rsid w:val="006D21FF"/>
    <w:rsid w:val="006D493C"/>
    <w:rsid w:val="006D5FEE"/>
    <w:rsid w:val="006D5FEF"/>
    <w:rsid w:val="006D64D6"/>
    <w:rsid w:val="006D6A4C"/>
    <w:rsid w:val="006D6FC8"/>
    <w:rsid w:val="006E0240"/>
    <w:rsid w:val="006E0993"/>
    <w:rsid w:val="006E0B10"/>
    <w:rsid w:val="006E0B16"/>
    <w:rsid w:val="006E22CC"/>
    <w:rsid w:val="006E291C"/>
    <w:rsid w:val="006E32C4"/>
    <w:rsid w:val="006E3A2D"/>
    <w:rsid w:val="006E3B45"/>
    <w:rsid w:val="006E512D"/>
    <w:rsid w:val="006E53A6"/>
    <w:rsid w:val="006E5C3A"/>
    <w:rsid w:val="006E610E"/>
    <w:rsid w:val="006E6FC9"/>
    <w:rsid w:val="006E7093"/>
    <w:rsid w:val="006E7496"/>
    <w:rsid w:val="006E7969"/>
    <w:rsid w:val="006F0104"/>
    <w:rsid w:val="006F0B08"/>
    <w:rsid w:val="006F0C12"/>
    <w:rsid w:val="006F0EB1"/>
    <w:rsid w:val="006F10A1"/>
    <w:rsid w:val="006F1636"/>
    <w:rsid w:val="006F16B4"/>
    <w:rsid w:val="006F2CCB"/>
    <w:rsid w:val="006F2E9D"/>
    <w:rsid w:val="006F314D"/>
    <w:rsid w:val="006F4FDB"/>
    <w:rsid w:val="006F57A2"/>
    <w:rsid w:val="006F59D4"/>
    <w:rsid w:val="006F5CDF"/>
    <w:rsid w:val="006F5FAA"/>
    <w:rsid w:val="006F61B8"/>
    <w:rsid w:val="006F62E9"/>
    <w:rsid w:val="006F6BE1"/>
    <w:rsid w:val="006F738F"/>
    <w:rsid w:val="006F7E42"/>
    <w:rsid w:val="0070023A"/>
    <w:rsid w:val="00700EC2"/>
    <w:rsid w:val="00700F47"/>
    <w:rsid w:val="00700F6E"/>
    <w:rsid w:val="007014E9"/>
    <w:rsid w:val="0070193E"/>
    <w:rsid w:val="00701F6B"/>
    <w:rsid w:val="00701F87"/>
    <w:rsid w:val="00702958"/>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FF5"/>
    <w:rsid w:val="0071129C"/>
    <w:rsid w:val="00711AE4"/>
    <w:rsid w:val="007128FE"/>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93E"/>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24D"/>
    <w:rsid w:val="0073446C"/>
    <w:rsid w:val="007347C0"/>
    <w:rsid w:val="007354B7"/>
    <w:rsid w:val="00735D01"/>
    <w:rsid w:val="00735DF3"/>
    <w:rsid w:val="0073642C"/>
    <w:rsid w:val="00736B96"/>
    <w:rsid w:val="00736BD5"/>
    <w:rsid w:val="00736BED"/>
    <w:rsid w:val="00736E2F"/>
    <w:rsid w:val="0073725A"/>
    <w:rsid w:val="00737302"/>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83D"/>
    <w:rsid w:val="00760D79"/>
    <w:rsid w:val="0076121D"/>
    <w:rsid w:val="007619FB"/>
    <w:rsid w:val="00761C91"/>
    <w:rsid w:val="00762924"/>
    <w:rsid w:val="00762D30"/>
    <w:rsid w:val="00762D3E"/>
    <w:rsid w:val="00763339"/>
    <w:rsid w:val="00763355"/>
    <w:rsid w:val="00763522"/>
    <w:rsid w:val="00763FE8"/>
    <w:rsid w:val="00764A6B"/>
    <w:rsid w:val="00764E1D"/>
    <w:rsid w:val="00765327"/>
    <w:rsid w:val="007661E2"/>
    <w:rsid w:val="00766AE4"/>
    <w:rsid w:val="00766BFB"/>
    <w:rsid w:val="0076702E"/>
    <w:rsid w:val="007678B6"/>
    <w:rsid w:val="00770CF3"/>
    <w:rsid w:val="007721AD"/>
    <w:rsid w:val="007726FB"/>
    <w:rsid w:val="00772D15"/>
    <w:rsid w:val="00772DC3"/>
    <w:rsid w:val="00773141"/>
    <w:rsid w:val="00773D67"/>
    <w:rsid w:val="0077476B"/>
    <w:rsid w:val="00774BC1"/>
    <w:rsid w:val="00774E6B"/>
    <w:rsid w:val="00775F11"/>
    <w:rsid w:val="007768F2"/>
    <w:rsid w:val="00776E9E"/>
    <w:rsid w:val="00777126"/>
    <w:rsid w:val="007773CD"/>
    <w:rsid w:val="00777C1A"/>
    <w:rsid w:val="00777C3F"/>
    <w:rsid w:val="00777EE9"/>
    <w:rsid w:val="00780732"/>
    <w:rsid w:val="0078095A"/>
    <w:rsid w:val="0078146E"/>
    <w:rsid w:val="0078165E"/>
    <w:rsid w:val="00781B9A"/>
    <w:rsid w:val="00781C3C"/>
    <w:rsid w:val="0078243D"/>
    <w:rsid w:val="00783659"/>
    <w:rsid w:val="0078380D"/>
    <w:rsid w:val="00783BCC"/>
    <w:rsid w:val="00784702"/>
    <w:rsid w:val="007847B9"/>
    <w:rsid w:val="00785381"/>
    <w:rsid w:val="007860C0"/>
    <w:rsid w:val="00786272"/>
    <w:rsid w:val="007864B2"/>
    <w:rsid w:val="00786620"/>
    <w:rsid w:val="00786D0A"/>
    <w:rsid w:val="00787736"/>
    <w:rsid w:val="00787A55"/>
    <w:rsid w:val="00787FF1"/>
    <w:rsid w:val="00790693"/>
    <w:rsid w:val="00790843"/>
    <w:rsid w:val="007916D2"/>
    <w:rsid w:val="00792699"/>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414"/>
    <w:rsid w:val="007A490E"/>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D7F79"/>
    <w:rsid w:val="007E0C8C"/>
    <w:rsid w:val="007E1479"/>
    <w:rsid w:val="007E1BF0"/>
    <w:rsid w:val="007E1C10"/>
    <w:rsid w:val="007E1CB1"/>
    <w:rsid w:val="007E201B"/>
    <w:rsid w:val="007E218F"/>
    <w:rsid w:val="007E2252"/>
    <w:rsid w:val="007E276E"/>
    <w:rsid w:val="007E2B64"/>
    <w:rsid w:val="007E3051"/>
    <w:rsid w:val="007E4238"/>
    <w:rsid w:val="007E43A4"/>
    <w:rsid w:val="007E4E4F"/>
    <w:rsid w:val="007E6477"/>
    <w:rsid w:val="007E686B"/>
    <w:rsid w:val="007E6D46"/>
    <w:rsid w:val="007E6DA8"/>
    <w:rsid w:val="007E73ED"/>
    <w:rsid w:val="007E7A3E"/>
    <w:rsid w:val="007F04E6"/>
    <w:rsid w:val="007F05E0"/>
    <w:rsid w:val="007F0AE2"/>
    <w:rsid w:val="007F0DD3"/>
    <w:rsid w:val="007F1591"/>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4A9"/>
    <w:rsid w:val="00801838"/>
    <w:rsid w:val="00801909"/>
    <w:rsid w:val="00801F82"/>
    <w:rsid w:val="00802AC5"/>
    <w:rsid w:val="00803016"/>
    <w:rsid w:val="00804867"/>
    <w:rsid w:val="00804B2F"/>
    <w:rsid w:val="00805DA9"/>
    <w:rsid w:val="008064A1"/>
    <w:rsid w:val="008064F4"/>
    <w:rsid w:val="00806559"/>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42C7"/>
    <w:rsid w:val="0081433F"/>
    <w:rsid w:val="008147F9"/>
    <w:rsid w:val="00814B5E"/>
    <w:rsid w:val="00814B7D"/>
    <w:rsid w:val="00814C44"/>
    <w:rsid w:val="00814CBC"/>
    <w:rsid w:val="00814F19"/>
    <w:rsid w:val="00815706"/>
    <w:rsid w:val="00815A88"/>
    <w:rsid w:val="008162DE"/>
    <w:rsid w:val="00817025"/>
    <w:rsid w:val="008176B0"/>
    <w:rsid w:val="008202C9"/>
    <w:rsid w:val="008205F8"/>
    <w:rsid w:val="00820759"/>
    <w:rsid w:val="0082081A"/>
    <w:rsid w:val="00820B06"/>
    <w:rsid w:val="00820E25"/>
    <w:rsid w:val="00820FE6"/>
    <w:rsid w:val="00821167"/>
    <w:rsid w:val="00821737"/>
    <w:rsid w:val="00821B0B"/>
    <w:rsid w:val="00821D40"/>
    <w:rsid w:val="008237B2"/>
    <w:rsid w:val="00827A8A"/>
    <w:rsid w:val="00830D11"/>
    <w:rsid w:val="008314F0"/>
    <w:rsid w:val="008319D3"/>
    <w:rsid w:val="00832C18"/>
    <w:rsid w:val="0083388D"/>
    <w:rsid w:val="0083411C"/>
    <w:rsid w:val="00834339"/>
    <w:rsid w:val="008343CB"/>
    <w:rsid w:val="00834512"/>
    <w:rsid w:val="00835544"/>
    <w:rsid w:val="00835967"/>
    <w:rsid w:val="00835B82"/>
    <w:rsid w:val="00836157"/>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5CC"/>
    <w:rsid w:val="00845D97"/>
    <w:rsid w:val="00845F51"/>
    <w:rsid w:val="00846069"/>
    <w:rsid w:val="0084637B"/>
    <w:rsid w:val="00846467"/>
    <w:rsid w:val="0084760D"/>
    <w:rsid w:val="00847991"/>
    <w:rsid w:val="008479F4"/>
    <w:rsid w:val="00847C4E"/>
    <w:rsid w:val="0085172A"/>
    <w:rsid w:val="008517E2"/>
    <w:rsid w:val="008535B0"/>
    <w:rsid w:val="00853A21"/>
    <w:rsid w:val="00853BD0"/>
    <w:rsid w:val="008544D2"/>
    <w:rsid w:val="00854983"/>
    <w:rsid w:val="00854DBE"/>
    <w:rsid w:val="00855C75"/>
    <w:rsid w:val="008569DF"/>
    <w:rsid w:val="00856B6B"/>
    <w:rsid w:val="00856E4A"/>
    <w:rsid w:val="00856EEA"/>
    <w:rsid w:val="008579B1"/>
    <w:rsid w:val="00857DB5"/>
    <w:rsid w:val="00857F97"/>
    <w:rsid w:val="0086007E"/>
    <w:rsid w:val="0086037F"/>
    <w:rsid w:val="00860777"/>
    <w:rsid w:val="00860AD4"/>
    <w:rsid w:val="0086119E"/>
    <w:rsid w:val="008614CF"/>
    <w:rsid w:val="00861B0E"/>
    <w:rsid w:val="00861B16"/>
    <w:rsid w:val="00861B41"/>
    <w:rsid w:val="00861DA1"/>
    <w:rsid w:val="00862173"/>
    <w:rsid w:val="008621F7"/>
    <w:rsid w:val="008626B0"/>
    <w:rsid w:val="00864A2A"/>
    <w:rsid w:val="00864E86"/>
    <w:rsid w:val="00865DE1"/>
    <w:rsid w:val="0086711C"/>
    <w:rsid w:val="00870793"/>
    <w:rsid w:val="00871EED"/>
    <w:rsid w:val="00872977"/>
    <w:rsid w:val="008731DC"/>
    <w:rsid w:val="008734E7"/>
    <w:rsid w:val="00873A43"/>
    <w:rsid w:val="0087404E"/>
    <w:rsid w:val="008744DD"/>
    <w:rsid w:val="00874C48"/>
    <w:rsid w:val="0087504C"/>
    <w:rsid w:val="008751A1"/>
    <w:rsid w:val="00875394"/>
    <w:rsid w:val="00875524"/>
    <w:rsid w:val="00875905"/>
    <w:rsid w:val="00876B38"/>
    <w:rsid w:val="00876C1A"/>
    <w:rsid w:val="00877149"/>
    <w:rsid w:val="00877FA3"/>
    <w:rsid w:val="00880E55"/>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3F6C"/>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84"/>
    <w:rsid w:val="008B0DCC"/>
    <w:rsid w:val="008B1651"/>
    <w:rsid w:val="008B2DEB"/>
    <w:rsid w:val="008B3537"/>
    <w:rsid w:val="008B3D4F"/>
    <w:rsid w:val="008B4685"/>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C3C"/>
    <w:rsid w:val="008C7F77"/>
    <w:rsid w:val="008D095D"/>
    <w:rsid w:val="008D0EB5"/>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170"/>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6F90"/>
    <w:rsid w:val="008E76F3"/>
    <w:rsid w:val="008E7A59"/>
    <w:rsid w:val="008E7FDA"/>
    <w:rsid w:val="008F01AB"/>
    <w:rsid w:val="008F09AF"/>
    <w:rsid w:val="008F1E38"/>
    <w:rsid w:val="008F23C7"/>
    <w:rsid w:val="008F2A4E"/>
    <w:rsid w:val="008F2EB2"/>
    <w:rsid w:val="008F3DC9"/>
    <w:rsid w:val="008F4107"/>
    <w:rsid w:val="008F4807"/>
    <w:rsid w:val="008F4BFE"/>
    <w:rsid w:val="008F4F27"/>
    <w:rsid w:val="008F56B5"/>
    <w:rsid w:val="008F594D"/>
    <w:rsid w:val="008F595E"/>
    <w:rsid w:val="008F62E5"/>
    <w:rsid w:val="008F7697"/>
    <w:rsid w:val="008F7AEE"/>
    <w:rsid w:val="00900A18"/>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EC1"/>
    <w:rsid w:val="009108A7"/>
    <w:rsid w:val="009114A5"/>
    <w:rsid w:val="00911E1A"/>
    <w:rsid w:val="009123B9"/>
    <w:rsid w:val="0091247F"/>
    <w:rsid w:val="00912DDD"/>
    <w:rsid w:val="00913F4C"/>
    <w:rsid w:val="0091404B"/>
    <w:rsid w:val="00914189"/>
    <w:rsid w:val="0091423A"/>
    <w:rsid w:val="00914307"/>
    <w:rsid w:val="00914370"/>
    <w:rsid w:val="00914CA0"/>
    <w:rsid w:val="00914DE2"/>
    <w:rsid w:val="0091537E"/>
    <w:rsid w:val="00915989"/>
    <w:rsid w:val="00915DE0"/>
    <w:rsid w:val="009167FB"/>
    <w:rsid w:val="00916CCF"/>
    <w:rsid w:val="00920236"/>
    <w:rsid w:val="00920B65"/>
    <w:rsid w:val="00920BC8"/>
    <w:rsid w:val="00920D4C"/>
    <w:rsid w:val="00921169"/>
    <w:rsid w:val="0092160E"/>
    <w:rsid w:val="009218D2"/>
    <w:rsid w:val="00921D14"/>
    <w:rsid w:val="00921D57"/>
    <w:rsid w:val="00921F94"/>
    <w:rsid w:val="00922076"/>
    <w:rsid w:val="00922316"/>
    <w:rsid w:val="0092237B"/>
    <w:rsid w:val="00922BFD"/>
    <w:rsid w:val="0092480A"/>
    <w:rsid w:val="00924CC1"/>
    <w:rsid w:val="009257B4"/>
    <w:rsid w:val="00925DD1"/>
    <w:rsid w:val="009260EC"/>
    <w:rsid w:val="0092698B"/>
    <w:rsid w:val="0092769F"/>
    <w:rsid w:val="00927817"/>
    <w:rsid w:val="00930B4A"/>
    <w:rsid w:val="00931271"/>
    <w:rsid w:val="0093135E"/>
    <w:rsid w:val="00932410"/>
    <w:rsid w:val="009324B1"/>
    <w:rsid w:val="00932575"/>
    <w:rsid w:val="009325D4"/>
    <w:rsid w:val="009327B5"/>
    <w:rsid w:val="00932A88"/>
    <w:rsid w:val="009331E9"/>
    <w:rsid w:val="00933241"/>
    <w:rsid w:val="00933DE4"/>
    <w:rsid w:val="009353FF"/>
    <w:rsid w:val="00935B7C"/>
    <w:rsid w:val="00936544"/>
    <w:rsid w:val="009365EB"/>
    <w:rsid w:val="00936AEF"/>
    <w:rsid w:val="00936F26"/>
    <w:rsid w:val="0094086F"/>
    <w:rsid w:val="00940AA2"/>
    <w:rsid w:val="00940B68"/>
    <w:rsid w:val="00940DF4"/>
    <w:rsid w:val="0094193E"/>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D2A"/>
    <w:rsid w:val="00951FFF"/>
    <w:rsid w:val="009520A6"/>
    <w:rsid w:val="009526F7"/>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2CED"/>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69"/>
    <w:rsid w:val="009720A1"/>
    <w:rsid w:val="009728FB"/>
    <w:rsid w:val="0097298A"/>
    <w:rsid w:val="0097373B"/>
    <w:rsid w:val="00973BAF"/>
    <w:rsid w:val="00974182"/>
    <w:rsid w:val="00974DCF"/>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6D46"/>
    <w:rsid w:val="009879B5"/>
    <w:rsid w:val="00990010"/>
    <w:rsid w:val="00990732"/>
    <w:rsid w:val="00990C1F"/>
    <w:rsid w:val="00991820"/>
    <w:rsid w:val="00991C57"/>
    <w:rsid w:val="00991F39"/>
    <w:rsid w:val="00992464"/>
    <w:rsid w:val="009930C0"/>
    <w:rsid w:val="00994344"/>
    <w:rsid w:val="00994B6A"/>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A7FE7"/>
    <w:rsid w:val="009B003C"/>
    <w:rsid w:val="009B0DFC"/>
    <w:rsid w:val="009B114C"/>
    <w:rsid w:val="009B1C76"/>
    <w:rsid w:val="009B2465"/>
    <w:rsid w:val="009B285A"/>
    <w:rsid w:val="009B300F"/>
    <w:rsid w:val="009B35E6"/>
    <w:rsid w:val="009B3745"/>
    <w:rsid w:val="009B46E0"/>
    <w:rsid w:val="009B48F3"/>
    <w:rsid w:val="009B521B"/>
    <w:rsid w:val="009B5DD5"/>
    <w:rsid w:val="009B6970"/>
    <w:rsid w:val="009B74E2"/>
    <w:rsid w:val="009C00EF"/>
    <w:rsid w:val="009C064F"/>
    <w:rsid w:val="009C1566"/>
    <w:rsid w:val="009C1BE2"/>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5D9"/>
    <w:rsid w:val="009D3879"/>
    <w:rsid w:val="009D4303"/>
    <w:rsid w:val="009D4728"/>
    <w:rsid w:val="009D4A8E"/>
    <w:rsid w:val="009D50E8"/>
    <w:rsid w:val="009D5637"/>
    <w:rsid w:val="009D57D5"/>
    <w:rsid w:val="009D5D05"/>
    <w:rsid w:val="009D62E7"/>
    <w:rsid w:val="009D6F0D"/>
    <w:rsid w:val="009D7423"/>
    <w:rsid w:val="009D7576"/>
    <w:rsid w:val="009D7776"/>
    <w:rsid w:val="009D7C4F"/>
    <w:rsid w:val="009E096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3DC"/>
    <w:rsid w:val="009F3CC3"/>
    <w:rsid w:val="009F3F25"/>
    <w:rsid w:val="009F42FA"/>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AAD"/>
    <w:rsid w:val="00A05B8C"/>
    <w:rsid w:val="00A05CB6"/>
    <w:rsid w:val="00A05F8B"/>
    <w:rsid w:val="00A066E7"/>
    <w:rsid w:val="00A0678E"/>
    <w:rsid w:val="00A06EE7"/>
    <w:rsid w:val="00A07654"/>
    <w:rsid w:val="00A07B16"/>
    <w:rsid w:val="00A07BFA"/>
    <w:rsid w:val="00A07DCC"/>
    <w:rsid w:val="00A07FA3"/>
    <w:rsid w:val="00A10B48"/>
    <w:rsid w:val="00A11A66"/>
    <w:rsid w:val="00A11ACA"/>
    <w:rsid w:val="00A11E0F"/>
    <w:rsid w:val="00A12206"/>
    <w:rsid w:val="00A12BEE"/>
    <w:rsid w:val="00A13715"/>
    <w:rsid w:val="00A13A3E"/>
    <w:rsid w:val="00A14566"/>
    <w:rsid w:val="00A145D0"/>
    <w:rsid w:val="00A14B65"/>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2A1"/>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5DED"/>
    <w:rsid w:val="00A3673E"/>
    <w:rsid w:val="00A37165"/>
    <w:rsid w:val="00A402CC"/>
    <w:rsid w:val="00A42777"/>
    <w:rsid w:val="00A4329C"/>
    <w:rsid w:val="00A4339C"/>
    <w:rsid w:val="00A436C2"/>
    <w:rsid w:val="00A449D2"/>
    <w:rsid w:val="00A44E28"/>
    <w:rsid w:val="00A450B3"/>
    <w:rsid w:val="00A4528E"/>
    <w:rsid w:val="00A4570E"/>
    <w:rsid w:val="00A4648A"/>
    <w:rsid w:val="00A46B10"/>
    <w:rsid w:val="00A46F1F"/>
    <w:rsid w:val="00A46FAD"/>
    <w:rsid w:val="00A472DB"/>
    <w:rsid w:val="00A47B7B"/>
    <w:rsid w:val="00A5044D"/>
    <w:rsid w:val="00A50B00"/>
    <w:rsid w:val="00A50C99"/>
    <w:rsid w:val="00A50E51"/>
    <w:rsid w:val="00A514EB"/>
    <w:rsid w:val="00A517B9"/>
    <w:rsid w:val="00A518FF"/>
    <w:rsid w:val="00A521E0"/>
    <w:rsid w:val="00A52BE9"/>
    <w:rsid w:val="00A54007"/>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37A"/>
    <w:rsid w:val="00A844C6"/>
    <w:rsid w:val="00A8523D"/>
    <w:rsid w:val="00A853A6"/>
    <w:rsid w:val="00A905F1"/>
    <w:rsid w:val="00A909F2"/>
    <w:rsid w:val="00A90CE4"/>
    <w:rsid w:val="00A90E27"/>
    <w:rsid w:val="00A90F65"/>
    <w:rsid w:val="00A910E1"/>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A5"/>
    <w:rsid w:val="00AA3CB1"/>
    <w:rsid w:val="00AA49B7"/>
    <w:rsid w:val="00AA61DD"/>
    <w:rsid w:val="00AA630A"/>
    <w:rsid w:val="00AA64FA"/>
    <w:rsid w:val="00AA69EF"/>
    <w:rsid w:val="00AA6F9A"/>
    <w:rsid w:val="00AA7159"/>
    <w:rsid w:val="00AA7A0E"/>
    <w:rsid w:val="00AB02C8"/>
    <w:rsid w:val="00AB032A"/>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CC4"/>
    <w:rsid w:val="00AC0D36"/>
    <w:rsid w:val="00AC0F0B"/>
    <w:rsid w:val="00AC2671"/>
    <w:rsid w:val="00AC27BD"/>
    <w:rsid w:val="00AC2D25"/>
    <w:rsid w:val="00AC2E78"/>
    <w:rsid w:val="00AC33F9"/>
    <w:rsid w:val="00AC3431"/>
    <w:rsid w:val="00AC34AE"/>
    <w:rsid w:val="00AC3600"/>
    <w:rsid w:val="00AC367D"/>
    <w:rsid w:val="00AC3727"/>
    <w:rsid w:val="00AC3E57"/>
    <w:rsid w:val="00AC4379"/>
    <w:rsid w:val="00AC495A"/>
    <w:rsid w:val="00AC4D53"/>
    <w:rsid w:val="00AC4E7D"/>
    <w:rsid w:val="00AC52F4"/>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C1A"/>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00"/>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5C86"/>
    <w:rsid w:val="00B06241"/>
    <w:rsid w:val="00B07988"/>
    <w:rsid w:val="00B07EDA"/>
    <w:rsid w:val="00B11AC8"/>
    <w:rsid w:val="00B11C22"/>
    <w:rsid w:val="00B11E9A"/>
    <w:rsid w:val="00B121C8"/>
    <w:rsid w:val="00B13818"/>
    <w:rsid w:val="00B13C59"/>
    <w:rsid w:val="00B14939"/>
    <w:rsid w:val="00B14DDF"/>
    <w:rsid w:val="00B14E6C"/>
    <w:rsid w:val="00B14F21"/>
    <w:rsid w:val="00B151C6"/>
    <w:rsid w:val="00B153E8"/>
    <w:rsid w:val="00B1571A"/>
    <w:rsid w:val="00B15CC4"/>
    <w:rsid w:val="00B15E60"/>
    <w:rsid w:val="00B16191"/>
    <w:rsid w:val="00B16926"/>
    <w:rsid w:val="00B1741F"/>
    <w:rsid w:val="00B17793"/>
    <w:rsid w:val="00B17D79"/>
    <w:rsid w:val="00B17F5F"/>
    <w:rsid w:val="00B20057"/>
    <w:rsid w:val="00B208A5"/>
    <w:rsid w:val="00B209B5"/>
    <w:rsid w:val="00B20DA9"/>
    <w:rsid w:val="00B20E2B"/>
    <w:rsid w:val="00B21CA7"/>
    <w:rsid w:val="00B21D24"/>
    <w:rsid w:val="00B22651"/>
    <w:rsid w:val="00B22CE2"/>
    <w:rsid w:val="00B23216"/>
    <w:rsid w:val="00B23960"/>
    <w:rsid w:val="00B23C80"/>
    <w:rsid w:val="00B24165"/>
    <w:rsid w:val="00B2484E"/>
    <w:rsid w:val="00B24C37"/>
    <w:rsid w:val="00B24F49"/>
    <w:rsid w:val="00B25064"/>
    <w:rsid w:val="00B25163"/>
    <w:rsid w:val="00B255A7"/>
    <w:rsid w:val="00B25A70"/>
    <w:rsid w:val="00B25F9A"/>
    <w:rsid w:val="00B263DD"/>
    <w:rsid w:val="00B265B9"/>
    <w:rsid w:val="00B27080"/>
    <w:rsid w:val="00B272D3"/>
    <w:rsid w:val="00B27A25"/>
    <w:rsid w:val="00B27F0A"/>
    <w:rsid w:val="00B31F85"/>
    <w:rsid w:val="00B3245C"/>
    <w:rsid w:val="00B32D9A"/>
    <w:rsid w:val="00B33105"/>
    <w:rsid w:val="00B336EB"/>
    <w:rsid w:val="00B3396B"/>
    <w:rsid w:val="00B33C09"/>
    <w:rsid w:val="00B34CA0"/>
    <w:rsid w:val="00B35846"/>
    <w:rsid w:val="00B35E23"/>
    <w:rsid w:val="00B363A1"/>
    <w:rsid w:val="00B36447"/>
    <w:rsid w:val="00B364F3"/>
    <w:rsid w:val="00B36993"/>
    <w:rsid w:val="00B374F2"/>
    <w:rsid w:val="00B40294"/>
    <w:rsid w:val="00B40D73"/>
    <w:rsid w:val="00B411BF"/>
    <w:rsid w:val="00B415C1"/>
    <w:rsid w:val="00B426FE"/>
    <w:rsid w:val="00B4299D"/>
    <w:rsid w:val="00B430D3"/>
    <w:rsid w:val="00B43215"/>
    <w:rsid w:val="00B433B2"/>
    <w:rsid w:val="00B437B3"/>
    <w:rsid w:val="00B437BD"/>
    <w:rsid w:val="00B439FA"/>
    <w:rsid w:val="00B43A55"/>
    <w:rsid w:val="00B43F99"/>
    <w:rsid w:val="00B4485B"/>
    <w:rsid w:val="00B448C2"/>
    <w:rsid w:val="00B46FB7"/>
    <w:rsid w:val="00B477AA"/>
    <w:rsid w:val="00B4783F"/>
    <w:rsid w:val="00B47874"/>
    <w:rsid w:val="00B47CEF"/>
    <w:rsid w:val="00B50D90"/>
    <w:rsid w:val="00B52A20"/>
    <w:rsid w:val="00B52D01"/>
    <w:rsid w:val="00B54368"/>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8C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20B"/>
    <w:rsid w:val="00B906D0"/>
    <w:rsid w:val="00B9086A"/>
    <w:rsid w:val="00B915BE"/>
    <w:rsid w:val="00B91AD7"/>
    <w:rsid w:val="00B91DBA"/>
    <w:rsid w:val="00B92037"/>
    <w:rsid w:val="00B92189"/>
    <w:rsid w:val="00B92627"/>
    <w:rsid w:val="00B93093"/>
    <w:rsid w:val="00B93392"/>
    <w:rsid w:val="00B93412"/>
    <w:rsid w:val="00B93453"/>
    <w:rsid w:val="00B93664"/>
    <w:rsid w:val="00B93C36"/>
    <w:rsid w:val="00B93DEE"/>
    <w:rsid w:val="00B94054"/>
    <w:rsid w:val="00B9422E"/>
    <w:rsid w:val="00B94253"/>
    <w:rsid w:val="00B94AC1"/>
    <w:rsid w:val="00B950E8"/>
    <w:rsid w:val="00B954FC"/>
    <w:rsid w:val="00B959B1"/>
    <w:rsid w:val="00B961D5"/>
    <w:rsid w:val="00B96482"/>
    <w:rsid w:val="00B9699B"/>
    <w:rsid w:val="00B96CF0"/>
    <w:rsid w:val="00B972EA"/>
    <w:rsid w:val="00B977E6"/>
    <w:rsid w:val="00BA0841"/>
    <w:rsid w:val="00BA0A5B"/>
    <w:rsid w:val="00BA0FFB"/>
    <w:rsid w:val="00BA1903"/>
    <w:rsid w:val="00BA1E65"/>
    <w:rsid w:val="00BA1EFC"/>
    <w:rsid w:val="00BA2642"/>
    <w:rsid w:val="00BA2729"/>
    <w:rsid w:val="00BA283C"/>
    <w:rsid w:val="00BA2AEB"/>
    <w:rsid w:val="00BA2BCA"/>
    <w:rsid w:val="00BA3A4C"/>
    <w:rsid w:val="00BA3B3B"/>
    <w:rsid w:val="00BA40BE"/>
    <w:rsid w:val="00BA438E"/>
    <w:rsid w:val="00BA44AB"/>
    <w:rsid w:val="00BA48E0"/>
    <w:rsid w:val="00BA5EFB"/>
    <w:rsid w:val="00BA659A"/>
    <w:rsid w:val="00BA6874"/>
    <w:rsid w:val="00BA68C1"/>
    <w:rsid w:val="00BA6E74"/>
    <w:rsid w:val="00BA715B"/>
    <w:rsid w:val="00BA79BC"/>
    <w:rsid w:val="00BA7EB0"/>
    <w:rsid w:val="00BB022B"/>
    <w:rsid w:val="00BB0528"/>
    <w:rsid w:val="00BB07FA"/>
    <w:rsid w:val="00BB0D69"/>
    <w:rsid w:val="00BB1D67"/>
    <w:rsid w:val="00BB214E"/>
    <w:rsid w:val="00BB23BD"/>
    <w:rsid w:val="00BB301E"/>
    <w:rsid w:val="00BB3F4C"/>
    <w:rsid w:val="00BB5260"/>
    <w:rsid w:val="00BB5964"/>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A65"/>
    <w:rsid w:val="00BD689C"/>
    <w:rsid w:val="00BD68BE"/>
    <w:rsid w:val="00BD751C"/>
    <w:rsid w:val="00BD7F9E"/>
    <w:rsid w:val="00BE09DC"/>
    <w:rsid w:val="00BE0D74"/>
    <w:rsid w:val="00BE1378"/>
    <w:rsid w:val="00BE1A06"/>
    <w:rsid w:val="00BE20F7"/>
    <w:rsid w:val="00BE2BB7"/>
    <w:rsid w:val="00BE3FE8"/>
    <w:rsid w:val="00BE40F3"/>
    <w:rsid w:val="00BE65B3"/>
    <w:rsid w:val="00BE69FE"/>
    <w:rsid w:val="00BE742D"/>
    <w:rsid w:val="00BE779A"/>
    <w:rsid w:val="00BE7D51"/>
    <w:rsid w:val="00BF0487"/>
    <w:rsid w:val="00BF0ACA"/>
    <w:rsid w:val="00BF0FD5"/>
    <w:rsid w:val="00BF10D2"/>
    <w:rsid w:val="00BF116C"/>
    <w:rsid w:val="00BF120B"/>
    <w:rsid w:val="00BF19D1"/>
    <w:rsid w:val="00BF22EE"/>
    <w:rsid w:val="00BF2AF0"/>
    <w:rsid w:val="00BF31CB"/>
    <w:rsid w:val="00BF4881"/>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1D"/>
    <w:rsid w:val="00C05C20"/>
    <w:rsid w:val="00C05DB8"/>
    <w:rsid w:val="00C06066"/>
    <w:rsid w:val="00C067A4"/>
    <w:rsid w:val="00C076F5"/>
    <w:rsid w:val="00C078CC"/>
    <w:rsid w:val="00C07CAD"/>
    <w:rsid w:val="00C10F74"/>
    <w:rsid w:val="00C11183"/>
    <w:rsid w:val="00C113FE"/>
    <w:rsid w:val="00C118E4"/>
    <w:rsid w:val="00C11CA8"/>
    <w:rsid w:val="00C11FA5"/>
    <w:rsid w:val="00C11FE5"/>
    <w:rsid w:val="00C11FF6"/>
    <w:rsid w:val="00C122BF"/>
    <w:rsid w:val="00C124C4"/>
    <w:rsid w:val="00C12D59"/>
    <w:rsid w:val="00C138F6"/>
    <w:rsid w:val="00C13AD5"/>
    <w:rsid w:val="00C13C8A"/>
    <w:rsid w:val="00C14FE4"/>
    <w:rsid w:val="00C15135"/>
    <w:rsid w:val="00C17D89"/>
    <w:rsid w:val="00C20049"/>
    <w:rsid w:val="00C2068D"/>
    <w:rsid w:val="00C206C4"/>
    <w:rsid w:val="00C20CB5"/>
    <w:rsid w:val="00C20D6F"/>
    <w:rsid w:val="00C2188F"/>
    <w:rsid w:val="00C219B3"/>
    <w:rsid w:val="00C21D29"/>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E67"/>
    <w:rsid w:val="00C33FF0"/>
    <w:rsid w:val="00C34751"/>
    <w:rsid w:val="00C34C05"/>
    <w:rsid w:val="00C34E0B"/>
    <w:rsid w:val="00C3566B"/>
    <w:rsid w:val="00C35A2B"/>
    <w:rsid w:val="00C35B23"/>
    <w:rsid w:val="00C35BE3"/>
    <w:rsid w:val="00C36064"/>
    <w:rsid w:val="00C36BFA"/>
    <w:rsid w:val="00C36E02"/>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896"/>
    <w:rsid w:val="00C479D8"/>
    <w:rsid w:val="00C47AE8"/>
    <w:rsid w:val="00C50066"/>
    <w:rsid w:val="00C5017F"/>
    <w:rsid w:val="00C50DED"/>
    <w:rsid w:val="00C51B51"/>
    <w:rsid w:val="00C51F1A"/>
    <w:rsid w:val="00C522F8"/>
    <w:rsid w:val="00C5257E"/>
    <w:rsid w:val="00C52BD9"/>
    <w:rsid w:val="00C52FE0"/>
    <w:rsid w:val="00C5337B"/>
    <w:rsid w:val="00C542EF"/>
    <w:rsid w:val="00C544A8"/>
    <w:rsid w:val="00C544CA"/>
    <w:rsid w:val="00C54C1C"/>
    <w:rsid w:val="00C54C62"/>
    <w:rsid w:val="00C55231"/>
    <w:rsid w:val="00C563DF"/>
    <w:rsid w:val="00C57750"/>
    <w:rsid w:val="00C57CC6"/>
    <w:rsid w:val="00C604D8"/>
    <w:rsid w:val="00C60D3B"/>
    <w:rsid w:val="00C60EC1"/>
    <w:rsid w:val="00C61F3D"/>
    <w:rsid w:val="00C620E3"/>
    <w:rsid w:val="00C62997"/>
    <w:rsid w:val="00C62B6B"/>
    <w:rsid w:val="00C62DEF"/>
    <w:rsid w:val="00C62F42"/>
    <w:rsid w:val="00C633AB"/>
    <w:rsid w:val="00C64849"/>
    <w:rsid w:val="00C65F58"/>
    <w:rsid w:val="00C661CD"/>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38FE"/>
    <w:rsid w:val="00C741B5"/>
    <w:rsid w:val="00C75004"/>
    <w:rsid w:val="00C755E8"/>
    <w:rsid w:val="00C75970"/>
    <w:rsid w:val="00C75A42"/>
    <w:rsid w:val="00C75C9D"/>
    <w:rsid w:val="00C760A0"/>
    <w:rsid w:val="00C77113"/>
    <w:rsid w:val="00C80A6E"/>
    <w:rsid w:val="00C811D4"/>
    <w:rsid w:val="00C8128C"/>
    <w:rsid w:val="00C8198E"/>
    <w:rsid w:val="00C82C71"/>
    <w:rsid w:val="00C82E5F"/>
    <w:rsid w:val="00C83234"/>
    <w:rsid w:val="00C8338A"/>
    <w:rsid w:val="00C833D5"/>
    <w:rsid w:val="00C83FEB"/>
    <w:rsid w:val="00C84103"/>
    <w:rsid w:val="00C8567F"/>
    <w:rsid w:val="00C8572A"/>
    <w:rsid w:val="00C85784"/>
    <w:rsid w:val="00C85BCA"/>
    <w:rsid w:val="00C8650D"/>
    <w:rsid w:val="00C8781D"/>
    <w:rsid w:val="00C87C97"/>
    <w:rsid w:val="00C87CCD"/>
    <w:rsid w:val="00C905AC"/>
    <w:rsid w:val="00C90B13"/>
    <w:rsid w:val="00C90F7A"/>
    <w:rsid w:val="00C91B3B"/>
    <w:rsid w:val="00C91CFB"/>
    <w:rsid w:val="00C91FAC"/>
    <w:rsid w:val="00C922C5"/>
    <w:rsid w:val="00C92545"/>
    <w:rsid w:val="00C93297"/>
    <w:rsid w:val="00C93600"/>
    <w:rsid w:val="00C93DE2"/>
    <w:rsid w:val="00C93EF9"/>
    <w:rsid w:val="00C94BD7"/>
    <w:rsid w:val="00C95730"/>
    <w:rsid w:val="00C95962"/>
    <w:rsid w:val="00C96FBB"/>
    <w:rsid w:val="00C96FE0"/>
    <w:rsid w:val="00C97A6E"/>
    <w:rsid w:val="00C97AF1"/>
    <w:rsid w:val="00CA04E7"/>
    <w:rsid w:val="00CA077D"/>
    <w:rsid w:val="00CA09AA"/>
    <w:rsid w:val="00CA0BA6"/>
    <w:rsid w:val="00CA0CF9"/>
    <w:rsid w:val="00CA1A5C"/>
    <w:rsid w:val="00CA237B"/>
    <w:rsid w:val="00CA284C"/>
    <w:rsid w:val="00CA2919"/>
    <w:rsid w:val="00CA2C56"/>
    <w:rsid w:val="00CA3315"/>
    <w:rsid w:val="00CA3F84"/>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6D6"/>
    <w:rsid w:val="00CC3929"/>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5F24"/>
    <w:rsid w:val="00CF6AF3"/>
    <w:rsid w:val="00CF75C7"/>
    <w:rsid w:val="00D014A9"/>
    <w:rsid w:val="00D017EE"/>
    <w:rsid w:val="00D02369"/>
    <w:rsid w:val="00D02621"/>
    <w:rsid w:val="00D02AC8"/>
    <w:rsid w:val="00D02C36"/>
    <w:rsid w:val="00D03684"/>
    <w:rsid w:val="00D038A2"/>
    <w:rsid w:val="00D03CAB"/>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396"/>
    <w:rsid w:val="00D10FB7"/>
    <w:rsid w:val="00D11683"/>
    <w:rsid w:val="00D11873"/>
    <w:rsid w:val="00D12BDB"/>
    <w:rsid w:val="00D13880"/>
    <w:rsid w:val="00D14204"/>
    <w:rsid w:val="00D14F37"/>
    <w:rsid w:val="00D1624D"/>
    <w:rsid w:val="00D164BF"/>
    <w:rsid w:val="00D16A3F"/>
    <w:rsid w:val="00D17F6A"/>
    <w:rsid w:val="00D20083"/>
    <w:rsid w:val="00D20E2C"/>
    <w:rsid w:val="00D217CE"/>
    <w:rsid w:val="00D21FD2"/>
    <w:rsid w:val="00D22050"/>
    <w:rsid w:val="00D22D38"/>
    <w:rsid w:val="00D22EE4"/>
    <w:rsid w:val="00D22F97"/>
    <w:rsid w:val="00D231AF"/>
    <w:rsid w:val="00D23556"/>
    <w:rsid w:val="00D24DBB"/>
    <w:rsid w:val="00D255F7"/>
    <w:rsid w:val="00D25B79"/>
    <w:rsid w:val="00D26F41"/>
    <w:rsid w:val="00D27327"/>
    <w:rsid w:val="00D27695"/>
    <w:rsid w:val="00D30320"/>
    <w:rsid w:val="00D30756"/>
    <w:rsid w:val="00D314DF"/>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0BF"/>
    <w:rsid w:val="00D422E4"/>
    <w:rsid w:val="00D423C9"/>
    <w:rsid w:val="00D4277B"/>
    <w:rsid w:val="00D429B7"/>
    <w:rsid w:val="00D4357E"/>
    <w:rsid w:val="00D43FD8"/>
    <w:rsid w:val="00D44A5C"/>
    <w:rsid w:val="00D44B18"/>
    <w:rsid w:val="00D45E78"/>
    <w:rsid w:val="00D4611C"/>
    <w:rsid w:val="00D46E80"/>
    <w:rsid w:val="00D46F2D"/>
    <w:rsid w:val="00D475CC"/>
    <w:rsid w:val="00D50835"/>
    <w:rsid w:val="00D50DBE"/>
    <w:rsid w:val="00D50F95"/>
    <w:rsid w:val="00D50FEE"/>
    <w:rsid w:val="00D51017"/>
    <w:rsid w:val="00D51565"/>
    <w:rsid w:val="00D5194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501"/>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771EE"/>
    <w:rsid w:val="00D8036A"/>
    <w:rsid w:val="00D81307"/>
    <w:rsid w:val="00D81FF1"/>
    <w:rsid w:val="00D820F3"/>
    <w:rsid w:val="00D822CA"/>
    <w:rsid w:val="00D82826"/>
    <w:rsid w:val="00D8368C"/>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6F51"/>
    <w:rsid w:val="00DA019E"/>
    <w:rsid w:val="00DA0590"/>
    <w:rsid w:val="00DA0F8E"/>
    <w:rsid w:val="00DA0FC0"/>
    <w:rsid w:val="00DA1176"/>
    <w:rsid w:val="00DA12A3"/>
    <w:rsid w:val="00DA1985"/>
    <w:rsid w:val="00DA1B85"/>
    <w:rsid w:val="00DA1D80"/>
    <w:rsid w:val="00DA1E0F"/>
    <w:rsid w:val="00DA2046"/>
    <w:rsid w:val="00DA2597"/>
    <w:rsid w:val="00DA2BCC"/>
    <w:rsid w:val="00DA2E53"/>
    <w:rsid w:val="00DA3048"/>
    <w:rsid w:val="00DA30FB"/>
    <w:rsid w:val="00DA39C6"/>
    <w:rsid w:val="00DA3F00"/>
    <w:rsid w:val="00DA5C40"/>
    <w:rsid w:val="00DA631B"/>
    <w:rsid w:val="00DA6B8E"/>
    <w:rsid w:val="00DA6FE9"/>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B35"/>
    <w:rsid w:val="00DB4CA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1A9"/>
    <w:rsid w:val="00DD7F36"/>
    <w:rsid w:val="00DE0C03"/>
    <w:rsid w:val="00DE21CF"/>
    <w:rsid w:val="00DE273A"/>
    <w:rsid w:val="00DE3E7C"/>
    <w:rsid w:val="00DE4664"/>
    <w:rsid w:val="00DE5335"/>
    <w:rsid w:val="00DE562C"/>
    <w:rsid w:val="00DE67B4"/>
    <w:rsid w:val="00DE6DAE"/>
    <w:rsid w:val="00DE7524"/>
    <w:rsid w:val="00DF02EC"/>
    <w:rsid w:val="00DF098C"/>
    <w:rsid w:val="00DF1249"/>
    <w:rsid w:val="00DF24B9"/>
    <w:rsid w:val="00DF2DA0"/>
    <w:rsid w:val="00DF2EEE"/>
    <w:rsid w:val="00DF32AF"/>
    <w:rsid w:val="00DF3994"/>
    <w:rsid w:val="00DF3E4D"/>
    <w:rsid w:val="00DF42F3"/>
    <w:rsid w:val="00DF46CF"/>
    <w:rsid w:val="00DF4D70"/>
    <w:rsid w:val="00DF4DBC"/>
    <w:rsid w:val="00DF4F19"/>
    <w:rsid w:val="00DF5270"/>
    <w:rsid w:val="00DF5374"/>
    <w:rsid w:val="00DF5D97"/>
    <w:rsid w:val="00DF5DE1"/>
    <w:rsid w:val="00DF621B"/>
    <w:rsid w:val="00DF6B34"/>
    <w:rsid w:val="00DF6B69"/>
    <w:rsid w:val="00E00C18"/>
    <w:rsid w:val="00E012D8"/>
    <w:rsid w:val="00E0160D"/>
    <w:rsid w:val="00E0175D"/>
    <w:rsid w:val="00E01843"/>
    <w:rsid w:val="00E028E6"/>
    <w:rsid w:val="00E0293F"/>
    <w:rsid w:val="00E02DBD"/>
    <w:rsid w:val="00E03941"/>
    <w:rsid w:val="00E04094"/>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6FCC"/>
    <w:rsid w:val="00E175FF"/>
    <w:rsid w:val="00E176E8"/>
    <w:rsid w:val="00E17CFB"/>
    <w:rsid w:val="00E20661"/>
    <w:rsid w:val="00E209E6"/>
    <w:rsid w:val="00E20AD1"/>
    <w:rsid w:val="00E216A5"/>
    <w:rsid w:val="00E21F98"/>
    <w:rsid w:val="00E22222"/>
    <w:rsid w:val="00E222AC"/>
    <w:rsid w:val="00E224C9"/>
    <w:rsid w:val="00E229F7"/>
    <w:rsid w:val="00E22A2D"/>
    <w:rsid w:val="00E22EE3"/>
    <w:rsid w:val="00E23416"/>
    <w:rsid w:val="00E2391F"/>
    <w:rsid w:val="00E242E6"/>
    <w:rsid w:val="00E24E3D"/>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178E"/>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1CF"/>
    <w:rsid w:val="00E42782"/>
    <w:rsid w:val="00E42CC0"/>
    <w:rsid w:val="00E42FB4"/>
    <w:rsid w:val="00E4378A"/>
    <w:rsid w:val="00E441CF"/>
    <w:rsid w:val="00E4455B"/>
    <w:rsid w:val="00E446BF"/>
    <w:rsid w:val="00E44ECD"/>
    <w:rsid w:val="00E45136"/>
    <w:rsid w:val="00E452D0"/>
    <w:rsid w:val="00E45A9D"/>
    <w:rsid w:val="00E45B6C"/>
    <w:rsid w:val="00E45DC1"/>
    <w:rsid w:val="00E460A1"/>
    <w:rsid w:val="00E462E6"/>
    <w:rsid w:val="00E467AB"/>
    <w:rsid w:val="00E46CF9"/>
    <w:rsid w:val="00E47284"/>
    <w:rsid w:val="00E47BD9"/>
    <w:rsid w:val="00E47FBB"/>
    <w:rsid w:val="00E5141B"/>
    <w:rsid w:val="00E515A3"/>
    <w:rsid w:val="00E517D0"/>
    <w:rsid w:val="00E52471"/>
    <w:rsid w:val="00E52F76"/>
    <w:rsid w:val="00E53FAB"/>
    <w:rsid w:val="00E5413F"/>
    <w:rsid w:val="00E541D0"/>
    <w:rsid w:val="00E543CA"/>
    <w:rsid w:val="00E54EC5"/>
    <w:rsid w:val="00E54F4B"/>
    <w:rsid w:val="00E55335"/>
    <w:rsid w:val="00E55D2A"/>
    <w:rsid w:val="00E55D6D"/>
    <w:rsid w:val="00E57FA4"/>
    <w:rsid w:val="00E60ADA"/>
    <w:rsid w:val="00E61C29"/>
    <w:rsid w:val="00E624D8"/>
    <w:rsid w:val="00E62EED"/>
    <w:rsid w:val="00E63DB3"/>
    <w:rsid w:val="00E63F2E"/>
    <w:rsid w:val="00E645DC"/>
    <w:rsid w:val="00E649A5"/>
    <w:rsid w:val="00E6523D"/>
    <w:rsid w:val="00E65967"/>
    <w:rsid w:val="00E65EF0"/>
    <w:rsid w:val="00E660E9"/>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26B"/>
    <w:rsid w:val="00E758C0"/>
    <w:rsid w:val="00E760A9"/>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8D"/>
    <w:rsid w:val="00E873F1"/>
    <w:rsid w:val="00E87AE6"/>
    <w:rsid w:val="00E904A1"/>
    <w:rsid w:val="00E90FE7"/>
    <w:rsid w:val="00E91551"/>
    <w:rsid w:val="00E91BF2"/>
    <w:rsid w:val="00E91E5F"/>
    <w:rsid w:val="00E92BD8"/>
    <w:rsid w:val="00E92F0A"/>
    <w:rsid w:val="00E9342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757"/>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2CCA"/>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6EF"/>
    <w:rsid w:val="00ED19F8"/>
    <w:rsid w:val="00ED1FB7"/>
    <w:rsid w:val="00ED3068"/>
    <w:rsid w:val="00ED3534"/>
    <w:rsid w:val="00ED386A"/>
    <w:rsid w:val="00ED3B7D"/>
    <w:rsid w:val="00ED6435"/>
    <w:rsid w:val="00ED6CAC"/>
    <w:rsid w:val="00ED6DE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E6466"/>
    <w:rsid w:val="00EE739C"/>
    <w:rsid w:val="00EF0E50"/>
    <w:rsid w:val="00EF1DA8"/>
    <w:rsid w:val="00EF1FE3"/>
    <w:rsid w:val="00EF20FD"/>
    <w:rsid w:val="00EF220D"/>
    <w:rsid w:val="00EF2337"/>
    <w:rsid w:val="00EF2439"/>
    <w:rsid w:val="00EF2A75"/>
    <w:rsid w:val="00EF3A4A"/>
    <w:rsid w:val="00EF3B82"/>
    <w:rsid w:val="00EF3D43"/>
    <w:rsid w:val="00EF3E49"/>
    <w:rsid w:val="00EF493B"/>
    <w:rsid w:val="00EF4F32"/>
    <w:rsid w:val="00EF5A1C"/>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776"/>
    <w:rsid w:val="00F05BA0"/>
    <w:rsid w:val="00F05EED"/>
    <w:rsid w:val="00F062B0"/>
    <w:rsid w:val="00F06F02"/>
    <w:rsid w:val="00F077C0"/>
    <w:rsid w:val="00F0783A"/>
    <w:rsid w:val="00F07C4E"/>
    <w:rsid w:val="00F11C49"/>
    <w:rsid w:val="00F13F50"/>
    <w:rsid w:val="00F14351"/>
    <w:rsid w:val="00F154C5"/>
    <w:rsid w:val="00F15744"/>
    <w:rsid w:val="00F15A4F"/>
    <w:rsid w:val="00F15A79"/>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655"/>
    <w:rsid w:val="00F3383E"/>
    <w:rsid w:val="00F338BC"/>
    <w:rsid w:val="00F33C6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367"/>
    <w:rsid w:val="00F548C8"/>
    <w:rsid w:val="00F54986"/>
    <w:rsid w:val="00F5501E"/>
    <w:rsid w:val="00F5560D"/>
    <w:rsid w:val="00F55A3B"/>
    <w:rsid w:val="00F563B2"/>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568"/>
    <w:rsid w:val="00F63DE6"/>
    <w:rsid w:val="00F64966"/>
    <w:rsid w:val="00F65A43"/>
    <w:rsid w:val="00F661A3"/>
    <w:rsid w:val="00F66544"/>
    <w:rsid w:val="00F669E3"/>
    <w:rsid w:val="00F670C3"/>
    <w:rsid w:val="00F67219"/>
    <w:rsid w:val="00F675AE"/>
    <w:rsid w:val="00F70225"/>
    <w:rsid w:val="00F703C3"/>
    <w:rsid w:val="00F703EE"/>
    <w:rsid w:val="00F71985"/>
    <w:rsid w:val="00F71F79"/>
    <w:rsid w:val="00F721A1"/>
    <w:rsid w:val="00F724E3"/>
    <w:rsid w:val="00F72536"/>
    <w:rsid w:val="00F72654"/>
    <w:rsid w:val="00F726F2"/>
    <w:rsid w:val="00F72E2E"/>
    <w:rsid w:val="00F74491"/>
    <w:rsid w:val="00F74A7A"/>
    <w:rsid w:val="00F751AD"/>
    <w:rsid w:val="00F75AE8"/>
    <w:rsid w:val="00F75B83"/>
    <w:rsid w:val="00F7625A"/>
    <w:rsid w:val="00F76408"/>
    <w:rsid w:val="00F77029"/>
    <w:rsid w:val="00F77866"/>
    <w:rsid w:val="00F77CFA"/>
    <w:rsid w:val="00F80746"/>
    <w:rsid w:val="00F80D8F"/>
    <w:rsid w:val="00F80E30"/>
    <w:rsid w:val="00F81E4A"/>
    <w:rsid w:val="00F81F25"/>
    <w:rsid w:val="00F82A4B"/>
    <w:rsid w:val="00F837DD"/>
    <w:rsid w:val="00F83912"/>
    <w:rsid w:val="00F83C07"/>
    <w:rsid w:val="00F83CC5"/>
    <w:rsid w:val="00F843E3"/>
    <w:rsid w:val="00F84419"/>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D8F"/>
    <w:rsid w:val="00FA1E61"/>
    <w:rsid w:val="00FA2B5A"/>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40C"/>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0F7F"/>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0D2"/>
    <w:rsid w:val="00FD22B6"/>
    <w:rsid w:val="00FD2475"/>
    <w:rsid w:val="00FD2751"/>
    <w:rsid w:val="00FD282A"/>
    <w:rsid w:val="00FD2A71"/>
    <w:rsid w:val="00FD2D34"/>
    <w:rsid w:val="00FD357E"/>
    <w:rsid w:val="00FD3822"/>
    <w:rsid w:val="00FD3944"/>
    <w:rsid w:val="00FD45CD"/>
    <w:rsid w:val="00FD4CC0"/>
    <w:rsid w:val="00FD5AFC"/>
    <w:rsid w:val="00FD5F3F"/>
    <w:rsid w:val="00FD618D"/>
    <w:rsid w:val="00FD6878"/>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56D"/>
    <w:rsid w:val="00FF2A88"/>
    <w:rsid w:val="00FF30FE"/>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0F7"/>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4D60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60F7"/>
  </w:style>
  <w:style w:type="paragraph" w:styleId="TOC8">
    <w:name w:val="toc 8"/>
    <w:basedOn w:val="TOC1"/>
    <w:semiHidden/>
    <w:rsid w:val="005B4282"/>
    <w:pPr>
      <w:spacing w:before="180"/>
      <w:ind w:left="2693" w:hanging="2693"/>
    </w:pPr>
    <w:rPr>
      <w:b/>
    </w:rPr>
  </w:style>
  <w:style w:type="paragraph" w:styleId="TOC1">
    <w:name w:val="toc 1"/>
    <w:semiHidden/>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semiHidden/>
    <w:rsid w:val="005B4282"/>
    <w:pPr>
      <w:ind w:left="1134" w:hanging="1134"/>
    </w:pPr>
  </w:style>
  <w:style w:type="paragraph" w:styleId="TOC2">
    <w:name w:val="toc 2"/>
    <w:basedOn w:val="TOC1"/>
    <w:semiHidden/>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rsid w:val="005B4282"/>
    <w:rPr>
      <w:b/>
    </w:rPr>
  </w:style>
  <w:style w:type="paragraph" w:customStyle="1" w:styleId="TAC">
    <w:name w:val="TAC"/>
    <w:basedOn w:val="TAL"/>
    <w:link w:val="TACChar"/>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locked/>
    <w:rsid w:val="00404024"/>
    <w:rPr>
      <w:rFonts w:ascii="Arial" w:eastAsia="Times New Roman" w:hAnsi="Arial"/>
      <w:sz w:val="18"/>
      <w:lang w:val="en-GB" w:eastAsia="en-US"/>
    </w:rPr>
  </w:style>
  <w:style w:type="character" w:customStyle="1" w:styleId="TAHCar">
    <w:name w:val="TAH Car"/>
    <w:link w:val="TAH"/>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EastAsia"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907EC1"/>
    <w:pPr>
      <w:numPr>
        <w:numId w:val="7"/>
      </w:numPr>
      <w:ind w:left="0" w:firstLine="0"/>
    </w:pPr>
    <w:rPr>
      <w:b/>
    </w:rPr>
  </w:style>
  <w:style w:type="paragraph" w:styleId="TableofFigures">
    <w:name w:val="table of figures"/>
    <w:basedOn w:val="Normal"/>
    <w:next w:val="Normal"/>
    <w:uiPriority w:val="99"/>
    <w:unhideWhenUsed/>
    <w:rsid w:val="008B4685"/>
    <w:pPr>
      <w:tabs>
        <w:tab w:val="left" w:pos="1080"/>
        <w:tab w:val="left" w:pos="1411"/>
        <w:tab w:val="left" w:pos="1800"/>
      </w:tabs>
    </w:pPr>
    <w:rPr>
      <w:rFonts w:cs="Times New Roman"/>
      <w:b/>
      <w:bCs/>
      <w:szCs w:val="24"/>
    </w:rPr>
  </w:style>
  <w:style w:type="character" w:customStyle="1" w:styleId="ProposalChar">
    <w:name w:val="Proposal Char"/>
    <w:basedOn w:val="DefaultParagraphFont"/>
    <w:link w:val="Proposal"/>
    <w:rsid w:val="00907EC1"/>
    <w:rPr>
      <w:rFonts w:asciiTheme="minorHAnsi" w:eastAsiaTheme="minorEastAsia" w:hAnsiTheme="minorHAnsi" w:cstheme="minorBidi"/>
      <w:b/>
      <w:sz w:val="22"/>
      <w:szCs w:val="22"/>
    </w:rPr>
  </w:style>
  <w:style w:type="character" w:customStyle="1" w:styleId="CommentTextChar">
    <w:name w:val="Comment Text Char"/>
    <w:basedOn w:val="DefaultParagraphFont"/>
    <w:link w:val="CommentText"/>
    <w:semiHidden/>
    <w:rsid w:val="00A54007"/>
    <w:rPr>
      <w:rFonts w:ascii="Times New Roman" w:eastAsiaTheme="minorHAnsi" w:hAnsi="Times New Roman" w:cstheme="minorBidi"/>
      <w:szCs w:val="22"/>
      <w:lang w:eastAsia="en-US"/>
    </w:rPr>
  </w:style>
  <w:style w:type="character" w:styleId="Emphasis">
    <w:name w:val="Emphasis"/>
    <w:uiPriority w:val="20"/>
    <w:qFormat/>
    <w:rsid w:val="004706EF"/>
    <w:rPr>
      <w:i/>
      <w:iCs/>
    </w:rPr>
  </w:style>
  <w:style w:type="character" w:customStyle="1" w:styleId="apple-converted-space">
    <w:name w:val="apple-converted-space"/>
    <w:qFormat/>
    <w:rsid w:val="00303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44BF9-F174-4088-81EB-076450C08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2681</Words>
  <Characters>15283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2020-10-24T04:45:00Z</dcterms:created>
  <dcterms:modified xsi:type="dcterms:W3CDTF">2021-10-02T04:13:00Z</dcterms:modified>
</cp:coreProperties>
</file>