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384F4" w14:textId="29B66D72" w:rsidR="00075DB2" w:rsidRPr="00D47B37" w:rsidRDefault="00075DB2" w:rsidP="00075DB2">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E40F1B">
        <w:rPr>
          <w:rFonts w:ascii="Arial" w:hAnsi="Arial" w:cs="Arial" w:hint="eastAsia"/>
          <w:b/>
          <w:bCs/>
          <w:sz w:val="24"/>
          <w:szCs w:val="24"/>
          <w:lang w:val="en-GB"/>
        </w:rPr>
        <w:t>bis</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77DA3" w:rsidRPr="00377DA3">
        <w:rPr>
          <w:rFonts w:ascii="Arial" w:hAnsi="Arial" w:cs="Arial"/>
          <w:b/>
          <w:bCs/>
          <w:sz w:val="24"/>
          <w:szCs w:val="24"/>
          <w:lang w:val="en-GB"/>
        </w:rPr>
        <w:t>R1-2109128</w:t>
      </w:r>
      <w:bookmarkStart w:id="2" w:name="_GoBack"/>
      <w:bookmarkEnd w:id="2"/>
    </w:p>
    <w:p w14:paraId="7E403B69" w14:textId="77777777" w:rsidR="00075DB2" w:rsidRDefault="00075DB2" w:rsidP="00075DB2">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October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6EC570E2" w14:textId="77777777" w:rsidR="00FD0EB1" w:rsidRPr="00075DB2" w:rsidRDefault="00FD0EB1" w:rsidP="0095370B">
      <w:pPr>
        <w:pStyle w:val="aff3"/>
        <w:snapToGrid w:val="0"/>
        <w:ind w:left="2384" w:hangingChars="993" w:hanging="2384"/>
        <w:rPr>
          <w:rFonts w:ascii="Arial" w:hAnsi="Arial" w:cs="Arial"/>
          <w:b/>
          <w:bCs/>
          <w:sz w:val="24"/>
          <w:szCs w:val="24"/>
          <w:lang w:val="en-GB"/>
        </w:rPr>
      </w:pPr>
    </w:p>
    <w:p w14:paraId="47825095" w14:textId="00DE649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2FB0D58D"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075DB2">
        <w:rPr>
          <w:rFonts w:eastAsia="宋体"/>
          <w:color w:val="000000" w:themeColor="text1"/>
          <w:sz w:val="22"/>
          <w:szCs w:val="22"/>
          <w:lang w:eastAsia="zh-CN"/>
        </w:rPr>
        <w:t>6</w:t>
      </w:r>
      <w:r w:rsidR="003F70A9">
        <w:rPr>
          <w:rFonts w:eastAsia="宋体"/>
          <w:color w:val="000000" w:themeColor="text1"/>
          <w:sz w:val="22"/>
          <w:szCs w:val="22"/>
          <w:lang w:eastAsia="zh-CN"/>
        </w:rPr>
        <w:t>-</w:t>
      </w:r>
      <w:r>
        <w:rPr>
          <w:rFonts w:eastAsia="宋体"/>
          <w:color w:val="000000" w:themeColor="text1"/>
          <w:sz w:val="22"/>
          <w:szCs w:val="22"/>
          <w:lang w:eastAsia="zh-CN"/>
        </w:rPr>
        <w:t xml:space="preserve">e meeting [1], </w:t>
      </w:r>
      <w:r w:rsidR="00C77F78">
        <w:rPr>
          <w:rFonts w:eastAsia="宋体"/>
          <w:color w:val="000000" w:themeColor="text1"/>
          <w:sz w:val="22"/>
          <w:szCs w:val="22"/>
          <w:lang w:eastAsia="zh-CN"/>
        </w:rPr>
        <w:t xml:space="preserve">following </w:t>
      </w:r>
      <w:r>
        <w:rPr>
          <w:rFonts w:eastAsia="宋体"/>
          <w:color w:val="000000" w:themeColor="text1"/>
          <w:sz w:val="22"/>
          <w:szCs w:val="22"/>
          <w:lang w:eastAsia="zh-CN"/>
        </w:rPr>
        <w:t>agreement</w:t>
      </w:r>
      <w:r w:rsidR="008738F0">
        <w:rPr>
          <w:rFonts w:eastAsia="宋体"/>
          <w:color w:val="000000" w:themeColor="text1"/>
          <w:sz w:val="22"/>
          <w:szCs w:val="22"/>
          <w:lang w:eastAsia="zh-CN"/>
        </w:rPr>
        <w:t>s</w:t>
      </w:r>
      <w:r>
        <w:rPr>
          <w:rFonts w:eastAsia="宋体"/>
          <w:color w:val="000000" w:themeColor="text1"/>
          <w:sz w:val="22"/>
          <w:szCs w:val="22"/>
          <w:lang w:eastAsia="zh-CN"/>
        </w:rPr>
        <w:t xml:space="preserve">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8738F0">
        <w:rPr>
          <w:rFonts w:eastAsia="宋体"/>
          <w:color w:val="000000" w:themeColor="text1"/>
          <w:sz w:val="22"/>
          <w:szCs w:val="22"/>
          <w:lang w:eastAsia="zh-CN"/>
        </w:rPr>
        <w:t>ere</w:t>
      </w:r>
      <w:r>
        <w:rPr>
          <w:rFonts w:eastAsia="宋体"/>
          <w:color w:val="000000" w:themeColor="text1"/>
          <w:sz w:val="22"/>
          <w:szCs w:val="22"/>
          <w:lang w:eastAsia="zh-CN"/>
        </w:rPr>
        <w:t xml:space="preserve"> achieved:</w:t>
      </w:r>
    </w:p>
    <w:p w14:paraId="4B196E98" w14:textId="77777777" w:rsidR="008738F0" w:rsidRPr="00523C8C" w:rsidRDefault="008738F0" w:rsidP="008738F0">
      <w:pPr>
        <w:shd w:val="clear" w:color="auto" w:fill="FFFFFF"/>
        <w:snapToGrid w:val="0"/>
        <w:spacing w:after="0"/>
        <w:jc w:val="both"/>
        <w:rPr>
          <w:rFonts w:eastAsia="宋体" w:cs="Times"/>
          <w:b/>
          <w:iCs/>
          <w:highlight w:val="green"/>
        </w:rPr>
      </w:pPr>
      <w:bookmarkStart w:id="7" w:name="OLE_LINK9"/>
      <w:bookmarkStart w:id="8" w:name="OLE_LINK10"/>
      <w:r w:rsidRPr="00523C8C">
        <w:rPr>
          <w:rFonts w:eastAsia="宋体" w:cs="Times"/>
          <w:b/>
          <w:iCs/>
          <w:highlight w:val="green"/>
        </w:rPr>
        <w:t>Agreement</w:t>
      </w:r>
    </w:p>
    <w:p w14:paraId="29B49FE7" w14:textId="77777777" w:rsidR="008738F0" w:rsidRPr="00523C8C" w:rsidRDefault="008738F0" w:rsidP="008738F0">
      <w:pPr>
        <w:shd w:val="clear" w:color="auto" w:fill="FFFFFF"/>
        <w:snapToGrid w:val="0"/>
        <w:spacing w:after="0"/>
        <w:jc w:val="both"/>
        <w:rPr>
          <w:rFonts w:eastAsia="宋体" w:cs="Times"/>
        </w:rPr>
      </w:pPr>
      <w:r w:rsidRPr="00523C8C">
        <w:rPr>
          <w:rFonts w:eastAsia="宋体" w:cs="Times"/>
        </w:rPr>
        <w:t xml:space="preserve">For the UE configured to report X CSIs associated with single-TRP measurement hypotheses and one CSI associated with NCJT measurement hypothesis (i.e. Option 1), the </w:t>
      </w:r>
      <w:proofErr w:type="spellStart"/>
      <w:r w:rsidRPr="00523C8C">
        <w:rPr>
          <w:rFonts w:eastAsia="宋体" w:cs="Times"/>
        </w:rPr>
        <w:t>bitwidth</w:t>
      </w:r>
      <w:proofErr w:type="spellEnd"/>
      <w:r w:rsidRPr="00523C8C">
        <w:rPr>
          <w:rFonts w:eastAsia="宋体" w:cs="Times"/>
        </w:rPr>
        <w:t xml:space="preserve"> associated to X+1 CRI(s) are given as following:</w:t>
      </w:r>
    </w:p>
    <w:p w14:paraId="11671CDD" w14:textId="77777777" w:rsidR="008738F0" w:rsidRPr="00523C8C" w:rsidRDefault="008738F0" w:rsidP="008738F0">
      <w:pPr>
        <w:pStyle w:val="a7"/>
        <w:widowControl w:val="0"/>
        <w:numPr>
          <w:ilvl w:val="0"/>
          <w:numId w:val="13"/>
        </w:numPr>
        <w:shd w:val="clear" w:color="auto" w:fill="FFFFFF"/>
        <w:snapToGrid w:val="0"/>
        <w:spacing w:after="0"/>
        <w:contextualSpacing w:val="0"/>
        <w:jc w:val="both"/>
        <w:rPr>
          <w:rFonts w:eastAsia="宋体" w:cs="Times"/>
        </w:rPr>
      </w:pPr>
      <w:r w:rsidRPr="00523C8C">
        <w:rPr>
          <w:rFonts w:eastAsia="宋体" w:cs="Times"/>
        </w:rPr>
        <w:t>Ceil(log</w:t>
      </w:r>
      <w:r w:rsidRPr="00523C8C">
        <w:rPr>
          <w:rFonts w:eastAsia="宋体" w:cs="Times"/>
          <w:vertAlign w:val="subscript"/>
        </w:rPr>
        <w:t>2</w:t>
      </w:r>
      <w:r w:rsidRPr="00523C8C">
        <w:rPr>
          <w:rFonts w:eastAsia="宋体" w:cs="Times"/>
        </w:rPr>
        <w:t>(N)) for X=0</w:t>
      </w:r>
    </w:p>
    <w:p w14:paraId="3BCB09C0" w14:textId="77777777" w:rsidR="008738F0" w:rsidRPr="00523C8C" w:rsidRDefault="008738F0" w:rsidP="008738F0">
      <w:pPr>
        <w:pStyle w:val="a7"/>
        <w:widowControl w:val="0"/>
        <w:numPr>
          <w:ilvl w:val="0"/>
          <w:numId w:val="13"/>
        </w:numPr>
        <w:shd w:val="clear" w:color="auto" w:fill="FFFFFF"/>
        <w:snapToGrid w:val="0"/>
        <w:spacing w:after="0"/>
        <w:contextualSpacing w:val="0"/>
        <w:jc w:val="both"/>
        <w:rPr>
          <w:rFonts w:eastAsia="宋体" w:cs="Times"/>
        </w:rPr>
      </w:pPr>
      <w:r w:rsidRPr="00523C8C">
        <w:rPr>
          <w:rFonts w:eastAsia="宋体" w:cs="Times"/>
        </w:rPr>
        <w:t>Ceil(log</w:t>
      </w:r>
      <w:r w:rsidRPr="00523C8C">
        <w:rPr>
          <w:rFonts w:eastAsia="宋体" w:cs="Times"/>
          <w:vertAlign w:val="subscript"/>
        </w:rPr>
        <w:t>2</w:t>
      </w:r>
      <w:r w:rsidRPr="00523C8C">
        <w:rPr>
          <w:rFonts w:eastAsia="宋体" w:cs="Times"/>
        </w:rPr>
        <w:t>(N)) in CSI associated with NCJT measurement hypothesis and Ceil(log</w:t>
      </w:r>
      <w:r w:rsidRPr="00523C8C">
        <w:rPr>
          <w:rFonts w:eastAsia="宋体" w:cs="Times"/>
          <w:vertAlign w:val="subscript"/>
        </w:rPr>
        <w:t>2</w:t>
      </w:r>
      <w:r w:rsidRPr="00523C8C">
        <w:rPr>
          <w:rFonts w:eastAsia="宋体" w:cs="Times"/>
        </w:rPr>
        <w:t>(M</w:t>
      </w:r>
      <w:r w:rsidRPr="00523C8C">
        <w:rPr>
          <w:rFonts w:eastAsia="宋体" w:cs="Times"/>
          <w:vertAlign w:val="subscript"/>
        </w:rPr>
        <w:t>1</w:t>
      </w:r>
      <w:r w:rsidRPr="00523C8C">
        <w:rPr>
          <w:rFonts w:eastAsia="宋体" w:cs="Times"/>
        </w:rPr>
        <w:t>+M</w:t>
      </w:r>
      <w:r w:rsidRPr="00523C8C">
        <w:rPr>
          <w:rFonts w:eastAsia="宋体" w:cs="Times"/>
          <w:vertAlign w:val="subscript"/>
        </w:rPr>
        <w:t>2</w:t>
      </w:r>
      <w:r w:rsidRPr="00523C8C">
        <w:rPr>
          <w:rFonts w:eastAsia="宋体" w:cs="Times"/>
        </w:rPr>
        <w:t>)) in CSI associated with Single-TRP measurement hypothesis for X=1</w:t>
      </w:r>
    </w:p>
    <w:p w14:paraId="7741DED1" w14:textId="77777777" w:rsidR="008738F0" w:rsidRPr="00523C8C" w:rsidRDefault="008738F0" w:rsidP="008738F0">
      <w:pPr>
        <w:pStyle w:val="a7"/>
        <w:widowControl w:val="0"/>
        <w:numPr>
          <w:ilvl w:val="0"/>
          <w:numId w:val="13"/>
        </w:numPr>
        <w:shd w:val="clear" w:color="auto" w:fill="FFFFFF"/>
        <w:snapToGrid w:val="0"/>
        <w:spacing w:after="0"/>
        <w:contextualSpacing w:val="0"/>
        <w:jc w:val="both"/>
        <w:rPr>
          <w:rFonts w:eastAsia="宋体" w:cs="Times"/>
        </w:rPr>
      </w:pPr>
      <w:r w:rsidRPr="00523C8C">
        <w:rPr>
          <w:rFonts w:eastAsia="宋体" w:cs="Times"/>
        </w:rPr>
        <w:t>Ceil(log</w:t>
      </w:r>
      <w:r w:rsidRPr="00523C8C">
        <w:rPr>
          <w:rFonts w:eastAsia="宋体" w:cs="Times"/>
          <w:vertAlign w:val="subscript"/>
        </w:rPr>
        <w:t>2</w:t>
      </w:r>
      <w:r w:rsidRPr="00523C8C">
        <w:rPr>
          <w:rFonts w:eastAsia="宋体" w:cs="Times"/>
        </w:rPr>
        <w:t>(N))  in CSI associated with NCJT measurement hypothesis and Ceil(log</w:t>
      </w:r>
      <w:r w:rsidRPr="00523C8C">
        <w:rPr>
          <w:rFonts w:eastAsia="宋体" w:cs="Times"/>
          <w:vertAlign w:val="subscript"/>
        </w:rPr>
        <w:t>2</w:t>
      </w:r>
      <w:r w:rsidRPr="00523C8C">
        <w:rPr>
          <w:rFonts w:eastAsia="宋体" w:cs="Times"/>
        </w:rPr>
        <w:t>(M</w:t>
      </w:r>
      <w:r w:rsidRPr="00523C8C">
        <w:rPr>
          <w:rFonts w:eastAsia="宋体" w:cs="Times"/>
          <w:vertAlign w:val="subscript"/>
        </w:rPr>
        <w:t>1</w:t>
      </w:r>
      <w:r w:rsidRPr="00523C8C">
        <w:rPr>
          <w:rFonts w:eastAsia="宋体" w:cs="Times"/>
        </w:rPr>
        <w:t>))  and  Ceil(log</w:t>
      </w:r>
      <w:r w:rsidRPr="00523C8C">
        <w:rPr>
          <w:rFonts w:eastAsia="宋体" w:cs="Times"/>
          <w:vertAlign w:val="subscript"/>
        </w:rPr>
        <w:t>2</w:t>
      </w:r>
      <w:r w:rsidRPr="00523C8C">
        <w:rPr>
          <w:rFonts w:eastAsia="宋体" w:cs="Times"/>
        </w:rPr>
        <w:t>(M</w:t>
      </w:r>
      <w:r w:rsidRPr="00523C8C">
        <w:rPr>
          <w:rFonts w:eastAsia="宋体" w:cs="Times"/>
          <w:vertAlign w:val="subscript"/>
        </w:rPr>
        <w:t>2</w:t>
      </w:r>
      <w:r w:rsidRPr="00523C8C">
        <w:rPr>
          <w:rFonts w:eastAsia="宋体" w:cs="Times"/>
        </w:rPr>
        <w:t>)) in CSI associated with Single-TRP measurement hypothesis for X=2</w:t>
      </w:r>
    </w:p>
    <w:p w14:paraId="350DF07D" w14:textId="77777777" w:rsidR="008738F0" w:rsidRPr="00523C8C" w:rsidRDefault="008738F0" w:rsidP="008738F0">
      <w:pPr>
        <w:pStyle w:val="a7"/>
        <w:widowControl w:val="0"/>
        <w:numPr>
          <w:ilvl w:val="0"/>
          <w:numId w:val="13"/>
        </w:numPr>
        <w:shd w:val="clear" w:color="auto" w:fill="FFFFFF"/>
        <w:snapToGrid w:val="0"/>
        <w:spacing w:after="0"/>
        <w:contextualSpacing w:val="0"/>
        <w:jc w:val="both"/>
        <w:rPr>
          <w:rFonts w:eastAsia="宋体" w:cs="Times"/>
        </w:rPr>
      </w:pPr>
      <w:r w:rsidRPr="00523C8C">
        <w:rPr>
          <w:rFonts w:eastAsia="宋体" w:cs="Times"/>
        </w:rPr>
        <w:t>Note that M</w:t>
      </w:r>
      <w:r w:rsidRPr="00523C8C">
        <w:rPr>
          <w:rFonts w:eastAsia="宋体" w:cs="Times"/>
          <w:vertAlign w:val="subscript"/>
        </w:rPr>
        <w:t>1</w:t>
      </w:r>
      <w:r w:rsidRPr="00523C8C">
        <w:rPr>
          <w:rFonts w:eastAsia="宋体" w:cs="Times"/>
        </w:rPr>
        <w:t xml:space="preserve"> (M</w:t>
      </w:r>
      <w:r w:rsidRPr="00523C8C">
        <w:rPr>
          <w:rFonts w:eastAsia="宋体" w:cs="Times"/>
          <w:vertAlign w:val="subscript"/>
        </w:rPr>
        <w:t>1</w:t>
      </w:r>
      <w:r w:rsidRPr="00523C8C">
        <w:rPr>
          <w:rFonts w:eastAsia="宋体" w:cs="Times"/>
        </w:rPr>
        <w:t>&lt;=K</w:t>
      </w:r>
      <w:r w:rsidRPr="00523C8C">
        <w:rPr>
          <w:rFonts w:eastAsia="宋体" w:cs="Times"/>
          <w:vertAlign w:val="subscript"/>
        </w:rPr>
        <w:t>1</w:t>
      </w:r>
      <w:r w:rsidRPr="00523C8C">
        <w:rPr>
          <w:rFonts w:eastAsia="宋体" w:cs="Times"/>
        </w:rPr>
        <w:t>) and M</w:t>
      </w:r>
      <w:r w:rsidRPr="00523C8C">
        <w:rPr>
          <w:rFonts w:eastAsia="宋体" w:cs="Times"/>
          <w:vertAlign w:val="subscript"/>
        </w:rPr>
        <w:t>2</w:t>
      </w:r>
      <w:r w:rsidRPr="00523C8C">
        <w:rPr>
          <w:rFonts w:eastAsia="宋体" w:cs="Times"/>
        </w:rPr>
        <w:t xml:space="preserve"> (M</w:t>
      </w:r>
      <w:r w:rsidRPr="00523C8C">
        <w:rPr>
          <w:rFonts w:eastAsia="宋体" w:cs="Times"/>
          <w:vertAlign w:val="subscript"/>
        </w:rPr>
        <w:t>2</w:t>
      </w:r>
      <w:r w:rsidRPr="00523C8C">
        <w:rPr>
          <w:rFonts w:eastAsia="宋体" w:cs="Times"/>
        </w:rPr>
        <w:t>&lt;=K</w:t>
      </w:r>
      <w:r w:rsidRPr="00523C8C">
        <w:rPr>
          <w:rFonts w:eastAsia="宋体" w:cs="Times"/>
          <w:vertAlign w:val="subscript"/>
        </w:rPr>
        <w:t>2</w:t>
      </w:r>
      <w:r w:rsidRPr="00523C8C">
        <w:rPr>
          <w:rFonts w:eastAsia="宋体" w:cs="Times"/>
        </w:rPr>
        <w:t>) is the number of CMRs configured for Single-TRP measurement hypothesis in the first and second CMR groups respectively in a CMR measurement set.</w:t>
      </w:r>
    </w:p>
    <w:p w14:paraId="72CFA8EC" w14:textId="77777777" w:rsidR="008738F0" w:rsidRPr="00523C8C" w:rsidRDefault="008738F0" w:rsidP="008738F0">
      <w:pPr>
        <w:snapToGrid w:val="0"/>
        <w:spacing w:after="0"/>
        <w:rPr>
          <w:rFonts w:cs="Times"/>
          <w:lang w:eastAsia="x-none"/>
        </w:rPr>
      </w:pPr>
    </w:p>
    <w:p w14:paraId="5DF6A112" w14:textId="77777777" w:rsidR="00C77F78" w:rsidRPr="001D35F5" w:rsidRDefault="00C77F78" w:rsidP="00C77F78">
      <w:pPr>
        <w:pStyle w:val="aff6"/>
        <w:snapToGrid w:val="0"/>
        <w:spacing w:before="0" w:beforeAutospacing="0" w:after="0" w:afterAutospacing="0"/>
        <w:jc w:val="both"/>
        <w:rPr>
          <w:rStyle w:val="ab"/>
          <w:rFonts w:ascii="Times" w:hAnsi="Times" w:cs="Times"/>
          <w:sz w:val="20"/>
          <w:szCs w:val="20"/>
          <w:highlight w:val="green"/>
        </w:rPr>
      </w:pPr>
      <w:r w:rsidRPr="001D35F5">
        <w:rPr>
          <w:rStyle w:val="ab"/>
          <w:rFonts w:ascii="Times" w:hAnsi="Times" w:cs="Times"/>
          <w:sz w:val="20"/>
          <w:szCs w:val="20"/>
          <w:highlight w:val="green"/>
        </w:rPr>
        <w:t>Agreement</w:t>
      </w:r>
    </w:p>
    <w:p w14:paraId="598E20AE" w14:textId="77777777" w:rsidR="00C77F78" w:rsidRPr="001D35F5" w:rsidRDefault="00C77F78" w:rsidP="00C77F78">
      <w:pPr>
        <w:pStyle w:val="aff6"/>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sz w:val="20"/>
          <w:szCs w:val="20"/>
        </w:rPr>
        <w:t xml:space="preserve"> </w:t>
      </w:r>
    </w:p>
    <w:p w14:paraId="3C8897B1" w14:textId="77777777" w:rsidR="00C77F78" w:rsidRPr="001D35F5" w:rsidRDefault="00C77F78" w:rsidP="00C77F78">
      <w:pPr>
        <w:pStyle w:val="aff6"/>
        <w:numPr>
          <w:ilvl w:val="0"/>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Alt 1: One RI restriction is configured per </w:t>
      </w:r>
      <w:proofErr w:type="spellStart"/>
      <w:r w:rsidRPr="001D35F5">
        <w:rPr>
          <w:rStyle w:val="ab"/>
          <w:rFonts w:ascii="Times" w:hAnsi="Times" w:cs="Times"/>
          <w:b w:val="0"/>
          <w:bCs w:val="0"/>
          <w:sz w:val="20"/>
          <w:szCs w:val="20"/>
        </w:rPr>
        <w:t>CodebookConfig</w:t>
      </w:r>
      <w:proofErr w:type="spellEnd"/>
      <w:r w:rsidRPr="001D35F5">
        <w:rPr>
          <w:rStyle w:val="ab"/>
          <w:rFonts w:ascii="Times" w:hAnsi="Times" w:cs="Times"/>
          <w:b w:val="0"/>
          <w:bCs w:val="0"/>
          <w:sz w:val="20"/>
          <w:szCs w:val="20"/>
        </w:rPr>
        <w:t xml:space="preserve">, whereas the RI restriction is applied to both Single-TRP and NCJT measurement hypotheses. </w:t>
      </w:r>
    </w:p>
    <w:p w14:paraId="5F302B07" w14:textId="77777777" w:rsidR="00C77F78" w:rsidRPr="001D35F5" w:rsidRDefault="00C77F78" w:rsidP="00C77F78">
      <w:pPr>
        <w:pStyle w:val="aff6"/>
        <w:numPr>
          <w:ilvl w:val="1"/>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sz w:val="20"/>
          <w:szCs w:val="20"/>
        </w:rPr>
        <w:t xml:space="preserve"> </w:t>
      </w:r>
    </w:p>
    <w:p w14:paraId="55EFA18E" w14:textId="77777777" w:rsidR="00C77F78" w:rsidRPr="001D35F5" w:rsidRDefault="00C77F78" w:rsidP="00C77F78">
      <w:pPr>
        <w:pStyle w:val="aff6"/>
        <w:numPr>
          <w:ilvl w:val="0"/>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Alt 2: Two RI restrictions can be configured per </w:t>
      </w:r>
      <w:proofErr w:type="spellStart"/>
      <w:r w:rsidRPr="001D35F5">
        <w:rPr>
          <w:rStyle w:val="ab"/>
          <w:rFonts w:ascii="Times" w:hAnsi="Times" w:cs="Times"/>
          <w:b w:val="0"/>
          <w:bCs w:val="0"/>
          <w:sz w:val="20"/>
          <w:szCs w:val="20"/>
        </w:rPr>
        <w:t>CodebookConfig</w:t>
      </w:r>
      <w:proofErr w:type="spellEnd"/>
      <w:r w:rsidRPr="001D35F5">
        <w:rPr>
          <w:rStyle w:val="ab"/>
          <w:rFonts w:ascii="Times" w:hAnsi="Times" w:cs="Times"/>
          <w:b w:val="0"/>
          <w:bCs w:val="0"/>
          <w:sz w:val="20"/>
          <w:szCs w:val="20"/>
        </w:rPr>
        <w:t>, whereas one RI restriction is applied to one CMR group in a CMR resource set respectively, i.e. per TRP.</w:t>
      </w:r>
      <w:r w:rsidRPr="001D35F5">
        <w:rPr>
          <w:rFonts w:ascii="Times" w:hAnsi="Times" w:cs="Times"/>
          <w:b/>
          <w:bCs/>
          <w:sz w:val="20"/>
          <w:szCs w:val="20"/>
        </w:rPr>
        <w:t xml:space="preserve"> </w:t>
      </w:r>
    </w:p>
    <w:p w14:paraId="6515A1A5" w14:textId="77777777" w:rsidR="00C77F78" w:rsidRPr="001D35F5" w:rsidRDefault="00C77F78" w:rsidP="00C77F78">
      <w:pPr>
        <w:pStyle w:val="aff6"/>
        <w:numPr>
          <w:ilvl w:val="1"/>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If rank restriction of (X, Y) is configured, reported rank is X for the CMR in the first CMR group and Y for the CMR in the second CMR group, regardless single-TRP and NCJT measurement hypotheses. </w:t>
      </w:r>
    </w:p>
    <w:p w14:paraId="09E727B6" w14:textId="77777777" w:rsidR="00C77F78" w:rsidRPr="001D35F5" w:rsidRDefault="00C77F78" w:rsidP="00C77F78">
      <w:pPr>
        <w:pStyle w:val="aff6"/>
        <w:numPr>
          <w:ilvl w:val="0"/>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Alt 3: Multiple RI restrictions can be configured per </w:t>
      </w:r>
      <w:proofErr w:type="spellStart"/>
      <w:r w:rsidRPr="001D35F5">
        <w:rPr>
          <w:rStyle w:val="ab"/>
          <w:rFonts w:ascii="Times" w:hAnsi="Times" w:cs="Times"/>
          <w:b w:val="0"/>
          <w:bCs w:val="0"/>
          <w:sz w:val="20"/>
          <w:szCs w:val="20"/>
        </w:rPr>
        <w:t>CodebookConfig</w:t>
      </w:r>
      <w:proofErr w:type="spellEnd"/>
      <w:r w:rsidRPr="001D35F5">
        <w:rPr>
          <w:rStyle w:val="ab"/>
          <w:rFonts w:ascii="Times" w:hAnsi="Times" w:cs="Times"/>
          <w:b w:val="0"/>
          <w:bCs w:val="0"/>
          <w:sz w:val="20"/>
          <w:szCs w:val="20"/>
        </w:rPr>
        <w:t>, whereas RI restriction is applied to per each CMR in CMR pair for NCJT and per each CMR for Single-TRP.</w:t>
      </w:r>
      <w:r w:rsidRPr="001D35F5">
        <w:rPr>
          <w:rFonts w:ascii="Times" w:hAnsi="Times" w:cs="Times"/>
          <w:b/>
          <w:bCs/>
          <w:sz w:val="20"/>
          <w:szCs w:val="20"/>
        </w:rPr>
        <w:t xml:space="preserve">  </w:t>
      </w:r>
    </w:p>
    <w:p w14:paraId="03EB32C2" w14:textId="77777777" w:rsidR="00C77F78" w:rsidRPr="001D35F5" w:rsidRDefault="00C77F78" w:rsidP="00C77F78">
      <w:pPr>
        <w:pStyle w:val="aff6"/>
        <w:numPr>
          <w:ilvl w:val="0"/>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Alt 4: Two RI restrictions can be configured per </w:t>
      </w:r>
      <w:proofErr w:type="spellStart"/>
      <w:r w:rsidRPr="001D35F5">
        <w:rPr>
          <w:rStyle w:val="ab"/>
          <w:rFonts w:ascii="Times" w:hAnsi="Times" w:cs="Times"/>
          <w:b w:val="0"/>
          <w:bCs w:val="0"/>
          <w:sz w:val="20"/>
          <w:szCs w:val="20"/>
        </w:rPr>
        <w:t>CodebookConfig</w:t>
      </w:r>
      <w:proofErr w:type="spellEnd"/>
      <w:r w:rsidRPr="001D35F5">
        <w:rPr>
          <w:rStyle w:val="ab"/>
          <w:rFonts w:ascii="Times" w:hAnsi="Times" w:cs="Times"/>
          <w:b w:val="0"/>
          <w:bCs w:val="0"/>
          <w:sz w:val="20"/>
          <w:szCs w:val="20"/>
        </w:rPr>
        <w:t>, whereas one RI restriction is applied to all Single-TRP measurement hypotheses, and another one is applied to all NCJT measurement hypotheses.</w:t>
      </w:r>
      <w:r w:rsidRPr="001D35F5">
        <w:rPr>
          <w:rFonts w:ascii="Times" w:hAnsi="Times" w:cs="Times"/>
          <w:b/>
          <w:bCs/>
          <w:sz w:val="20"/>
          <w:szCs w:val="20"/>
        </w:rPr>
        <w:t xml:space="preserve"> </w:t>
      </w:r>
    </w:p>
    <w:p w14:paraId="7106F472" w14:textId="77777777" w:rsidR="00C77F78" w:rsidRPr="001D35F5" w:rsidRDefault="00C77F78" w:rsidP="00C77F78">
      <w:pPr>
        <w:pStyle w:val="aff6"/>
        <w:numPr>
          <w:ilvl w:val="1"/>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If rank restriction of (X, Y) is configured, reported rank is X for all single-TRP measurement hypotheses and reported rank (1 out of 4 possible rank combinations) is Y for all NCJT measurement hypotheses. </w:t>
      </w:r>
    </w:p>
    <w:p w14:paraId="32DCAD8E" w14:textId="77777777" w:rsidR="00C77F78" w:rsidRPr="001D35F5" w:rsidRDefault="00C77F78" w:rsidP="00C77F78">
      <w:pPr>
        <w:pStyle w:val="aff6"/>
        <w:numPr>
          <w:ilvl w:val="0"/>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 xml:space="preserve">Alt 5: Three RI restrictions can be configured per </w:t>
      </w:r>
      <w:proofErr w:type="spellStart"/>
      <w:r w:rsidRPr="001D35F5">
        <w:rPr>
          <w:rStyle w:val="ab"/>
          <w:rFonts w:ascii="Times" w:hAnsi="Times" w:cs="Times"/>
          <w:b w:val="0"/>
          <w:bCs w:val="0"/>
          <w:sz w:val="20"/>
          <w:szCs w:val="20"/>
        </w:rPr>
        <w:t>CodebookConfig</w:t>
      </w:r>
      <w:proofErr w:type="spellEnd"/>
      <w:r w:rsidRPr="001D35F5">
        <w:rPr>
          <w:rStyle w:val="ab"/>
          <w:rFonts w:ascii="Times" w:hAnsi="Times" w:cs="Times"/>
          <w:b w:val="0"/>
          <w:bCs w:val="0"/>
          <w:sz w:val="20"/>
          <w:szCs w:val="20"/>
        </w:rPr>
        <w:t>, whereas two RI restrictions are applied to two CMR groups in a CMR resource set respectively for Single-TRP measurement hypothesis, and the third one is applied to all NCJT measurement hypotheses.</w:t>
      </w:r>
      <w:r w:rsidRPr="001D35F5">
        <w:rPr>
          <w:rFonts w:ascii="Times" w:hAnsi="Times" w:cs="Times"/>
          <w:b/>
          <w:bCs/>
          <w:sz w:val="20"/>
          <w:szCs w:val="20"/>
        </w:rPr>
        <w:t xml:space="preserve"> </w:t>
      </w:r>
    </w:p>
    <w:p w14:paraId="56FAE90A" w14:textId="77777777" w:rsidR="00C77F78" w:rsidRPr="001D35F5" w:rsidRDefault="00C77F78" w:rsidP="00C77F78">
      <w:pPr>
        <w:pStyle w:val="aff6"/>
        <w:numPr>
          <w:ilvl w:val="1"/>
          <w:numId w:val="12"/>
        </w:numPr>
        <w:snapToGrid w:val="0"/>
        <w:spacing w:before="0" w:beforeAutospacing="0" w:after="0" w:afterAutospacing="0"/>
        <w:jc w:val="both"/>
        <w:rPr>
          <w:rFonts w:ascii="Times" w:hAnsi="Times" w:cs="Times"/>
          <w:b/>
          <w:bCs/>
          <w:sz w:val="20"/>
          <w:szCs w:val="20"/>
        </w:rPr>
      </w:pPr>
      <w:r w:rsidRPr="001D35F5">
        <w:rPr>
          <w:rStyle w:val="ab"/>
          <w:rFonts w:ascii="Times" w:hAnsi="Times" w:cs="Times"/>
          <w:b w:val="0"/>
          <w:bCs w:val="0"/>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72CB1745" w14:textId="77777777" w:rsidR="00C77F78" w:rsidRPr="001D35F5" w:rsidRDefault="00C77F78" w:rsidP="00C77F78">
      <w:pPr>
        <w:pStyle w:val="aff6"/>
        <w:numPr>
          <w:ilvl w:val="0"/>
          <w:numId w:val="12"/>
        </w:numPr>
        <w:snapToGrid w:val="0"/>
        <w:spacing w:before="0" w:beforeAutospacing="0" w:after="0" w:afterAutospacing="0"/>
        <w:jc w:val="both"/>
        <w:rPr>
          <w:rFonts w:ascii="Times" w:hAnsi="Times" w:cs="Times"/>
          <w:sz w:val="20"/>
          <w:szCs w:val="20"/>
        </w:rPr>
      </w:pPr>
      <w:r w:rsidRPr="001D35F5">
        <w:rPr>
          <w:rStyle w:val="ab"/>
          <w:rFonts w:ascii="Times" w:hAnsi="Times" w:cs="Times"/>
          <w:b w:val="0"/>
          <w:bCs w:val="0"/>
          <w:sz w:val="20"/>
          <w:szCs w:val="20"/>
        </w:rPr>
        <w:t>Alt 6:</w:t>
      </w:r>
      <w:r w:rsidRPr="001D35F5">
        <w:rPr>
          <w:rFonts w:ascii="Times" w:hAnsi="Times" w:cs="Times"/>
          <w:b/>
          <w:bCs/>
          <w:sz w:val="20"/>
          <w:szCs w:val="20"/>
        </w:rPr>
        <w:t xml:space="preserve"> </w:t>
      </w:r>
      <w:r w:rsidRPr="001D35F5">
        <w:rPr>
          <w:rFonts w:ascii="Times" w:hAnsi="Times" w:cs="Times"/>
          <w:sz w:val="20"/>
          <w:szCs w:val="20"/>
        </w:rPr>
        <w:t xml:space="preserve">Switch between Alt 4 and Alt 5 where </w:t>
      </w:r>
      <w:proofErr w:type="spellStart"/>
      <w:r w:rsidRPr="001D35F5">
        <w:rPr>
          <w:rFonts w:ascii="Times" w:hAnsi="Times" w:cs="Times"/>
          <w:sz w:val="20"/>
          <w:szCs w:val="20"/>
        </w:rPr>
        <w:t>gNB</w:t>
      </w:r>
      <w:proofErr w:type="spellEnd"/>
      <w:r w:rsidRPr="001D35F5">
        <w:rPr>
          <w:rFonts w:ascii="Times" w:hAnsi="Times" w:cs="Times"/>
          <w:sz w:val="20"/>
          <w:szCs w:val="20"/>
        </w:rPr>
        <w:t xml:space="preserve"> can configure via RRC signaling which alternative to use</w:t>
      </w:r>
    </w:p>
    <w:p w14:paraId="7448AED2" w14:textId="77777777" w:rsidR="00C77F78" w:rsidRPr="001D35F5" w:rsidRDefault="00C77F78" w:rsidP="00C77F78">
      <w:pPr>
        <w:snapToGrid w:val="0"/>
        <w:spacing w:after="0"/>
        <w:jc w:val="both"/>
        <w:rPr>
          <w:rFonts w:cs="Times"/>
          <w:b/>
          <w:bCs/>
          <w:sz w:val="18"/>
          <w:szCs w:val="22"/>
          <w:lang w:eastAsia="x-none"/>
        </w:rPr>
      </w:pPr>
      <w:r w:rsidRPr="001D35F5">
        <w:rPr>
          <w:rStyle w:val="ab"/>
          <w:rFonts w:cs="Times"/>
          <w:b w:val="0"/>
          <w:bCs w:val="0"/>
          <w:lang w:eastAsia="zh-CN"/>
        </w:rPr>
        <w:t>Note that if none of above Alternatives is agreed in Rel-17, RI restriction is only applied for Single-TRP measurement hypotheses and no RI restriction is applied for Multi-TRP measurement hypotheses</w:t>
      </w:r>
      <w:r w:rsidRPr="001D35F5">
        <w:rPr>
          <w:rFonts w:cs="Times"/>
          <w:b/>
          <w:bCs/>
          <w:lang w:eastAsia="x-none"/>
        </w:rPr>
        <w:t>.</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61C0D630" w14:textId="77777777" w:rsidR="008738F0" w:rsidRDefault="00503682"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NCJT hypothesis, it was agreed that two PMIs and two RIs are reported in the CSI</w:t>
      </w:r>
      <w:r w:rsidR="008D205F">
        <w:rPr>
          <w:rFonts w:eastAsiaTheme="minorEastAsia"/>
          <w:color w:val="000000" w:themeColor="text1"/>
          <w:sz w:val="22"/>
          <w:szCs w:val="22"/>
          <w:lang w:val="en-US" w:eastAsia="zh-CN"/>
        </w:rPr>
        <w:t xml:space="preserve"> at least for single-DCI based multi-TRP transmission</w:t>
      </w:r>
      <w:r>
        <w:rPr>
          <w:rFonts w:eastAsiaTheme="minorEastAsia"/>
          <w:color w:val="000000" w:themeColor="text1"/>
          <w:sz w:val="22"/>
          <w:szCs w:val="22"/>
          <w:lang w:val="en-US" w:eastAsia="zh-CN"/>
        </w:rPr>
        <w:t>, and in current spec, CBSR and RI restriction are designed, which can reduce the UE complexity and reporting overhead. While the CBSR and RI restriction in current spec is only for si</w:t>
      </w:r>
      <w:r w:rsidR="008738F0">
        <w:rPr>
          <w:rFonts w:eastAsiaTheme="minorEastAsia"/>
          <w:color w:val="000000" w:themeColor="text1"/>
          <w:sz w:val="22"/>
          <w:szCs w:val="22"/>
          <w:lang w:val="en-US" w:eastAsia="zh-CN"/>
        </w:rPr>
        <w:t xml:space="preserve">ngle TRP measurement hypothesis. And for single TRP hypothesis, </w:t>
      </w:r>
      <w:proofErr w:type="spellStart"/>
      <w:r w:rsidR="008738F0">
        <w:rPr>
          <w:rFonts w:eastAsiaTheme="minorEastAsia"/>
          <w:color w:val="000000" w:themeColor="text1"/>
          <w:sz w:val="22"/>
          <w:szCs w:val="22"/>
          <w:lang w:val="en-US" w:eastAsia="zh-CN"/>
        </w:rPr>
        <w:t>precoders</w:t>
      </w:r>
      <w:proofErr w:type="spellEnd"/>
      <w:r w:rsidR="008738F0">
        <w:rPr>
          <w:rFonts w:eastAsiaTheme="minorEastAsia"/>
          <w:color w:val="000000" w:themeColor="text1"/>
          <w:sz w:val="22"/>
          <w:szCs w:val="22"/>
          <w:lang w:val="en-US" w:eastAsia="zh-CN"/>
        </w:rPr>
        <w:t xml:space="preserve"> and ranks can be different for </w:t>
      </w:r>
      <w:r w:rsidR="008738F0">
        <w:rPr>
          <w:rFonts w:eastAsiaTheme="minorEastAsia"/>
          <w:color w:val="000000" w:themeColor="text1"/>
          <w:sz w:val="22"/>
          <w:szCs w:val="22"/>
          <w:lang w:val="en-US" w:eastAsia="zh-CN"/>
        </w:rPr>
        <w:lastRenderedPageBreak/>
        <w:t>different TRPs, and</w:t>
      </w:r>
      <w:r>
        <w:rPr>
          <w:rFonts w:eastAsiaTheme="minorEastAsia"/>
          <w:color w:val="000000" w:themeColor="text1"/>
          <w:sz w:val="22"/>
          <w:szCs w:val="22"/>
          <w:lang w:val="en-US" w:eastAsia="zh-CN"/>
        </w:rPr>
        <w:t xml:space="preserve"> for NCJT hypothesis, it’s typical that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t>
      </w:r>
      <w:r w:rsidR="008738F0">
        <w:rPr>
          <w:rFonts w:eastAsiaTheme="minorEastAsia"/>
          <w:color w:val="000000" w:themeColor="text1"/>
          <w:sz w:val="22"/>
          <w:szCs w:val="22"/>
          <w:lang w:val="en-US" w:eastAsia="zh-CN"/>
        </w:rPr>
        <w:t xml:space="preserve">and ranks </w:t>
      </w:r>
      <w:r>
        <w:rPr>
          <w:rFonts w:eastAsiaTheme="minorEastAsia"/>
          <w:color w:val="000000" w:themeColor="text1"/>
          <w:sz w:val="22"/>
          <w:szCs w:val="22"/>
          <w:lang w:val="en-US" w:eastAsia="zh-CN"/>
        </w:rPr>
        <w:t>are different</w:t>
      </w:r>
      <w:r w:rsidR="008738F0">
        <w:rPr>
          <w:rFonts w:eastAsiaTheme="minorEastAsia"/>
          <w:color w:val="000000" w:themeColor="text1"/>
          <w:sz w:val="22"/>
          <w:szCs w:val="22"/>
          <w:lang w:val="en-US" w:eastAsia="zh-CN"/>
        </w:rPr>
        <w:t xml:space="preserve"> from single TRP hypothesis</w:t>
      </w:r>
      <w:r>
        <w:rPr>
          <w:rFonts w:eastAsiaTheme="minorEastAsia"/>
          <w:color w:val="000000" w:themeColor="text1"/>
          <w:sz w:val="22"/>
          <w:szCs w:val="22"/>
          <w:lang w:val="en-US" w:eastAsia="zh-CN"/>
        </w:rPr>
        <w:t xml:space="preserve">. </w:t>
      </w:r>
    </w:p>
    <w:p w14:paraId="6C7326A8" w14:textId="5D982BAA" w:rsidR="008B29FC" w:rsidRDefault="008738F0" w:rsidP="000D445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it was agreed to report X CSIs with single-TRP measurement hypotheses and one CSI associated with NCJT measurement hypothesis, and also considering large complexity of </w:t>
      </w:r>
      <w:r w:rsidR="000069D2">
        <w:rPr>
          <w:rFonts w:eastAsiaTheme="minorEastAsia"/>
          <w:color w:val="000000" w:themeColor="text1"/>
          <w:sz w:val="22"/>
          <w:szCs w:val="22"/>
          <w:lang w:val="en-US" w:eastAsia="zh-CN"/>
        </w:rPr>
        <w:t xml:space="preserve">pairing of the </w:t>
      </w:r>
      <w:proofErr w:type="spellStart"/>
      <w:r w:rsidR="000069D2">
        <w:rPr>
          <w:rFonts w:eastAsiaTheme="minorEastAsia"/>
          <w:color w:val="000000" w:themeColor="text1"/>
          <w:sz w:val="22"/>
          <w:szCs w:val="22"/>
          <w:lang w:val="en-US" w:eastAsia="zh-CN"/>
        </w:rPr>
        <w:t>precoders</w:t>
      </w:r>
      <w:proofErr w:type="spellEnd"/>
      <w:r w:rsidR="000069D2">
        <w:rPr>
          <w:rFonts w:eastAsiaTheme="minorEastAsia"/>
          <w:color w:val="000000" w:themeColor="text1"/>
          <w:sz w:val="22"/>
          <w:szCs w:val="22"/>
          <w:lang w:val="en-US" w:eastAsia="zh-CN"/>
        </w:rPr>
        <w:t xml:space="preserve"> from different TRPs </w:t>
      </w:r>
      <w:r>
        <w:rPr>
          <w:rFonts w:eastAsiaTheme="minorEastAsia"/>
          <w:color w:val="000000" w:themeColor="text1"/>
          <w:sz w:val="22"/>
          <w:szCs w:val="22"/>
          <w:lang w:val="en-US" w:eastAsia="zh-CN"/>
        </w:rPr>
        <w:t>for NCJT measurement, introducing more RI restrictions is quite helpful to reduce UE complexity.</w:t>
      </w:r>
      <w:r w:rsidR="000D4451">
        <w:rPr>
          <w:rFonts w:eastAsiaTheme="minorEastAsia"/>
          <w:color w:val="000000" w:themeColor="text1"/>
          <w:sz w:val="22"/>
          <w:szCs w:val="22"/>
          <w:lang w:val="en-US" w:eastAsia="zh-CN"/>
        </w:rPr>
        <w:t xml:space="preserve"> </w:t>
      </w:r>
      <w:r w:rsidR="008B29FC">
        <w:rPr>
          <w:rFonts w:eastAsiaTheme="minorEastAsia"/>
          <w:color w:val="000000" w:themeColor="text1"/>
          <w:sz w:val="22"/>
          <w:szCs w:val="22"/>
          <w:lang w:val="en-US" w:eastAsia="zh-CN"/>
        </w:rPr>
        <w:t xml:space="preserve">Considering the flexibility and UE complexity reduction, we think Alt 5 is a good scheme. </w:t>
      </w:r>
      <w:r w:rsidR="000D4451">
        <w:rPr>
          <w:rFonts w:eastAsiaTheme="minorEastAsia"/>
          <w:color w:val="000000" w:themeColor="text1"/>
          <w:sz w:val="22"/>
          <w:szCs w:val="22"/>
          <w:lang w:val="en-US" w:eastAsia="zh-CN"/>
        </w:rPr>
        <w:t xml:space="preserve">And current RI restriction framework can be reused, i.e. a bitmap to indicate which RI can be reported, and for NCJT hypothesis, allowed reported rank combinations can be configured in the RI restriction, while </w:t>
      </w:r>
      <w:r w:rsidR="008B29FC">
        <w:rPr>
          <w:rFonts w:eastAsiaTheme="minorEastAsia"/>
          <w:color w:val="000000" w:themeColor="text1"/>
          <w:sz w:val="22"/>
          <w:szCs w:val="22"/>
          <w:lang w:val="en-US" w:eastAsia="zh-CN"/>
        </w:rPr>
        <w:t xml:space="preserve">the reported rank (rank combination) is not needed to be always limited to be 1. </w:t>
      </w:r>
      <w:r w:rsidR="000D4451">
        <w:rPr>
          <w:rFonts w:eastAsiaTheme="minorEastAsia"/>
          <w:color w:val="000000" w:themeColor="text1"/>
          <w:sz w:val="22"/>
          <w:szCs w:val="22"/>
          <w:lang w:val="en-US" w:eastAsia="zh-CN"/>
        </w:rPr>
        <w:t>So we support Alt 5 with a minor update:</w:t>
      </w:r>
    </w:p>
    <w:p w14:paraId="36495F75" w14:textId="37E83410" w:rsidR="008B29FC" w:rsidRDefault="008B29FC" w:rsidP="008B29FC">
      <w:pPr>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For RI restriction, support Alt 5</w:t>
      </w:r>
      <w:r w:rsidR="000D4451">
        <w:rPr>
          <w:rFonts w:eastAsiaTheme="minorEastAsia"/>
          <w:b/>
          <w:i/>
          <w:sz w:val="22"/>
          <w:szCs w:val="22"/>
          <w:lang w:val="en-US" w:eastAsia="zh-CN"/>
        </w:rPr>
        <w:t xml:space="preserve"> with a minor update</w:t>
      </w:r>
      <w:r>
        <w:rPr>
          <w:rFonts w:eastAsiaTheme="minorEastAsia"/>
          <w:b/>
          <w:i/>
          <w:sz w:val="22"/>
          <w:szCs w:val="22"/>
          <w:lang w:val="en-US" w:eastAsia="zh-CN"/>
        </w:rPr>
        <w:t>:</w:t>
      </w:r>
    </w:p>
    <w:p w14:paraId="46401DAE" w14:textId="77777777" w:rsidR="008B29FC" w:rsidRPr="008B29FC" w:rsidRDefault="008B29FC" w:rsidP="008B29FC">
      <w:pPr>
        <w:spacing w:after="0"/>
        <w:ind w:left="420" w:firstLine="420"/>
        <w:jc w:val="both"/>
        <w:rPr>
          <w:rFonts w:eastAsiaTheme="minorEastAsia"/>
          <w:b/>
          <w:i/>
          <w:sz w:val="22"/>
          <w:szCs w:val="22"/>
          <w:lang w:val="en-US" w:eastAsia="zh-CN"/>
        </w:rPr>
      </w:pPr>
      <w:r w:rsidRPr="008B29FC">
        <w:rPr>
          <w:rFonts w:eastAsiaTheme="minorEastAsia" w:hint="eastAsia"/>
          <w:b/>
          <w:i/>
          <w:sz w:val="22"/>
          <w:szCs w:val="22"/>
          <w:lang w:val="en-US" w:eastAsia="zh-CN"/>
        </w:rPr>
        <w:t>•</w:t>
      </w:r>
      <w:r w:rsidRPr="008B29FC">
        <w:rPr>
          <w:rFonts w:eastAsiaTheme="minorEastAsia"/>
          <w:b/>
          <w:i/>
          <w:sz w:val="22"/>
          <w:szCs w:val="22"/>
          <w:lang w:val="en-US" w:eastAsia="zh-CN"/>
        </w:rPr>
        <w:tab/>
        <w:t xml:space="preserve">Alt 5: Three RI restrictions can be configured per </w:t>
      </w:r>
      <w:proofErr w:type="spellStart"/>
      <w:r w:rsidRPr="008B29FC">
        <w:rPr>
          <w:rFonts w:eastAsiaTheme="minorEastAsia"/>
          <w:b/>
          <w:i/>
          <w:sz w:val="22"/>
          <w:szCs w:val="22"/>
          <w:lang w:val="en-US" w:eastAsia="zh-CN"/>
        </w:rPr>
        <w:t>CodebookConfig</w:t>
      </w:r>
      <w:proofErr w:type="spellEnd"/>
      <w:r w:rsidRPr="008B29FC">
        <w:rPr>
          <w:rFonts w:eastAsiaTheme="minorEastAsia"/>
          <w:b/>
          <w:i/>
          <w:sz w:val="22"/>
          <w:szCs w:val="22"/>
          <w:lang w:val="en-US" w:eastAsia="zh-CN"/>
        </w:rPr>
        <w:t xml:space="preserve">, whereas two RI restrictions are applied to two CMR groups in a CMR resource set respectively for Single-TRP measurement hypothesis, and the third one is applied to all NCJT measurement hypotheses. </w:t>
      </w:r>
    </w:p>
    <w:p w14:paraId="3673E8FE" w14:textId="380AAA27" w:rsidR="008B29FC" w:rsidRDefault="008B29FC" w:rsidP="008B29FC">
      <w:pPr>
        <w:spacing w:after="120"/>
        <w:ind w:leftChars="600" w:left="1200"/>
        <w:jc w:val="both"/>
        <w:rPr>
          <w:rFonts w:eastAsiaTheme="minorEastAsia"/>
          <w:b/>
          <w:i/>
          <w:sz w:val="22"/>
          <w:szCs w:val="22"/>
          <w:lang w:val="en-US" w:eastAsia="zh-CN"/>
        </w:rPr>
      </w:pPr>
      <w:r w:rsidRPr="008B29FC">
        <w:rPr>
          <w:rFonts w:eastAsiaTheme="minorEastAsia"/>
          <w:b/>
          <w:i/>
          <w:sz w:val="22"/>
          <w:szCs w:val="22"/>
          <w:lang w:val="en-US" w:eastAsia="zh-CN"/>
        </w:rPr>
        <w:t>o</w:t>
      </w:r>
      <w:r w:rsidRPr="008B29FC">
        <w:rPr>
          <w:rFonts w:eastAsiaTheme="minorEastAsia"/>
          <w:b/>
          <w:i/>
          <w:sz w:val="22"/>
          <w:szCs w:val="22"/>
          <w:lang w:val="en-US" w:eastAsia="zh-CN"/>
        </w:rPr>
        <w:tab/>
        <w:t>If rank restriction of (X1, X2, Y) is configured, reported rank is X1, X2 for each CMR group respectively for single-TRP measurement hypotheses and reported rank (</w:t>
      </w:r>
      <w:r w:rsidRPr="008B29FC">
        <w:rPr>
          <w:rFonts w:eastAsiaTheme="minorEastAsia"/>
          <w:b/>
          <w:i/>
          <w:strike/>
          <w:color w:val="FF0000"/>
          <w:sz w:val="22"/>
          <w:szCs w:val="22"/>
          <w:highlight w:val="yellow"/>
          <w:lang w:val="en-US" w:eastAsia="zh-CN"/>
        </w:rPr>
        <w:t>1</w:t>
      </w:r>
      <w:r w:rsidRPr="008B29FC">
        <w:rPr>
          <w:rFonts w:eastAsiaTheme="minorEastAsia"/>
          <w:b/>
          <w:i/>
          <w:color w:val="FF0000"/>
          <w:sz w:val="22"/>
          <w:szCs w:val="22"/>
          <w:highlight w:val="yellow"/>
          <w:lang w:val="en-US" w:eastAsia="zh-CN"/>
        </w:rPr>
        <w:t xml:space="preserve"> </w:t>
      </w:r>
      <w:r w:rsidRPr="008B29FC">
        <w:rPr>
          <w:rFonts w:eastAsiaTheme="minorEastAsia" w:hint="eastAsia"/>
          <w:b/>
          <w:i/>
          <w:color w:val="FF0000"/>
          <w:sz w:val="22"/>
          <w:szCs w:val="22"/>
          <w:highlight w:val="yellow"/>
          <w:lang w:val="en-US" w:eastAsia="zh-CN"/>
        </w:rPr>
        <w:t>Z</w:t>
      </w:r>
      <w:r w:rsidRPr="008B29FC">
        <w:rPr>
          <w:rFonts w:eastAsiaTheme="minorEastAsia"/>
          <w:b/>
          <w:i/>
          <w:sz w:val="22"/>
          <w:szCs w:val="22"/>
          <w:lang w:val="en-US" w:eastAsia="zh-CN"/>
        </w:rPr>
        <w:t xml:space="preserve"> out of 4 possible rank combinations</w:t>
      </w:r>
      <w:r w:rsidRPr="008B29FC">
        <w:rPr>
          <w:rFonts w:eastAsiaTheme="minorEastAsia"/>
          <w:b/>
          <w:i/>
          <w:color w:val="FF0000"/>
          <w:sz w:val="22"/>
          <w:szCs w:val="22"/>
          <w:highlight w:val="yellow"/>
          <w:lang w:val="en-US" w:eastAsia="zh-CN"/>
        </w:rPr>
        <w:t>, and Z can be 0, 1, 2, 3, 4</w:t>
      </w:r>
      <w:r w:rsidRPr="008B29FC">
        <w:rPr>
          <w:rFonts w:eastAsiaTheme="minorEastAsia"/>
          <w:b/>
          <w:i/>
          <w:sz w:val="22"/>
          <w:szCs w:val="22"/>
          <w:lang w:val="en-US" w:eastAsia="zh-CN"/>
        </w:rPr>
        <w:t>) is Y for all NCJT measurement hypotheses.</w:t>
      </w:r>
    </w:p>
    <w:p w14:paraId="782759B1" w14:textId="3CD96014" w:rsidR="008769D5" w:rsidRDefault="00A11F18" w:rsidP="005B476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Similar with the RI restriction, we think codebook subset restriction is also needed for different measurement hypotheses, which is also</w:t>
      </w:r>
      <w:r w:rsidR="000069D2">
        <w:rPr>
          <w:rFonts w:eastAsiaTheme="minorEastAsia"/>
          <w:color w:val="000000" w:themeColor="text1"/>
          <w:sz w:val="22"/>
          <w:szCs w:val="22"/>
          <w:lang w:val="en-US" w:eastAsia="zh-CN"/>
        </w:rPr>
        <w:t xml:space="preserve"> quite helpful to reduce the UE complexity. </w:t>
      </w:r>
    </w:p>
    <w:p w14:paraId="6CE9E4C3" w14:textId="17AD1310" w:rsidR="000069D2" w:rsidRDefault="000069D2" w:rsidP="000069D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11F18">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A11F18">
        <w:rPr>
          <w:rFonts w:eastAsiaTheme="minorEastAsia"/>
          <w:b/>
          <w:i/>
          <w:sz w:val="22"/>
          <w:szCs w:val="22"/>
          <w:lang w:val="en-US" w:eastAsia="zh-CN"/>
        </w:rPr>
        <w:t>Similar as RI restriction, multiple CBSRs</w:t>
      </w:r>
      <w:r>
        <w:rPr>
          <w:rFonts w:eastAsiaTheme="minorEastAsia"/>
          <w:b/>
          <w:i/>
          <w:sz w:val="22"/>
          <w:szCs w:val="22"/>
          <w:lang w:val="en-US" w:eastAsia="zh-CN"/>
        </w:rPr>
        <w:t xml:space="preserve"> can</w:t>
      </w:r>
      <w:r w:rsidR="00A11F18">
        <w:rPr>
          <w:rFonts w:eastAsiaTheme="minorEastAsia"/>
          <w:b/>
          <w:i/>
          <w:sz w:val="22"/>
          <w:szCs w:val="22"/>
          <w:lang w:val="en-US" w:eastAsia="zh-CN"/>
        </w:rPr>
        <w:t xml:space="preserve"> be introduced for different measurement hypotheses, and output of RI restriction can be reused as starting point.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11ECA4CC" w14:textId="77777777" w:rsidR="00A11F18" w:rsidRDefault="00A11F18" w:rsidP="00A11F18">
      <w:pPr>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For RI restriction, support Alt 5 with a minor update:</w:t>
      </w:r>
    </w:p>
    <w:p w14:paraId="3E7AE75F" w14:textId="77777777" w:rsidR="00A11F18" w:rsidRPr="008B29FC" w:rsidRDefault="00A11F18" w:rsidP="00A11F18">
      <w:pPr>
        <w:spacing w:after="0"/>
        <w:ind w:left="420" w:firstLine="420"/>
        <w:jc w:val="both"/>
        <w:rPr>
          <w:rFonts w:eastAsiaTheme="minorEastAsia"/>
          <w:b/>
          <w:i/>
          <w:sz w:val="22"/>
          <w:szCs w:val="22"/>
          <w:lang w:val="en-US" w:eastAsia="zh-CN"/>
        </w:rPr>
      </w:pPr>
      <w:r w:rsidRPr="008B29FC">
        <w:rPr>
          <w:rFonts w:eastAsiaTheme="minorEastAsia" w:hint="eastAsia"/>
          <w:b/>
          <w:i/>
          <w:sz w:val="22"/>
          <w:szCs w:val="22"/>
          <w:lang w:val="en-US" w:eastAsia="zh-CN"/>
        </w:rPr>
        <w:t>•</w:t>
      </w:r>
      <w:r w:rsidRPr="008B29FC">
        <w:rPr>
          <w:rFonts w:eastAsiaTheme="minorEastAsia"/>
          <w:b/>
          <w:i/>
          <w:sz w:val="22"/>
          <w:szCs w:val="22"/>
          <w:lang w:val="en-US" w:eastAsia="zh-CN"/>
        </w:rPr>
        <w:tab/>
        <w:t xml:space="preserve">Alt 5: Three RI restrictions can be configured per </w:t>
      </w:r>
      <w:proofErr w:type="spellStart"/>
      <w:r w:rsidRPr="008B29FC">
        <w:rPr>
          <w:rFonts w:eastAsiaTheme="minorEastAsia"/>
          <w:b/>
          <w:i/>
          <w:sz w:val="22"/>
          <w:szCs w:val="22"/>
          <w:lang w:val="en-US" w:eastAsia="zh-CN"/>
        </w:rPr>
        <w:t>CodebookConfig</w:t>
      </w:r>
      <w:proofErr w:type="spellEnd"/>
      <w:r w:rsidRPr="008B29FC">
        <w:rPr>
          <w:rFonts w:eastAsiaTheme="minorEastAsia"/>
          <w:b/>
          <w:i/>
          <w:sz w:val="22"/>
          <w:szCs w:val="22"/>
          <w:lang w:val="en-US" w:eastAsia="zh-CN"/>
        </w:rPr>
        <w:t xml:space="preserve">, whereas two RI restrictions are applied to two CMR groups in a CMR resource set respectively for Single-TRP measurement hypothesis, and the third one is applied to all NCJT measurement hypotheses. </w:t>
      </w:r>
    </w:p>
    <w:p w14:paraId="0C0B095F" w14:textId="77777777" w:rsidR="00A11F18" w:rsidRDefault="00A11F18" w:rsidP="00A11F18">
      <w:pPr>
        <w:spacing w:after="120"/>
        <w:ind w:leftChars="600" w:left="1200"/>
        <w:jc w:val="both"/>
        <w:rPr>
          <w:rFonts w:eastAsiaTheme="minorEastAsia"/>
          <w:b/>
          <w:i/>
          <w:sz w:val="22"/>
          <w:szCs w:val="22"/>
          <w:lang w:val="en-US" w:eastAsia="zh-CN"/>
        </w:rPr>
      </w:pPr>
      <w:r w:rsidRPr="008B29FC">
        <w:rPr>
          <w:rFonts w:eastAsiaTheme="minorEastAsia"/>
          <w:b/>
          <w:i/>
          <w:sz w:val="22"/>
          <w:szCs w:val="22"/>
          <w:lang w:val="en-US" w:eastAsia="zh-CN"/>
        </w:rPr>
        <w:t>o</w:t>
      </w:r>
      <w:r w:rsidRPr="008B29FC">
        <w:rPr>
          <w:rFonts w:eastAsiaTheme="minorEastAsia"/>
          <w:b/>
          <w:i/>
          <w:sz w:val="22"/>
          <w:szCs w:val="22"/>
          <w:lang w:val="en-US" w:eastAsia="zh-CN"/>
        </w:rPr>
        <w:tab/>
        <w:t>If rank restriction of (X1, X2, Y) is configured, reported rank is X1, X2 for each CMR group respectively for single-TRP measurement hypotheses and reported rank (</w:t>
      </w:r>
      <w:r w:rsidRPr="008B29FC">
        <w:rPr>
          <w:rFonts w:eastAsiaTheme="minorEastAsia"/>
          <w:b/>
          <w:i/>
          <w:strike/>
          <w:color w:val="FF0000"/>
          <w:sz w:val="22"/>
          <w:szCs w:val="22"/>
          <w:highlight w:val="yellow"/>
          <w:lang w:val="en-US" w:eastAsia="zh-CN"/>
        </w:rPr>
        <w:t>1</w:t>
      </w:r>
      <w:r w:rsidRPr="008B29FC">
        <w:rPr>
          <w:rFonts w:eastAsiaTheme="minorEastAsia"/>
          <w:b/>
          <w:i/>
          <w:color w:val="FF0000"/>
          <w:sz w:val="22"/>
          <w:szCs w:val="22"/>
          <w:highlight w:val="yellow"/>
          <w:lang w:val="en-US" w:eastAsia="zh-CN"/>
        </w:rPr>
        <w:t xml:space="preserve"> </w:t>
      </w:r>
      <w:r w:rsidRPr="008B29FC">
        <w:rPr>
          <w:rFonts w:eastAsiaTheme="minorEastAsia" w:hint="eastAsia"/>
          <w:b/>
          <w:i/>
          <w:color w:val="FF0000"/>
          <w:sz w:val="22"/>
          <w:szCs w:val="22"/>
          <w:highlight w:val="yellow"/>
          <w:lang w:val="en-US" w:eastAsia="zh-CN"/>
        </w:rPr>
        <w:t>Z</w:t>
      </w:r>
      <w:r w:rsidRPr="008B29FC">
        <w:rPr>
          <w:rFonts w:eastAsiaTheme="minorEastAsia"/>
          <w:b/>
          <w:i/>
          <w:sz w:val="22"/>
          <w:szCs w:val="22"/>
          <w:lang w:val="en-US" w:eastAsia="zh-CN"/>
        </w:rPr>
        <w:t xml:space="preserve"> out of 4 possible rank combinations</w:t>
      </w:r>
      <w:r w:rsidRPr="008B29FC">
        <w:rPr>
          <w:rFonts w:eastAsiaTheme="minorEastAsia"/>
          <w:b/>
          <w:i/>
          <w:color w:val="FF0000"/>
          <w:sz w:val="22"/>
          <w:szCs w:val="22"/>
          <w:highlight w:val="yellow"/>
          <w:lang w:val="en-US" w:eastAsia="zh-CN"/>
        </w:rPr>
        <w:t>, and Z can be 0, 1, 2, 3, 4</w:t>
      </w:r>
      <w:r w:rsidRPr="008B29FC">
        <w:rPr>
          <w:rFonts w:eastAsiaTheme="minorEastAsia"/>
          <w:b/>
          <w:i/>
          <w:sz w:val="22"/>
          <w:szCs w:val="22"/>
          <w:lang w:val="en-US" w:eastAsia="zh-CN"/>
        </w:rPr>
        <w:t>) is Y for all NCJT measurement hypotheses.</w:t>
      </w:r>
    </w:p>
    <w:p w14:paraId="460C50D7" w14:textId="77777777" w:rsidR="00A11F18" w:rsidRDefault="00A11F18" w:rsidP="00A11F1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Similar as RI restriction, multiple CBSRs can be introduced for different measurement hypotheses, and output of RI restriction can be reused as starting point.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8AEB67" w14:textId="77777777" w:rsidR="003E4ED2" w:rsidRDefault="003E4ED2" w:rsidP="003E4ED2">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RAN1#106-e, A</w:t>
      </w:r>
      <w:r>
        <w:rPr>
          <w:rFonts w:eastAsia="宋体" w:hint="eastAsia"/>
          <w:color w:val="000000"/>
          <w:lang w:eastAsia="zh-CN"/>
        </w:rPr>
        <w:t>u</w:t>
      </w:r>
      <w:r>
        <w:rPr>
          <w:rFonts w:eastAsia="宋体"/>
          <w:color w:val="000000"/>
          <w:lang w:eastAsia="zh-CN"/>
        </w:rPr>
        <w:t>gust 16th – 27th</w:t>
      </w:r>
      <w:r w:rsidRPr="00915745">
        <w:rPr>
          <w:rFonts w:eastAsia="宋体"/>
          <w:color w:val="000000"/>
          <w:lang w:eastAsia="zh-CN"/>
        </w:rPr>
        <w:t>, 2021</w:t>
      </w:r>
      <w:r>
        <w:rPr>
          <w:rFonts w:eastAsia="宋体"/>
          <w:color w:val="000000"/>
          <w:lang w:eastAsia="zh-CN"/>
        </w:rPr>
        <w:t>.</w:t>
      </w:r>
    </w:p>
    <w:sectPr w:rsidR="003E4ED2"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12B5C" w14:textId="77777777" w:rsidR="00BB6BFC" w:rsidRPr="00D733E0" w:rsidRDefault="00BB6BFC" w:rsidP="00D400AF">
      <w:pPr>
        <w:spacing w:after="0"/>
        <w:rPr>
          <w:rFonts w:ascii="Arial" w:eastAsia="宋体" w:hAnsi="Arial" w:cs="Arial"/>
          <w:color w:val="0000FF"/>
          <w:kern w:val="2"/>
          <w:lang w:val="en-US" w:eastAsia="zh-CN"/>
        </w:rPr>
      </w:pPr>
      <w:r>
        <w:separator/>
      </w:r>
    </w:p>
  </w:endnote>
  <w:endnote w:type="continuationSeparator" w:id="0">
    <w:p w14:paraId="73498956" w14:textId="77777777" w:rsidR="00BB6BFC" w:rsidRPr="00D733E0" w:rsidRDefault="00BB6BF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4863600" w:rsidR="00503682" w:rsidRPr="007A56A3" w:rsidRDefault="0050368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77DA3" w:rsidRPr="00377DA3">
          <w:rPr>
            <w:noProof/>
            <w:sz w:val="21"/>
            <w:lang w:val="zh-CN" w:eastAsia="zh-CN"/>
          </w:rPr>
          <w:t>2</w:t>
        </w:r>
        <w:r w:rsidRPr="007A56A3">
          <w:rPr>
            <w:sz w:val="21"/>
          </w:rPr>
          <w:fldChar w:fldCharType="end"/>
        </w:r>
      </w:p>
    </w:sdtContent>
  </w:sdt>
  <w:p w14:paraId="55D08AE3" w14:textId="77777777" w:rsidR="00503682" w:rsidRDefault="0050368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48C53" w14:textId="77777777" w:rsidR="00BB6BFC" w:rsidRPr="00D733E0" w:rsidRDefault="00BB6BFC" w:rsidP="00D400AF">
      <w:pPr>
        <w:spacing w:after="0"/>
        <w:rPr>
          <w:rFonts w:ascii="Arial" w:eastAsia="宋体" w:hAnsi="Arial" w:cs="Arial"/>
          <w:color w:val="0000FF"/>
          <w:kern w:val="2"/>
          <w:lang w:val="en-US" w:eastAsia="zh-CN"/>
        </w:rPr>
      </w:pPr>
      <w:r>
        <w:separator/>
      </w:r>
    </w:p>
  </w:footnote>
  <w:footnote w:type="continuationSeparator" w:id="0">
    <w:p w14:paraId="3ABC0676" w14:textId="77777777" w:rsidR="00BB6BFC" w:rsidRPr="00D733E0" w:rsidRDefault="00BB6BF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2"/>
  </w:num>
  <w:num w:numId="6">
    <w:abstractNumId w:val="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1"/>
  </w:num>
  <w:num w:numId="9">
    <w:abstractNumId w:val="7"/>
  </w:num>
  <w:num w:numId="10">
    <w:abstractNumId w:val="10"/>
  </w:num>
  <w:num w:numId="11">
    <w:abstractNumId w:val="5"/>
  </w:num>
  <w:num w:numId="12">
    <w:abstractNumId w:val="8"/>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D2"/>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2384"/>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712"/>
    <w:rsid w:val="00071852"/>
    <w:rsid w:val="00073C99"/>
    <w:rsid w:val="0007406C"/>
    <w:rsid w:val="00075B3E"/>
    <w:rsid w:val="00075DB2"/>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9CC"/>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4451"/>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312"/>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77DA3"/>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08F1"/>
    <w:rsid w:val="003D2922"/>
    <w:rsid w:val="003D4A8B"/>
    <w:rsid w:val="003D57D9"/>
    <w:rsid w:val="003D640C"/>
    <w:rsid w:val="003E241D"/>
    <w:rsid w:val="003E2912"/>
    <w:rsid w:val="003E2BCF"/>
    <w:rsid w:val="003E2DBA"/>
    <w:rsid w:val="003E4A82"/>
    <w:rsid w:val="003E4ED2"/>
    <w:rsid w:val="003E50E7"/>
    <w:rsid w:val="003E5B6C"/>
    <w:rsid w:val="003E62EE"/>
    <w:rsid w:val="003E687F"/>
    <w:rsid w:val="003E6ECC"/>
    <w:rsid w:val="003E7A36"/>
    <w:rsid w:val="003F0850"/>
    <w:rsid w:val="003F11E5"/>
    <w:rsid w:val="003F280F"/>
    <w:rsid w:val="003F36A4"/>
    <w:rsid w:val="003F3859"/>
    <w:rsid w:val="003F3D45"/>
    <w:rsid w:val="003F3DC8"/>
    <w:rsid w:val="003F4538"/>
    <w:rsid w:val="003F591D"/>
    <w:rsid w:val="003F5B4F"/>
    <w:rsid w:val="003F70A9"/>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34C3"/>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574"/>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4761"/>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97E2A"/>
    <w:rsid w:val="007A05FE"/>
    <w:rsid w:val="007A0865"/>
    <w:rsid w:val="007A4E78"/>
    <w:rsid w:val="007A56A3"/>
    <w:rsid w:val="007A5A18"/>
    <w:rsid w:val="007A6E0B"/>
    <w:rsid w:val="007B20EB"/>
    <w:rsid w:val="007B2301"/>
    <w:rsid w:val="007B31A1"/>
    <w:rsid w:val="007B3213"/>
    <w:rsid w:val="007B432E"/>
    <w:rsid w:val="007B5DC1"/>
    <w:rsid w:val="007B64AE"/>
    <w:rsid w:val="007B64C2"/>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8F0"/>
    <w:rsid w:val="00873BD4"/>
    <w:rsid w:val="00874CD4"/>
    <w:rsid w:val="00876861"/>
    <w:rsid w:val="008769D5"/>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9FC"/>
    <w:rsid w:val="008B2B54"/>
    <w:rsid w:val="008B2FB1"/>
    <w:rsid w:val="008B32B3"/>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90025A"/>
    <w:rsid w:val="00900560"/>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550"/>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1F18"/>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6523"/>
    <w:rsid w:val="00B27F49"/>
    <w:rsid w:val="00B3090C"/>
    <w:rsid w:val="00B3102E"/>
    <w:rsid w:val="00B31273"/>
    <w:rsid w:val="00B31802"/>
    <w:rsid w:val="00B31C13"/>
    <w:rsid w:val="00B31E3F"/>
    <w:rsid w:val="00B33564"/>
    <w:rsid w:val="00B34AE2"/>
    <w:rsid w:val="00B357F2"/>
    <w:rsid w:val="00B35A69"/>
    <w:rsid w:val="00B378D1"/>
    <w:rsid w:val="00B42291"/>
    <w:rsid w:val="00B4274E"/>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312C"/>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B6BFC"/>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4EB3"/>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77F78"/>
    <w:rsid w:val="00C807F2"/>
    <w:rsid w:val="00C8437E"/>
    <w:rsid w:val="00C86998"/>
    <w:rsid w:val="00C87F62"/>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41CD"/>
    <w:rsid w:val="00DD628B"/>
    <w:rsid w:val="00DD69F4"/>
    <w:rsid w:val="00DE05DB"/>
    <w:rsid w:val="00DE22E4"/>
    <w:rsid w:val="00DE3706"/>
    <w:rsid w:val="00DE4F3C"/>
    <w:rsid w:val="00DE73CF"/>
    <w:rsid w:val="00DF2995"/>
    <w:rsid w:val="00DF32FB"/>
    <w:rsid w:val="00DF34B3"/>
    <w:rsid w:val="00DF3A14"/>
    <w:rsid w:val="00DF47DE"/>
    <w:rsid w:val="00DF6A90"/>
    <w:rsid w:val="00DF70E4"/>
    <w:rsid w:val="00DF75D4"/>
    <w:rsid w:val="00E0180E"/>
    <w:rsid w:val="00E01A4B"/>
    <w:rsid w:val="00E02665"/>
    <w:rsid w:val="00E0298F"/>
    <w:rsid w:val="00E047BB"/>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1CBF"/>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DE"/>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EB1"/>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3F70A9"/>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04E7D-14B5-482F-807E-5C847FEE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1010</Words>
  <Characters>5763</Characters>
  <Application>Microsoft Office Word</Application>
  <DocSecurity>0</DocSecurity>
  <Lines>48</Lines>
  <Paragraphs>13</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7</cp:revision>
  <dcterms:created xsi:type="dcterms:W3CDTF">2021-09-27T07:16:00Z</dcterms:created>
  <dcterms:modified xsi:type="dcterms:W3CDTF">2021-09-28T06:20:00Z</dcterms:modified>
</cp:coreProperties>
</file>