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E5962" w14:textId="04B22A7F" w:rsidR="001C1975" w:rsidRPr="00D74B92" w:rsidRDefault="001C1975" w:rsidP="001C1975">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6EE7C57" wp14:editId="2624E3F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E955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Pr>
          <w:rFonts w:ascii="Arial" w:hAnsi="Arial" w:cs="Arial"/>
          <w:b/>
          <w:noProof/>
          <w:kern w:val="2"/>
          <w:lang w:eastAsia="zh-CN"/>
        </w:rPr>
        <w:t>6-bis-e</w:t>
      </w:r>
      <w:r w:rsidRPr="00D74B92">
        <w:rPr>
          <w:rFonts w:ascii="Arial" w:hAnsi="Arial" w:cs="Arial"/>
          <w:b/>
          <w:kern w:val="2"/>
          <w:lang w:eastAsia="zh-CN"/>
        </w:rPr>
        <w:tab/>
      </w:r>
      <w:r w:rsidRPr="00662511">
        <w:rPr>
          <w:rFonts w:ascii="Arial" w:hAnsi="Arial" w:cs="Arial"/>
          <w:b/>
          <w:kern w:val="2"/>
          <w:lang w:eastAsia="zh-CN"/>
        </w:rPr>
        <w:t>R1-210</w:t>
      </w:r>
      <w:r w:rsidR="00605C3D">
        <w:rPr>
          <w:rFonts w:ascii="Arial" w:hAnsi="Arial" w:cs="Arial"/>
          <w:b/>
          <w:kern w:val="2"/>
          <w:lang w:eastAsia="zh-CN"/>
        </w:rPr>
        <w:t>8806</w:t>
      </w:r>
    </w:p>
    <w:p w14:paraId="4437ACD7" w14:textId="77777777" w:rsidR="001C1975" w:rsidRPr="007F5EC6" w:rsidRDefault="001C1975" w:rsidP="001C1975">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October 11-19,</w:t>
      </w:r>
      <w:r w:rsidRPr="000F75A1">
        <w:rPr>
          <w:rFonts w:ascii="Arial" w:hAnsi="Arial" w:cs="Arial"/>
          <w:b/>
          <w:kern w:val="2"/>
          <w:lang w:eastAsia="zh-CN"/>
        </w:rPr>
        <w:t xml:space="preserve"> 202</w:t>
      </w:r>
      <w:r>
        <w:rPr>
          <w:rFonts w:ascii="Arial" w:hAnsi="Arial" w:cs="Arial"/>
          <w:b/>
          <w:kern w:val="2"/>
          <w:lang w:eastAsia="zh-CN"/>
        </w:rPr>
        <w:t>1</w:t>
      </w:r>
    </w:p>
    <w:p w14:paraId="7826937B" w14:textId="32CBFA5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w:t>
      </w:r>
      <w:r w:rsidR="00823D02">
        <w:rPr>
          <w:rFonts w:ascii="Arial" w:hAnsi="Arial" w:cs="Arial"/>
          <w:b/>
          <w:lang w:eastAsia="zh-CN"/>
        </w:rPr>
        <w:t>3</w:t>
      </w:r>
    </w:p>
    <w:p w14:paraId="7AF4C819" w14:textId="565BC48B" w:rsidR="00BC1C3C" w:rsidRPr="000C3E76" w:rsidRDefault="00305FF9" w:rsidP="003E0282">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00430D72" w:rsidRPr="000C3E76">
        <w:rPr>
          <w:rFonts w:ascii="Arial" w:hAnsi="Arial" w:cs="Arial"/>
          <w:b/>
          <w:bCs/>
          <w:caps/>
          <w:szCs w:val="24"/>
          <w:shd w:val="clear" w:color="auto" w:fill="FFFFFF"/>
        </w:rPr>
        <w:t>Futurewei</w:t>
      </w:r>
    </w:p>
    <w:p w14:paraId="592199C5" w14:textId="712260B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sidR="004B4A6E">
        <w:rPr>
          <w:rFonts w:ascii="Arial" w:hAnsi="Arial" w:cs="Arial"/>
          <w:b/>
          <w:lang w:eastAsia="zh-CN"/>
        </w:rPr>
        <w:t xml:space="preserve">MBS Support for </w:t>
      </w:r>
      <w:bookmarkEnd w:id="0"/>
      <w:r w:rsidR="000C3E76" w:rsidRPr="000C3E76">
        <w:rPr>
          <w:rFonts w:ascii="Arial" w:hAnsi="Arial" w:cs="Arial"/>
          <w:b/>
          <w:lang w:eastAsia="zh-CN"/>
        </w:rPr>
        <w:t>RRC</w:t>
      </w:r>
      <w:r w:rsidR="00823D02">
        <w:rPr>
          <w:rFonts w:ascii="Arial" w:hAnsi="Arial" w:cs="Arial"/>
          <w:b/>
          <w:lang w:eastAsia="zh-CN"/>
        </w:rPr>
        <w:t xml:space="preserve"> IDLE/INACTIVE</w:t>
      </w:r>
      <w:r w:rsidR="000C3E76" w:rsidRPr="000C3E76">
        <w:rPr>
          <w:rFonts w:ascii="Arial" w:hAnsi="Arial" w:cs="Arial"/>
          <w:b/>
          <w:lang w:eastAsia="zh-CN"/>
        </w:rPr>
        <w:t xml:space="preserve"> UEs</w:t>
      </w:r>
      <w:r w:rsidR="004B4A6E">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B43A4E3" w14:textId="4697BAF6" w:rsidR="005E0695" w:rsidRDefault="00D341AF" w:rsidP="000C3E76">
      <w:r>
        <w:t xml:space="preserve">In RAN1#106-e, </w:t>
      </w:r>
      <w:r w:rsidR="005E0695">
        <w:t xml:space="preserve">continuing progress were made with various </w:t>
      </w:r>
      <w:r>
        <w:t>agreements [1]</w:t>
      </w:r>
      <w:r w:rsidR="005E0695">
        <w:t xml:space="preserve"> on </w:t>
      </w:r>
      <w:r>
        <w:t>the support of MBS for Idle and Inactive UEs.</w:t>
      </w:r>
      <w:r w:rsidR="005E0695">
        <w:t xml:space="preserve"> Specifically on the configured CFR, </w:t>
      </w:r>
      <w:r w:rsidR="00F62473">
        <w:t xml:space="preserve">further discussion during </w:t>
      </w:r>
      <w:r w:rsidR="005E0695">
        <w:t>RAN#93e</w:t>
      </w:r>
      <w:r>
        <w:t xml:space="preserve"> </w:t>
      </w:r>
      <w:r w:rsidR="00F62473">
        <w:t xml:space="preserve">yielded </w:t>
      </w:r>
      <w:r w:rsidR="005E0695">
        <w:t>the following</w:t>
      </w:r>
      <w:r w:rsidR="00F62473">
        <w:t xml:space="preserve"> agreement</w:t>
      </w:r>
      <w:r w:rsidR="005E0695">
        <w:t xml:space="preserve">: </w:t>
      </w:r>
    </w:p>
    <w:p w14:paraId="3EA0C055" w14:textId="77777777" w:rsidR="005E0695" w:rsidRPr="005E0695" w:rsidRDefault="005E0695" w:rsidP="005E0695">
      <w:pPr>
        <w:ind w:left="425"/>
        <w:rPr>
          <w:i/>
          <w:iCs/>
          <w:sz w:val="20"/>
          <w:szCs w:val="20"/>
        </w:rPr>
      </w:pPr>
      <w:r w:rsidRPr="005E0695">
        <w:rPr>
          <w:i/>
          <w:iCs/>
          <w:sz w:val="20"/>
          <w:szCs w:val="20"/>
        </w:rPr>
        <w:t>For a configured/defined CFR for GC-PDCCH/PDSCH carrying MCCH and MTCH for broadcast reception with UEs in RRC IDLE/INACTIVE state.</w:t>
      </w:r>
    </w:p>
    <w:p w14:paraId="37FF597E" w14:textId="77777777" w:rsidR="005E0695" w:rsidRPr="005E0695" w:rsidRDefault="005E0695" w:rsidP="005E0695">
      <w:pPr>
        <w:numPr>
          <w:ilvl w:val="1"/>
          <w:numId w:val="43"/>
        </w:numPr>
        <w:overflowPunct w:val="0"/>
        <w:adjustRightInd/>
        <w:snapToGrid/>
        <w:spacing w:after="0" w:line="252" w:lineRule="auto"/>
        <w:ind w:left="1865"/>
        <w:jc w:val="left"/>
        <w:rPr>
          <w:i/>
          <w:iCs/>
          <w:sz w:val="20"/>
          <w:szCs w:val="20"/>
        </w:rPr>
      </w:pPr>
      <w:r w:rsidRPr="005E0695">
        <w:rPr>
          <w:i/>
          <w:iCs/>
          <w:sz w:val="20"/>
          <w:szCs w:val="20"/>
        </w:rPr>
        <w:t>Support Case-C</w:t>
      </w:r>
    </w:p>
    <w:p w14:paraId="5A18FDBB" w14:textId="3F9BE7B6" w:rsidR="005E0695" w:rsidRPr="005E0695" w:rsidRDefault="005E0695" w:rsidP="005E0695">
      <w:pPr>
        <w:numPr>
          <w:ilvl w:val="1"/>
          <w:numId w:val="43"/>
        </w:numPr>
        <w:overflowPunct w:val="0"/>
        <w:adjustRightInd/>
        <w:snapToGrid/>
        <w:spacing w:after="0" w:line="252" w:lineRule="auto"/>
        <w:ind w:left="1865"/>
        <w:jc w:val="left"/>
        <w:rPr>
          <w:i/>
          <w:iCs/>
          <w:sz w:val="20"/>
          <w:szCs w:val="20"/>
        </w:rPr>
      </w:pPr>
      <w:r w:rsidRPr="005E0695">
        <w:rPr>
          <w:i/>
          <w:iCs/>
          <w:sz w:val="20"/>
          <w:szCs w:val="20"/>
        </w:rPr>
        <w:t xml:space="preserve">Support at least one of Case D and Case E. </w:t>
      </w:r>
    </w:p>
    <w:p w14:paraId="0BCAC94D" w14:textId="77777777" w:rsidR="005E0695" w:rsidRPr="005E0695" w:rsidRDefault="005E0695" w:rsidP="005E0695">
      <w:pPr>
        <w:numPr>
          <w:ilvl w:val="2"/>
          <w:numId w:val="43"/>
        </w:numPr>
        <w:overflowPunct w:val="0"/>
        <w:adjustRightInd/>
        <w:snapToGrid/>
        <w:spacing w:after="0" w:line="252" w:lineRule="auto"/>
        <w:ind w:left="2585"/>
        <w:jc w:val="left"/>
        <w:rPr>
          <w:i/>
          <w:iCs/>
          <w:sz w:val="20"/>
          <w:szCs w:val="20"/>
        </w:rPr>
      </w:pPr>
      <w:r w:rsidRPr="005E0695">
        <w:rPr>
          <w:i/>
          <w:iCs/>
          <w:sz w:val="20"/>
          <w:szCs w:val="20"/>
        </w:rPr>
        <w:t>Down-selection to be made at RAN1#106b-e</w:t>
      </w:r>
    </w:p>
    <w:p w14:paraId="7D9944B1" w14:textId="77777777" w:rsidR="005E0695" w:rsidRDefault="005E0695" w:rsidP="005E0695">
      <w:pPr>
        <w:numPr>
          <w:ilvl w:val="1"/>
          <w:numId w:val="43"/>
        </w:numPr>
        <w:overflowPunct w:val="0"/>
        <w:adjustRightInd/>
        <w:snapToGrid/>
        <w:spacing w:after="0" w:line="252" w:lineRule="auto"/>
        <w:ind w:left="1865"/>
        <w:jc w:val="left"/>
      </w:pPr>
      <w:r w:rsidRPr="005E0695">
        <w:rPr>
          <w:i/>
          <w:iCs/>
          <w:sz w:val="20"/>
          <w:szCs w:val="20"/>
        </w:rPr>
        <w:t>Note: Case C, D and E are defined in previous agreements</w:t>
      </w:r>
    </w:p>
    <w:p w14:paraId="54570B1A" w14:textId="77777777" w:rsidR="005E0695" w:rsidRDefault="005E0695" w:rsidP="000C3E76"/>
    <w:p w14:paraId="6D54B969" w14:textId="65F9E2CF" w:rsidR="00D341AF" w:rsidRDefault="00D341AF" w:rsidP="000C3E76">
      <w:pPr>
        <w:rPr>
          <w:rFonts w:eastAsia="Yu Mincho"/>
          <w:bCs/>
          <w:iCs/>
          <w:lang w:eastAsia="ja-JP"/>
        </w:rPr>
      </w:pPr>
      <w:r>
        <w:rPr>
          <w:rFonts w:eastAsia="Yu Mincho"/>
          <w:bCs/>
          <w:iCs/>
          <w:lang w:eastAsia="ja-JP"/>
        </w:rPr>
        <w:t xml:space="preserve">In this contribution, we </w:t>
      </w:r>
      <w:r w:rsidR="005E0695">
        <w:rPr>
          <w:rFonts w:eastAsia="Yu Mincho"/>
          <w:bCs/>
          <w:iCs/>
          <w:lang w:eastAsia="ja-JP"/>
        </w:rPr>
        <w:t xml:space="preserve">provide our views </w:t>
      </w:r>
      <w:r w:rsidR="00E17687">
        <w:rPr>
          <w:rFonts w:eastAsia="Yu Mincho"/>
          <w:bCs/>
          <w:iCs/>
          <w:lang w:eastAsia="ja-JP"/>
        </w:rPr>
        <w:t xml:space="preserve">on the agreements </w:t>
      </w:r>
      <w:r w:rsidR="005E0695">
        <w:rPr>
          <w:rFonts w:eastAsia="Yu Mincho"/>
          <w:bCs/>
          <w:iCs/>
          <w:lang w:eastAsia="ja-JP"/>
        </w:rPr>
        <w:t xml:space="preserve">above </w:t>
      </w:r>
      <w:r w:rsidR="00E17687">
        <w:rPr>
          <w:rFonts w:eastAsia="Yu Mincho"/>
          <w:bCs/>
          <w:iCs/>
          <w:lang w:eastAsia="ja-JP"/>
        </w:rPr>
        <w:t xml:space="preserve">including </w:t>
      </w:r>
      <w:r>
        <w:rPr>
          <w:rFonts w:eastAsia="Yu Mincho"/>
          <w:bCs/>
          <w:iCs/>
          <w:lang w:eastAsia="ja-JP"/>
        </w:rPr>
        <w:t xml:space="preserve">additional </w:t>
      </w:r>
      <w:r w:rsidR="005E0695">
        <w:rPr>
          <w:rFonts w:eastAsia="Yu Mincho"/>
          <w:bCs/>
          <w:iCs/>
          <w:lang w:eastAsia="ja-JP"/>
        </w:rPr>
        <w:t>considerations o</w:t>
      </w:r>
      <w:r>
        <w:rPr>
          <w:rFonts w:eastAsia="Yu Mincho"/>
          <w:bCs/>
          <w:iCs/>
          <w:lang w:eastAsia="ja-JP"/>
        </w:rPr>
        <w:t xml:space="preserve">n </w:t>
      </w:r>
      <w:r w:rsidR="005E0695">
        <w:rPr>
          <w:rFonts w:eastAsia="Yu Mincho"/>
          <w:bCs/>
          <w:iCs/>
          <w:lang w:eastAsia="ja-JP"/>
        </w:rPr>
        <w:t xml:space="preserve">some </w:t>
      </w:r>
      <w:r w:rsidR="00E17687">
        <w:rPr>
          <w:rFonts w:eastAsia="Yu Mincho"/>
          <w:bCs/>
          <w:iCs/>
          <w:lang w:eastAsia="ja-JP"/>
        </w:rPr>
        <w:t xml:space="preserve">remaining </w:t>
      </w:r>
      <w:r>
        <w:rPr>
          <w:rFonts w:eastAsia="Yu Mincho"/>
          <w:bCs/>
          <w:iCs/>
          <w:lang w:eastAsia="ja-JP"/>
        </w:rPr>
        <w:t xml:space="preserve">FFSs </w:t>
      </w:r>
      <w:r w:rsidR="005E0695">
        <w:rPr>
          <w:rFonts w:eastAsia="Yu Mincho"/>
          <w:bCs/>
          <w:iCs/>
          <w:lang w:eastAsia="ja-JP"/>
        </w:rPr>
        <w:t xml:space="preserve">from RAN1#106-e. </w:t>
      </w:r>
      <w:r>
        <w:rPr>
          <w:rFonts w:eastAsia="Yu Mincho"/>
          <w:bCs/>
          <w:iCs/>
          <w:lang w:eastAsia="ja-JP"/>
        </w:rPr>
        <w:t xml:space="preserve"> </w:t>
      </w:r>
    </w:p>
    <w:p w14:paraId="24901351" w14:textId="654AA7DE" w:rsidR="007F3F03" w:rsidRDefault="007F3F03" w:rsidP="002847F1"/>
    <w:p w14:paraId="5DB82FBA" w14:textId="77777777" w:rsidR="009C5D9F" w:rsidRDefault="009C5D9F" w:rsidP="009C5D9F">
      <w:pPr>
        <w:pStyle w:val="Heading1"/>
      </w:pPr>
      <w:r>
        <w:t>Discussion</w:t>
      </w:r>
    </w:p>
    <w:p w14:paraId="27519110" w14:textId="13042A37" w:rsidR="000153AB" w:rsidRDefault="00815A5A" w:rsidP="000153AB">
      <w:pPr>
        <w:rPr>
          <w:b/>
          <w:bCs/>
          <w:i/>
          <w:iCs/>
          <w:sz w:val="20"/>
          <w:szCs w:val="20"/>
          <w:lang w:eastAsia="x-none"/>
        </w:rPr>
      </w:pPr>
      <w:r>
        <w:rPr>
          <w:b/>
          <w:bCs/>
          <w:i/>
          <w:iCs/>
          <w:sz w:val="20"/>
          <w:szCs w:val="20"/>
          <w:lang w:eastAsia="x-none"/>
        </w:rPr>
        <w:t>CFR Desi</w:t>
      </w:r>
      <w:r w:rsidR="000153AB">
        <w:rPr>
          <w:b/>
          <w:bCs/>
          <w:i/>
          <w:iCs/>
          <w:sz w:val="20"/>
          <w:szCs w:val="20"/>
          <w:lang w:eastAsia="x-none"/>
        </w:rPr>
        <w:t>gn</w:t>
      </w:r>
    </w:p>
    <w:p w14:paraId="3A9AE38D" w14:textId="57ECB86D" w:rsidR="00E16E07" w:rsidRDefault="00E16E07" w:rsidP="00E16E07">
      <w:r w:rsidRPr="00E16E07">
        <w:rPr>
          <w:lang w:eastAsia="zh-CN"/>
        </w:rPr>
        <w:t xml:space="preserve">A </w:t>
      </w:r>
      <w:r w:rsidR="00DE608A" w:rsidRPr="00E16E07">
        <w:rPr>
          <w:lang w:eastAsia="zh-CN"/>
        </w:rPr>
        <w:t>basic structure</w:t>
      </w:r>
      <w:r w:rsidRPr="00E16E07">
        <w:rPr>
          <w:lang w:eastAsia="zh-CN"/>
        </w:rPr>
        <w:t xml:space="preserve"> </w:t>
      </w:r>
      <w:r w:rsidR="00DE608A" w:rsidRPr="00E16E07">
        <w:rPr>
          <w:lang w:eastAsia="zh-CN"/>
        </w:rPr>
        <w:t>on the CFR for Inactive/Idle UEs</w:t>
      </w:r>
      <w:r w:rsidRPr="00E16E07">
        <w:rPr>
          <w:lang w:eastAsia="zh-CN"/>
        </w:rPr>
        <w:t xml:space="preserve"> has been agreed for broadcast reception</w:t>
      </w:r>
      <w:r w:rsidR="00DE608A" w:rsidRPr="00E16E07">
        <w:rPr>
          <w:lang w:eastAsia="zh-CN"/>
        </w:rPr>
        <w:t xml:space="preserve">. </w:t>
      </w:r>
      <w:r w:rsidR="00701ECB">
        <w:t xml:space="preserve">In </w:t>
      </w:r>
      <w:r w:rsidR="009C5D9F" w:rsidRPr="00FC6B47">
        <w:rPr>
          <w:rFonts w:eastAsia="Yu Mincho"/>
          <w:bCs/>
          <w:lang w:eastAsia="ja-JP"/>
        </w:rPr>
        <w:t>RAN1#103-e</w:t>
      </w:r>
      <w:r w:rsidR="009C5D9F">
        <w:rPr>
          <w:rFonts w:eastAsia="Yu Mincho"/>
          <w:bCs/>
          <w:lang w:eastAsia="ja-JP"/>
        </w:rPr>
        <w:t>,</w:t>
      </w:r>
      <w:r w:rsidR="00701ECB">
        <w:rPr>
          <w:rFonts w:eastAsia="Yu Mincho"/>
          <w:bCs/>
          <w:lang w:eastAsia="ja-JP"/>
        </w:rPr>
        <w:t xml:space="preserve"> it was agreed that</w:t>
      </w:r>
      <w:r w:rsidR="009C5D9F">
        <w:rPr>
          <w:rFonts w:eastAsia="Yu Mincho"/>
          <w:bCs/>
          <w:lang w:eastAsia="ja-JP"/>
        </w:rPr>
        <w:t xml:space="preserve"> o</w:t>
      </w:r>
      <w:r w:rsidRPr="00FC6B47">
        <w:t>ne common frequency resource for group-common PDCCH/PDSCH can be defined/configured</w:t>
      </w:r>
      <w:r w:rsidR="00FC6B47">
        <w:t xml:space="preserve"> and in the absence of configuration, the initial BWP is assumed to be the CFR.</w:t>
      </w:r>
      <w:r w:rsidR="001D3D19">
        <w:t xml:space="preserve"> Since then, there have been extensive discussions on the different ways the CFR can be configured:  </w:t>
      </w:r>
    </w:p>
    <w:p w14:paraId="0903B147" w14:textId="6E94DB57" w:rsidR="001D3D19" w:rsidRDefault="001D3D19" w:rsidP="001D3D19">
      <w:pPr>
        <w:pStyle w:val="ListParagraph"/>
        <w:numPr>
          <w:ilvl w:val="0"/>
          <w:numId w:val="45"/>
        </w:numPr>
      </w:pPr>
      <w:r w:rsidRPr="008D1C4F">
        <w:t>[Case A] A CFR with the same size as the initial BWP, where the initial BWP has the same frequency resources as CORESET0.</w:t>
      </w:r>
    </w:p>
    <w:p w14:paraId="5FAF8F71" w14:textId="105FC728" w:rsidR="001D3D19" w:rsidRDefault="001D3D19" w:rsidP="001D3D19">
      <w:pPr>
        <w:pStyle w:val="ListParagraph"/>
        <w:numPr>
          <w:ilvl w:val="0"/>
          <w:numId w:val="45"/>
        </w:numPr>
      </w:pPr>
      <w:r w:rsidRPr="008D1C4F">
        <w:t>[Case B] A</w:t>
      </w:r>
      <w:r w:rsidRPr="00BE531D">
        <w:t xml:space="preserve"> CFR with smaller size than the initial BWP, where the initial BWP has the same frequency resources as CORESET0.</w:t>
      </w:r>
    </w:p>
    <w:p w14:paraId="45680B51" w14:textId="6FF81E92" w:rsidR="001D3D19" w:rsidRDefault="001D3D19" w:rsidP="001D3D19">
      <w:pPr>
        <w:pStyle w:val="ListParagraph"/>
        <w:numPr>
          <w:ilvl w:val="0"/>
          <w:numId w:val="45"/>
        </w:numPr>
      </w:pPr>
      <w:r w:rsidRPr="008D1C4F">
        <w:t>[Case C] A CFR with same size as the initial BWP, where the initial BWP has the frequency resources configured by SIB1.</w:t>
      </w:r>
    </w:p>
    <w:p w14:paraId="1CB9AA06" w14:textId="3E6E5095" w:rsidR="001D3D19" w:rsidRDefault="001D3D19" w:rsidP="001D3D19">
      <w:pPr>
        <w:pStyle w:val="ListParagraph"/>
        <w:numPr>
          <w:ilvl w:val="0"/>
          <w:numId w:val="45"/>
        </w:numPr>
      </w:pPr>
      <w:r>
        <w:t>[</w:t>
      </w:r>
      <w:r w:rsidRPr="008D1C4F">
        <w:t>Case D] A CFR with smaller size than the initial BWP, where the initial BWP has the frequency resources configured by SIB1.</w:t>
      </w:r>
    </w:p>
    <w:p w14:paraId="29164862" w14:textId="4A95E4A5" w:rsidR="001D3D19" w:rsidRDefault="001D3D19" w:rsidP="001D3D19">
      <w:pPr>
        <w:pStyle w:val="ListParagraph"/>
        <w:numPr>
          <w:ilvl w:val="0"/>
          <w:numId w:val="45"/>
        </w:numPr>
      </w:pPr>
      <w:r w:rsidRPr="008D1C4F">
        <w:t xml:space="preserve">[Case E] </w:t>
      </w:r>
      <w:r>
        <w:t xml:space="preserve">A </w:t>
      </w:r>
      <w:r w:rsidRPr="008D1C4F">
        <w:t>CFR is defined based on a configured BWP.</w:t>
      </w:r>
    </w:p>
    <w:p w14:paraId="0D87EDBE" w14:textId="42940BDC" w:rsidR="001D3D19" w:rsidRDefault="001D3D19" w:rsidP="001D3D19">
      <w:pPr>
        <w:rPr>
          <w:lang w:val="en-GB" w:eastAsia="zh-CN"/>
        </w:rPr>
      </w:pPr>
      <w:r>
        <w:rPr>
          <w:lang w:eastAsia="x-none"/>
        </w:rPr>
        <w:t xml:space="preserve">As an example </w:t>
      </w:r>
      <w:r w:rsidRPr="001311D0">
        <w:rPr>
          <w:lang w:eastAsia="x-none"/>
        </w:rPr>
        <w:t xml:space="preserve">[2], </w:t>
      </w:r>
      <w:r>
        <w:rPr>
          <w:lang w:eastAsia="x-none"/>
        </w:rPr>
        <w:t xml:space="preserve">assuming a </w:t>
      </w:r>
      <w:r>
        <w:rPr>
          <w:lang w:val="en-GB" w:eastAsia="zh-CN"/>
        </w:rPr>
        <w:t>carrier with 100MHz carrier bandwidth, CORESET#0=20MHz, and SIB1 configured initial DL BWP=50MHz, the different cases would lead to the following:</w:t>
      </w:r>
    </w:p>
    <w:p w14:paraId="32B842BA" w14:textId="2204278D" w:rsidR="001D3D19" w:rsidRDefault="001D3D19" w:rsidP="001D3D19">
      <w:pPr>
        <w:pStyle w:val="ListParagraph"/>
        <w:numPr>
          <w:ilvl w:val="0"/>
          <w:numId w:val="44"/>
        </w:numPr>
        <w:rPr>
          <w:lang w:val="en-GB" w:eastAsia="zh-CN"/>
        </w:rPr>
      </w:pPr>
      <w:r>
        <w:rPr>
          <w:lang w:val="en-GB" w:eastAsia="zh-CN"/>
        </w:rPr>
        <w:t>Case A: T</w:t>
      </w:r>
      <w:r w:rsidRPr="00F62473">
        <w:rPr>
          <w:lang w:val="en-GB" w:eastAsia="zh-CN"/>
        </w:rPr>
        <w:t xml:space="preserve">he CFR size always must be 20MHz </w:t>
      </w:r>
    </w:p>
    <w:p w14:paraId="1A2979BE" w14:textId="0C61FAD9" w:rsidR="001B5E69" w:rsidRDefault="001B5E69" w:rsidP="001B5E69">
      <w:pPr>
        <w:pStyle w:val="ListParagraph"/>
        <w:numPr>
          <w:ilvl w:val="0"/>
          <w:numId w:val="44"/>
        </w:numPr>
        <w:rPr>
          <w:lang w:val="en-GB" w:eastAsia="zh-CN"/>
        </w:rPr>
      </w:pPr>
      <w:r>
        <w:rPr>
          <w:lang w:val="en-GB" w:eastAsia="zh-CN"/>
        </w:rPr>
        <w:t>Case B: T</w:t>
      </w:r>
      <w:r w:rsidRPr="00F62473">
        <w:rPr>
          <w:lang w:val="en-GB" w:eastAsia="zh-CN"/>
        </w:rPr>
        <w:t xml:space="preserve">he CFR size </w:t>
      </w:r>
      <w:r>
        <w:rPr>
          <w:lang w:val="en-GB" w:eastAsia="zh-CN"/>
        </w:rPr>
        <w:t xml:space="preserve">would be smaller than </w:t>
      </w:r>
      <w:r w:rsidRPr="00F62473">
        <w:rPr>
          <w:lang w:val="en-GB" w:eastAsia="zh-CN"/>
        </w:rPr>
        <w:t xml:space="preserve">20MHz </w:t>
      </w:r>
    </w:p>
    <w:p w14:paraId="61E4B5F5" w14:textId="77777777" w:rsidR="001D3D19" w:rsidRDefault="001D3D19" w:rsidP="001D3D19">
      <w:pPr>
        <w:pStyle w:val="ListParagraph"/>
        <w:numPr>
          <w:ilvl w:val="0"/>
          <w:numId w:val="44"/>
        </w:numPr>
        <w:rPr>
          <w:lang w:val="en-GB" w:eastAsia="zh-CN"/>
        </w:rPr>
      </w:pPr>
      <w:r>
        <w:rPr>
          <w:lang w:val="en-GB" w:eastAsia="zh-CN"/>
        </w:rPr>
        <w:t xml:space="preserve">Case C: The CFR is of </w:t>
      </w:r>
      <w:r w:rsidRPr="00F62473">
        <w:rPr>
          <w:lang w:val="en-GB" w:eastAsia="zh-CN"/>
        </w:rPr>
        <w:t>50MHz</w:t>
      </w:r>
    </w:p>
    <w:p w14:paraId="1E25506C" w14:textId="77777777" w:rsidR="001D3D19" w:rsidRDefault="001D3D19" w:rsidP="001D3D19">
      <w:pPr>
        <w:pStyle w:val="ListParagraph"/>
        <w:numPr>
          <w:ilvl w:val="0"/>
          <w:numId w:val="44"/>
        </w:numPr>
        <w:rPr>
          <w:lang w:val="en-GB" w:eastAsia="zh-CN"/>
        </w:rPr>
      </w:pPr>
      <w:r>
        <w:rPr>
          <w:lang w:val="en-GB" w:eastAsia="zh-CN"/>
        </w:rPr>
        <w:t xml:space="preserve">Case D: The CFR </w:t>
      </w:r>
      <w:r w:rsidRPr="00F62473">
        <w:rPr>
          <w:lang w:val="en-GB" w:eastAsia="zh-CN"/>
        </w:rPr>
        <w:t xml:space="preserve">can be </w:t>
      </w:r>
      <w:r>
        <w:rPr>
          <w:lang w:val="en-GB" w:eastAsia="zh-CN"/>
        </w:rPr>
        <w:t xml:space="preserve">of </w:t>
      </w:r>
      <w:r w:rsidRPr="00F62473">
        <w:rPr>
          <w:lang w:val="en-GB" w:eastAsia="zh-CN"/>
        </w:rPr>
        <w:t xml:space="preserve">other sizes, e.g., 40MHz </w:t>
      </w:r>
    </w:p>
    <w:p w14:paraId="188AFF9A" w14:textId="77777777" w:rsidR="001D3D19" w:rsidRPr="000057E0" w:rsidRDefault="001D3D19" w:rsidP="001D3D19">
      <w:pPr>
        <w:pStyle w:val="ListParagraph"/>
        <w:numPr>
          <w:ilvl w:val="0"/>
          <w:numId w:val="44"/>
        </w:numPr>
        <w:rPr>
          <w:lang w:val="en-GB" w:eastAsia="zh-CN"/>
        </w:rPr>
      </w:pPr>
      <w:r>
        <w:rPr>
          <w:lang w:val="en-GB" w:eastAsia="zh-CN"/>
        </w:rPr>
        <w:t xml:space="preserve">Case E: The CFR </w:t>
      </w:r>
      <w:r w:rsidRPr="00F62473">
        <w:rPr>
          <w:lang w:val="en-GB" w:eastAsia="zh-CN"/>
        </w:rPr>
        <w:t xml:space="preserve">can be </w:t>
      </w:r>
      <w:r>
        <w:rPr>
          <w:lang w:val="en-GB" w:eastAsia="zh-CN"/>
        </w:rPr>
        <w:t xml:space="preserve">of </w:t>
      </w:r>
      <w:r w:rsidRPr="00F62473">
        <w:rPr>
          <w:lang w:val="en-GB" w:eastAsia="zh-CN"/>
        </w:rPr>
        <w:t xml:space="preserve">other sizes, e.g., </w:t>
      </w:r>
      <w:r>
        <w:rPr>
          <w:lang w:val="en-GB" w:eastAsia="zh-CN"/>
        </w:rPr>
        <w:t>10</w:t>
      </w:r>
      <w:r w:rsidRPr="00F62473">
        <w:rPr>
          <w:lang w:val="en-GB" w:eastAsia="zh-CN"/>
        </w:rPr>
        <w:t>0MHz</w:t>
      </w:r>
    </w:p>
    <w:p w14:paraId="42E95C54" w14:textId="26CF886F" w:rsidR="001D3D19" w:rsidRDefault="005A2543" w:rsidP="00E16E07">
      <w:r>
        <w:t xml:space="preserve">These different cases are a result of past agreements establishing the framework on which these cases are built on: </w:t>
      </w:r>
    </w:p>
    <w:p w14:paraId="21AB86A8" w14:textId="77777777" w:rsidR="009C5D9F" w:rsidRPr="007509B6" w:rsidRDefault="009C5D9F" w:rsidP="009C5D9F">
      <w:pPr>
        <w:spacing w:line="252" w:lineRule="auto"/>
        <w:ind w:left="360"/>
        <w:rPr>
          <w:i/>
          <w:iCs/>
          <w:sz w:val="20"/>
          <w:szCs w:val="18"/>
          <w:lang w:val="en-GB"/>
        </w:rPr>
      </w:pPr>
      <w:r w:rsidRPr="0009470B">
        <w:rPr>
          <w:i/>
          <w:iCs/>
          <w:sz w:val="20"/>
          <w:szCs w:val="18"/>
          <w:highlight w:val="green"/>
          <w:lang w:val="en-GB"/>
        </w:rPr>
        <w:lastRenderedPageBreak/>
        <w:t>Agreements</w:t>
      </w:r>
      <w:r w:rsidRPr="0009470B">
        <w:rPr>
          <w:i/>
          <w:iCs/>
          <w:sz w:val="20"/>
          <w:szCs w:val="18"/>
          <w:lang w:val="en-GB"/>
        </w:rPr>
        <w:t>:</w:t>
      </w:r>
      <w:r w:rsidRPr="007509B6">
        <w:rPr>
          <w:b/>
          <w:bCs/>
          <w:i/>
          <w:iCs/>
          <w:sz w:val="20"/>
          <w:szCs w:val="18"/>
          <w:lang w:val="en-GB"/>
        </w:rPr>
        <w:t xml:space="preserve"> </w:t>
      </w:r>
      <w:r w:rsidRPr="007509B6">
        <w:rPr>
          <w:i/>
          <w:iCs/>
          <w:sz w:val="20"/>
          <w:szCs w:val="18"/>
          <w:lang w:val="en-GB"/>
        </w:rPr>
        <w:t xml:space="preserve">For </w:t>
      </w:r>
      <w:r>
        <w:rPr>
          <w:i/>
          <w:iCs/>
          <w:sz w:val="20"/>
          <w:szCs w:val="18"/>
          <w:lang w:val="en-GB"/>
        </w:rPr>
        <w:t>IDLE/INACTIVE</w:t>
      </w:r>
      <w:r w:rsidRPr="007509B6">
        <w:rPr>
          <w:i/>
          <w:iCs/>
          <w:sz w:val="20"/>
          <w:szCs w:val="18"/>
          <w:lang w:val="en-GB"/>
        </w:rPr>
        <w:t xml:space="preserve"> UEs, define/configure common frequency resource(s) for </w:t>
      </w:r>
      <w:proofErr w:type="gramStart"/>
      <w:r w:rsidRPr="007509B6">
        <w:rPr>
          <w:i/>
          <w:iCs/>
          <w:sz w:val="20"/>
          <w:szCs w:val="18"/>
          <w:lang w:val="en-GB"/>
        </w:rPr>
        <w:t>group-common</w:t>
      </w:r>
      <w:proofErr w:type="gramEnd"/>
      <w:r w:rsidRPr="007509B6">
        <w:rPr>
          <w:i/>
          <w:iCs/>
          <w:sz w:val="20"/>
          <w:szCs w:val="18"/>
          <w:lang w:val="en-GB"/>
        </w:rPr>
        <w:t xml:space="preserve"> PDCCH/PDSCH.</w:t>
      </w:r>
    </w:p>
    <w:p w14:paraId="4C59A55D"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 xml:space="preserve">the UE may assume the initial BWP as the default common frequency resource for group-common PDCCH/PDSCH, if a </w:t>
      </w:r>
      <w:r w:rsidRPr="007509B6">
        <w:rPr>
          <w:i/>
          <w:iCs/>
          <w:sz w:val="20"/>
          <w:szCs w:val="18"/>
        </w:rPr>
        <w:t xml:space="preserve">specific </w:t>
      </w:r>
      <w:r w:rsidRPr="007509B6">
        <w:rPr>
          <w:i/>
          <w:iCs/>
          <w:sz w:val="20"/>
          <w:szCs w:val="18"/>
          <w:lang w:val="en-GB"/>
        </w:rPr>
        <w:t>common frequency resource</w:t>
      </w:r>
      <w:r w:rsidRPr="007509B6">
        <w:rPr>
          <w:i/>
          <w:iCs/>
          <w:sz w:val="20"/>
          <w:szCs w:val="18"/>
        </w:rPr>
        <w:t xml:space="preserve"> is not configured.</w:t>
      </w:r>
    </w:p>
    <w:p w14:paraId="2629B275"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ko-KR"/>
        </w:rPr>
        <w:t xml:space="preserve">FFS: </w:t>
      </w:r>
      <w:r w:rsidRPr="007509B6">
        <w:rPr>
          <w:i/>
          <w:iCs/>
          <w:sz w:val="20"/>
          <w:szCs w:val="18"/>
          <w:lang w:val="en-GB"/>
        </w:rPr>
        <w:t>the relation of the common frequency resource(s) (if configured) and initial BWP.</w:t>
      </w:r>
    </w:p>
    <w:p w14:paraId="28B00BE5"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eastAsia="ko-KR"/>
        </w:rPr>
      </w:pPr>
      <w:r w:rsidRPr="007509B6">
        <w:rPr>
          <w:i/>
          <w:iCs/>
          <w:sz w:val="20"/>
          <w:szCs w:val="18"/>
          <w:lang w:val="en-GB" w:eastAsia="ko-KR"/>
        </w:rPr>
        <w:t>FFS: whether to configure one/more common frequency resources</w:t>
      </w:r>
    </w:p>
    <w:p w14:paraId="04C51E6C"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FFS: configuration and definition details of the common frequency resource</w:t>
      </w:r>
    </w:p>
    <w:p w14:paraId="705D60B6" w14:textId="77777777" w:rsidR="009C5D9F" w:rsidRDefault="009C5D9F" w:rsidP="00E52113">
      <w:pPr>
        <w:rPr>
          <w:lang w:eastAsia="x-none"/>
        </w:rPr>
      </w:pPr>
    </w:p>
    <w:p w14:paraId="0F8270D6" w14:textId="2A0D2F3F" w:rsidR="009C5D9F" w:rsidRDefault="009C5D9F" w:rsidP="00E5340C">
      <w:pPr>
        <w:rPr>
          <w:lang w:eastAsia="x-none"/>
        </w:rPr>
      </w:pPr>
      <w:r>
        <w:rPr>
          <w:lang w:eastAsia="x-none"/>
        </w:rPr>
        <w:t>In RAN1#105-e:</w:t>
      </w:r>
    </w:p>
    <w:p w14:paraId="029E16B9" w14:textId="77777777" w:rsidR="009C5D9F" w:rsidRPr="007F3F03" w:rsidRDefault="009C5D9F" w:rsidP="009C5D9F">
      <w:pPr>
        <w:ind w:left="425"/>
        <w:rPr>
          <w:i/>
          <w:iCs/>
          <w:sz w:val="20"/>
          <w:szCs w:val="20"/>
        </w:rPr>
      </w:pPr>
      <w:r w:rsidRPr="007F3F03">
        <w:rPr>
          <w:i/>
          <w:iCs/>
          <w:sz w:val="20"/>
          <w:szCs w:val="20"/>
          <w:highlight w:val="green"/>
        </w:rPr>
        <w:t>Agreement:</w:t>
      </w:r>
    </w:p>
    <w:p w14:paraId="05DA6FC8" w14:textId="77777777" w:rsidR="009C5D9F" w:rsidRPr="007F3F03" w:rsidRDefault="009C5D9F" w:rsidP="009C5D9F">
      <w:pPr>
        <w:ind w:left="425"/>
        <w:rPr>
          <w:i/>
          <w:iCs/>
          <w:sz w:val="20"/>
          <w:szCs w:val="20"/>
        </w:rPr>
      </w:pPr>
      <w:r w:rsidRPr="007F3F03">
        <w:rPr>
          <w:i/>
          <w:iCs/>
          <w:sz w:val="20"/>
          <w:szCs w:val="20"/>
          <w:lang w:eastAsia="x-none"/>
        </w:rPr>
        <w:t xml:space="preserve">For RRC_IDLE/RRC_INACTIVE UEs, for broadcast reception, </w:t>
      </w:r>
      <w:r w:rsidRPr="007F3F03">
        <w:rPr>
          <w:i/>
          <w:iCs/>
          <w:sz w:val="20"/>
          <w:szCs w:val="20"/>
        </w:rPr>
        <w:t>both searchSpace#0 and common search space other than searchSpace#0 can be configured for GC-PDCCH scheduling MCCH.</w:t>
      </w:r>
    </w:p>
    <w:p w14:paraId="793B102D" w14:textId="77777777" w:rsidR="009C5D9F" w:rsidRPr="007F3F03" w:rsidRDefault="009C5D9F" w:rsidP="009C5D9F">
      <w:pPr>
        <w:ind w:left="425"/>
        <w:rPr>
          <w:i/>
          <w:iCs/>
          <w:sz w:val="20"/>
          <w:szCs w:val="18"/>
        </w:rPr>
      </w:pPr>
      <w:r w:rsidRPr="007F3F03">
        <w:rPr>
          <w:i/>
          <w:iCs/>
          <w:sz w:val="20"/>
          <w:szCs w:val="18"/>
          <w:highlight w:val="green"/>
        </w:rPr>
        <w:t>Agreement:</w:t>
      </w:r>
    </w:p>
    <w:p w14:paraId="69E88675" w14:textId="77777777" w:rsidR="009C5D9F" w:rsidRPr="007F3F03" w:rsidRDefault="009C5D9F" w:rsidP="009C5D9F">
      <w:pPr>
        <w:ind w:left="425"/>
        <w:rPr>
          <w:i/>
          <w:iCs/>
          <w:sz w:val="20"/>
          <w:szCs w:val="18"/>
          <w:lang w:eastAsia="x-none"/>
        </w:rPr>
      </w:pPr>
      <w:r w:rsidRPr="007F3F03">
        <w:rPr>
          <w:i/>
          <w:iCs/>
          <w:sz w:val="20"/>
          <w:szCs w:val="18"/>
        </w:rPr>
        <w:t>For broadcast</w:t>
      </w:r>
      <w:r w:rsidRPr="007F3F03">
        <w:rPr>
          <w:i/>
          <w:iCs/>
          <w:sz w:val="20"/>
          <w:szCs w:val="18"/>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187B16F0" w14:textId="77777777" w:rsidR="009C5D9F" w:rsidRPr="007F3F03" w:rsidRDefault="009C5D9F" w:rsidP="009C5D9F">
      <w:pPr>
        <w:pStyle w:val="ListParagraph"/>
        <w:numPr>
          <w:ilvl w:val="0"/>
          <w:numId w:val="39"/>
        </w:numPr>
        <w:overflowPunct w:val="0"/>
        <w:autoSpaceDE w:val="0"/>
        <w:autoSpaceDN w:val="0"/>
        <w:adjustRightInd w:val="0"/>
        <w:spacing w:after="120" w:line="240" w:lineRule="auto"/>
        <w:ind w:left="1145"/>
        <w:contextualSpacing w:val="0"/>
        <w:textAlignment w:val="baseline"/>
        <w:rPr>
          <w:b/>
          <w:bCs/>
          <w:i/>
          <w:iCs/>
          <w:sz w:val="20"/>
          <w:szCs w:val="18"/>
        </w:rPr>
      </w:pPr>
      <w:r w:rsidRPr="007F3F03">
        <w:rPr>
          <w:rFonts w:eastAsia="SimSun"/>
          <w:i/>
          <w:iCs/>
          <w:sz w:val="20"/>
          <w:szCs w:val="18"/>
          <w:lang w:eastAsia="zh-CN"/>
        </w:rPr>
        <w:t>Note: GC-PDCCH/PDSCH transmission within a narrower portion of the Initial BWP (</w:t>
      </w:r>
      <w:r w:rsidRPr="007F3F03">
        <w:rPr>
          <w:rFonts w:eastAsia="SimSun"/>
          <w:i/>
          <w:iCs/>
          <w:sz w:val="20"/>
          <w:szCs w:val="18"/>
        </w:rPr>
        <w:t>where the initial BWP has the same frequency resources as CORESET0</w:t>
      </w:r>
      <w:r w:rsidRPr="007F3F03">
        <w:rPr>
          <w:rFonts w:eastAsia="SimSun"/>
          <w:i/>
          <w:iCs/>
          <w:sz w:val="20"/>
          <w:szCs w:val="18"/>
          <w:lang w:eastAsia="zh-CN"/>
        </w:rPr>
        <w:t>) is possible by implementation via appropriate scheduling.</w:t>
      </w:r>
    </w:p>
    <w:p w14:paraId="5DDA203D" w14:textId="288281FD" w:rsidR="008A6C5A" w:rsidRDefault="005A2543" w:rsidP="00E5340C">
      <w:r>
        <w:rPr>
          <w:lang w:eastAsia="x-none"/>
        </w:rPr>
        <w:t xml:space="preserve">Note that </w:t>
      </w:r>
      <w:r w:rsidR="00E5340C" w:rsidRPr="001311D0">
        <w:rPr>
          <w:lang w:eastAsia="x-none"/>
        </w:rPr>
        <w:t xml:space="preserve">we </w:t>
      </w:r>
      <w:r w:rsidR="001311D0">
        <w:rPr>
          <w:lang w:eastAsia="x-none"/>
        </w:rPr>
        <w:t xml:space="preserve">have </w:t>
      </w:r>
      <w:r>
        <w:rPr>
          <w:lang w:eastAsia="x-none"/>
        </w:rPr>
        <w:t>agreed that</w:t>
      </w:r>
      <w:r w:rsidR="00E5340C" w:rsidRPr="00D534B6">
        <w:rPr>
          <w:lang w:eastAsia="x-none"/>
        </w:rPr>
        <w:t xml:space="preserve"> </w:t>
      </w:r>
      <w:r w:rsidR="001311D0" w:rsidRPr="00D534B6">
        <w:rPr>
          <w:lang w:eastAsia="x-none"/>
        </w:rPr>
        <w:t xml:space="preserve">for the Connected UEs a </w:t>
      </w:r>
      <w:r w:rsidR="00E5340C" w:rsidRPr="00D534B6">
        <w:t>CFR that is configurable with the starting PRB and the number of PRBs within the unicast BWP in a straightforward manner through SIB. Additional configuration using RRC can also be considered, and it is up to network implementation whether to</w:t>
      </w:r>
      <w:r w:rsidR="00E5340C">
        <w:t xml:space="preserve"> send additional signaling when such cases arise. </w:t>
      </w:r>
    </w:p>
    <w:p w14:paraId="7E93CC3E" w14:textId="77777777" w:rsidR="005A2543" w:rsidRDefault="00E5340C" w:rsidP="00E5340C">
      <w:r>
        <w:t xml:space="preserve">The same approach </w:t>
      </w:r>
      <w:r w:rsidR="001311D0">
        <w:t xml:space="preserve">can be applied </w:t>
      </w:r>
      <w:r>
        <w:t xml:space="preserve">for the CFR configuration </w:t>
      </w:r>
      <w:r w:rsidR="001311D0">
        <w:t xml:space="preserve">of </w:t>
      </w:r>
      <w:r>
        <w:t xml:space="preserve">UEs in the </w:t>
      </w:r>
      <w:r w:rsidR="001311D0">
        <w:t>Idle/Inactive</w:t>
      </w:r>
      <w:r>
        <w:t xml:space="preserve"> state via SI</w:t>
      </w:r>
      <w:r w:rsidR="00A93AA6">
        <w:t xml:space="preserve">B. </w:t>
      </w:r>
      <w:r>
        <w:t xml:space="preserve"> This allows </w:t>
      </w:r>
      <w:r w:rsidR="001311D0">
        <w:t xml:space="preserve">the </w:t>
      </w:r>
      <w:r w:rsidRPr="00B01186">
        <w:t>UE</w:t>
      </w:r>
      <w:r>
        <w:t xml:space="preserve">s in the </w:t>
      </w:r>
      <w:r w:rsidR="001311D0">
        <w:t xml:space="preserve">Idle/Inactive </w:t>
      </w:r>
      <w:r>
        <w:t xml:space="preserve">state to obtain the MBS configuration without </w:t>
      </w:r>
      <w:r w:rsidR="001311D0">
        <w:t xml:space="preserve">the need to transition to the Connected </w:t>
      </w:r>
      <w:r>
        <w:t xml:space="preserve">RRC state. </w:t>
      </w:r>
      <w:r w:rsidR="001E2093">
        <w:t xml:space="preserve">Furthermore, the </w:t>
      </w:r>
      <w:r w:rsidR="001311D0">
        <w:t xml:space="preserve">UE </w:t>
      </w:r>
      <w:r w:rsidR="001E2093">
        <w:t xml:space="preserve">minimum bandwidth </w:t>
      </w:r>
      <w:r w:rsidR="001311D0">
        <w:t xml:space="preserve">based on the </w:t>
      </w:r>
      <w:r w:rsidR="001E2093">
        <w:t>initial BWP</w:t>
      </w:r>
      <w:r w:rsidR="001311D0">
        <w:t xml:space="preserve"> </w:t>
      </w:r>
      <w:r w:rsidR="00DC547E">
        <w:t xml:space="preserve">means </w:t>
      </w:r>
      <w:r w:rsidR="001311D0">
        <w:t>all UEs are capable to receive these MBS configurations in Idle/Inactive states</w:t>
      </w:r>
      <w:r w:rsidR="005A2543">
        <w:t xml:space="preserve"> (Case C)</w:t>
      </w:r>
      <w:r w:rsidR="001311D0">
        <w:t xml:space="preserve">. The same approach was adopted during the </w:t>
      </w:r>
      <w:r w:rsidR="001E2093">
        <w:t>design of CORESET0</w:t>
      </w:r>
      <w:r w:rsidR="005A2543">
        <w:t>, given by Case B.</w:t>
      </w:r>
    </w:p>
    <w:p w14:paraId="71851362" w14:textId="46CBB4EA" w:rsidR="00E5340C" w:rsidRPr="001E2093" w:rsidRDefault="001311D0" w:rsidP="00E5340C">
      <w:r>
        <w:rPr>
          <w:lang w:eastAsia="x-none"/>
        </w:rPr>
        <w:t xml:space="preserve">The </w:t>
      </w:r>
      <w:r w:rsidR="00E5340C" w:rsidRPr="001E2093">
        <w:rPr>
          <w:lang w:eastAsia="x-none"/>
        </w:rPr>
        <w:t xml:space="preserve">approach </w:t>
      </w:r>
      <w:r>
        <w:rPr>
          <w:lang w:eastAsia="x-none"/>
        </w:rPr>
        <w:t xml:space="preserve">described above would be </w:t>
      </w:r>
      <w:r w:rsidR="00E5340C" w:rsidRPr="001E2093">
        <w:rPr>
          <w:lang w:eastAsia="x-none"/>
        </w:rPr>
        <w:t xml:space="preserve">consistent with the </w:t>
      </w:r>
      <w:r w:rsidR="00E5340C" w:rsidRPr="001E2093">
        <w:t>case where the initial BWP fully contains the CFR in the frequency domain.</w:t>
      </w:r>
      <w:r w:rsidR="001E2093" w:rsidRPr="001E2093">
        <w:t xml:space="preserve"> </w:t>
      </w:r>
      <w:r>
        <w:t xml:space="preserve">Even with </w:t>
      </w:r>
      <w:r w:rsidR="001E2093" w:rsidRPr="001E2093">
        <w:t xml:space="preserve">such </w:t>
      </w:r>
      <w:r>
        <w:t>an approach</w:t>
      </w:r>
      <w:r w:rsidR="001E2093" w:rsidRPr="001E2093">
        <w:t xml:space="preserve">, we have </w:t>
      </w:r>
      <w:r>
        <w:t xml:space="preserve">identified </w:t>
      </w:r>
      <w:r w:rsidR="001E2093" w:rsidRPr="001E2093">
        <w:t xml:space="preserve">two possible </w:t>
      </w:r>
      <w:r>
        <w:t>scenarios during our discussion in RAN1#104e</w:t>
      </w:r>
      <w:r w:rsidR="001E2093" w:rsidRPr="001E2093">
        <w:t>:</w:t>
      </w:r>
    </w:p>
    <w:p w14:paraId="1CCB7931"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44F4FF74"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t>[Case D] A CFR with smaller size than the initial BWP, where the initial BWP has the frequency resources configured by SIB1. In this case the CFR has the frequency resources confined within the initial BWP and have the same SCS and CP as the initial BWP.</w:t>
      </w:r>
    </w:p>
    <w:p w14:paraId="67CA952E" w14:textId="77777777" w:rsidR="001E2093" w:rsidRDefault="001E2093" w:rsidP="00E16E07">
      <w:pPr>
        <w:rPr>
          <w:lang w:eastAsia="x-none"/>
        </w:rPr>
      </w:pPr>
    </w:p>
    <w:p w14:paraId="38355831" w14:textId="38E27805" w:rsidR="00E5340C" w:rsidRDefault="005074A5" w:rsidP="00E16E07">
      <w:pPr>
        <w:rPr>
          <w:lang w:eastAsia="x-none"/>
        </w:rPr>
      </w:pPr>
      <w:r>
        <w:rPr>
          <w:lang w:eastAsia="x-none"/>
        </w:rPr>
        <w:t xml:space="preserve">Similar to the design considerations applied to </w:t>
      </w:r>
      <w:r w:rsidR="001311D0">
        <w:rPr>
          <w:lang w:eastAsia="x-none"/>
        </w:rPr>
        <w:t>CORESET0</w:t>
      </w:r>
      <w:r>
        <w:rPr>
          <w:lang w:eastAsia="x-none"/>
        </w:rPr>
        <w:t xml:space="preserve"> where its </w:t>
      </w:r>
      <w:r w:rsidR="001311D0">
        <w:rPr>
          <w:lang w:eastAsia="x-none"/>
        </w:rPr>
        <w:t xml:space="preserve">frequency resources </w:t>
      </w:r>
      <w:r w:rsidR="00DC547E">
        <w:rPr>
          <w:lang w:eastAsia="x-none"/>
        </w:rPr>
        <w:t xml:space="preserve">are </w:t>
      </w:r>
      <w:r w:rsidR="001311D0">
        <w:rPr>
          <w:lang w:eastAsia="x-none"/>
        </w:rPr>
        <w:t>not mandated to be the same frequency resources as the UE minimum bandwidth (initial BWP)</w:t>
      </w:r>
      <w:r>
        <w:rPr>
          <w:lang w:eastAsia="x-none"/>
        </w:rPr>
        <w:t xml:space="preserve">, </w:t>
      </w:r>
      <w:r w:rsidR="001E2093">
        <w:rPr>
          <w:lang w:eastAsia="x-none"/>
        </w:rPr>
        <w:t>Case D, configuration through SIB</w:t>
      </w:r>
      <w:r w:rsidR="004A7C99">
        <w:rPr>
          <w:lang w:eastAsia="x-none"/>
        </w:rPr>
        <w:t xml:space="preserve">1 </w:t>
      </w:r>
      <w:r w:rsidR="001E2093">
        <w:rPr>
          <w:lang w:eastAsia="x-none"/>
        </w:rPr>
        <w:t xml:space="preserve">provides the flexibility in terms of the frequency resources </w:t>
      </w:r>
      <w:r>
        <w:rPr>
          <w:lang w:eastAsia="x-none"/>
        </w:rPr>
        <w:t xml:space="preserve">since the configured </w:t>
      </w:r>
      <w:r w:rsidR="001E2093">
        <w:rPr>
          <w:lang w:eastAsia="x-none"/>
        </w:rPr>
        <w:t>CFR</w:t>
      </w:r>
      <w:r>
        <w:rPr>
          <w:lang w:eastAsia="x-none"/>
        </w:rPr>
        <w:t xml:space="preserve"> </w:t>
      </w:r>
      <w:r w:rsidR="001E2093">
        <w:rPr>
          <w:lang w:eastAsia="x-none"/>
        </w:rPr>
        <w:t xml:space="preserve">need </w:t>
      </w:r>
      <w:r>
        <w:rPr>
          <w:lang w:eastAsia="x-none"/>
        </w:rPr>
        <w:t xml:space="preserve">not </w:t>
      </w:r>
      <w:r w:rsidR="001E2093">
        <w:rPr>
          <w:lang w:eastAsia="x-none"/>
        </w:rPr>
        <w:t xml:space="preserve">to be of the same size as CORESET0. </w:t>
      </w:r>
      <w:r w:rsidR="00AF4C25">
        <w:rPr>
          <w:lang w:eastAsia="x-none"/>
        </w:rPr>
        <w:t>Note that it has been agreed that Case B has been excluded due to its limited applicability.</w:t>
      </w:r>
    </w:p>
    <w:p w14:paraId="58833D10" w14:textId="232DB24C" w:rsidR="001E2093" w:rsidRDefault="001E2093" w:rsidP="001E2093">
      <w:pPr>
        <w:ind w:firstLine="425"/>
      </w:pPr>
      <w:bookmarkStart w:id="3" w:name="_Hlk82695921"/>
      <w:r w:rsidRPr="001E2093">
        <w:rPr>
          <w:b/>
          <w:bCs/>
          <w:i/>
          <w:iCs/>
          <w:lang w:eastAsia="x-none"/>
        </w:rPr>
        <w:t>Proposal 1</w:t>
      </w:r>
      <w:r>
        <w:rPr>
          <w:lang w:eastAsia="x-none"/>
        </w:rPr>
        <w:t xml:space="preserve">: </w:t>
      </w:r>
      <w:r w:rsidRPr="00614D1A">
        <w:t xml:space="preserve">For </w:t>
      </w:r>
      <w:r w:rsidR="009F7044">
        <w:t>Idle/Inactive U</w:t>
      </w:r>
      <w:r w:rsidRPr="00614D1A">
        <w:t>Es</w:t>
      </w:r>
      <w:r w:rsidR="00A00F79">
        <w:t xml:space="preserve"> </w:t>
      </w:r>
      <w:r w:rsidRPr="00614D1A">
        <w:t xml:space="preserve">broadcast reception, the common frequency resource (CFR) for group-common PDCCH/PDSCH </w:t>
      </w:r>
      <w:r w:rsidR="00A00F79">
        <w:t xml:space="preserve">is </w:t>
      </w:r>
      <w:r w:rsidR="00614D1A" w:rsidRPr="00614D1A">
        <w:t xml:space="preserve">fully contained within the initial BWP </w:t>
      </w:r>
      <w:r w:rsidR="00A00F79">
        <w:t xml:space="preserve">and </w:t>
      </w:r>
      <w:r w:rsidR="00614D1A" w:rsidRPr="00614D1A">
        <w:t>is configured by SIB.  Furthermore, the frequency resources for the CFR does not need to be equal to CORESET0 (</w:t>
      </w:r>
      <w:r w:rsidRPr="00614D1A">
        <w:t>Case D</w:t>
      </w:r>
      <w:r w:rsidR="00614D1A" w:rsidRPr="00614D1A">
        <w:t>)</w:t>
      </w:r>
      <w:r w:rsidRPr="00614D1A">
        <w:t>.</w:t>
      </w:r>
    </w:p>
    <w:bookmarkEnd w:id="3"/>
    <w:p w14:paraId="3973013D" w14:textId="77777777" w:rsidR="009F7044" w:rsidRDefault="009F7044" w:rsidP="000153AB">
      <w:pPr>
        <w:rPr>
          <w:lang w:eastAsia="zh-CN"/>
        </w:rPr>
      </w:pPr>
    </w:p>
    <w:p w14:paraId="6E0FF629" w14:textId="75636D24" w:rsidR="00634F04" w:rsidRDefault="00634F04" w:rsidP="00087F03">
      <w:pPr>
        <w:rPr>
          <w:color w:val="000000" w:themeColor="text1"/>
          <w:lang w:val="en-GB" w:eastAsia="zh-CN"/>
        </w:rPr>
      </w:pPr>
      <w:r>
        <w:rPr>
          <w:color w:val="000000" w:themeColor="text1"/>
          <w:lang w:val="en-GB" w:eastAsia="zh-CN"/>
        </w:rPr>
        <w:t xml:space="preserve">From a network operation flexibility point of view, support of both Case D and E would be preferred. However, Case E would result in a CFR that is not bounded in any way since it is entirely based on a </w:t>
      </w:r>
      <w:r>
        <w:rPr>
          <w:color w:val="000000" w:themeColor="text1"/>
          <w:lang w:val="en-GB" w:eastAsia="zh-CN"/>
        </w:rPr>
        <w:lastRenderedPageBreak/>
        <w:t>configured BWP. In a SFN operation, having a bound on the frequency region for the reception of broadcast for UE in idle/inactive states would ensure accessibility and uniformity of services,</w:t>
      </w:r>
    </w:p>
    <w:p w14:paraId="025EEDCD" w14:textId="0ED57E5C" w:rsidR="00634F04" w:rsidRDefault="00634F04" w:rsidP="00087F03">
      <w:pPr>
        <w:rPr>
          <w:color w:val="000000" w:themeColor="text1"/>
          <w:lang w:val="en-GB" w:eastAsia="zh-CN"/>
        </w:rPr>
      </w:pPr>
    </w:p>
    <w:p w14:paraId="1A801C54" w14:textId="5BBF2CFF" w:rsidR="004B3422" w:rsidRPr="00E27CC0" w:rsidRDefault="004B3422" w:rsidP="004B3422">
      <w:pPr>
        <w:pStyle w:val="Heading1"/>
        <w:tabs>
          <w:tab w:val="clear" w:pos="432"/>
        </w:tabs>
      </w:pPr>
      <w:bookmarkStart w:id="4" w:name="_Ref129681832"/>
      <w:r>
        <w:t>Conclusion</w:t>
      </w:r>
    </w:p>
    <w:p w14:paraId="34291C94" w14:textId="77777777" w:rsidR="00AF4C25" w:rsidRPr="00614D1A" w:rsidRDefault="00AF4C25" w:rsidP="00AF4C25">
      <w:pPr>
        <w:ind w:firstLine="425"/>
      </w:pPr>
      <w:r w:rsidRPr="001E2093">
        <w:rPr>
          <w:b/>
          <w:bCs/>
          <w:i/>
          <w:iCs/>
          <w:lang w:eastAsia="x-none"/>
        </w:rPr>
        <w:t>Proposal 1</w:t>
      </w:r>
      <w:r>
        <w:rPr>
          <w:lang w:eastAsia="x-none"/>
        </w:rPr>
        <w:t xml:space="preserve">: </w:t>
      </w:r>
      <w:r w:rsidRPr="00614D1A">
        <w:t xml:space="preserve">For </w:t>
      </w:r>
      <w:r>
        <w:t>Idle/Inactive U</w:t>
      </w:r>
      <w:r w:rsidRPr="00614D1A">
        <w:t>Es</w:t>
      </w:r>
      <w:r>
        <w:t xml:space="preserve"> </w:t>
      </w:r>
      <w:r w:rsidRPr="00614D1A">
        <w:t xml:space="preserve">broadcast reception, the common frequency resource (CFR) for group-common PDCCH/PDSCH </w:t>
      </w:r>
      <w:r>
        <w:t xml:space="preserve">is </w:t>
      </w:r>
      <w:r w:rsidRPr="00614D1A">
        <w:t xml:space="preserve">fully contained within the initial BWP </w:t>
      </w:r>
      <w:r>
        <w:t xml:space="preserve">and </w:t>
      </w:r>
      <w:r w:rsidRPr="00614D1A">
        <w:t>is configured by SIB.  Furthermore, the frequency resources for the CFR does not need to be equal to CORESET0 (Case D).</w:t>
      </w:r>
    </w:p>
    <w:p w14:paraId="52DA14AC" w14:textId="429097D8" w:rsidR="00815A5A" w:rsidRDefault="00815A5A" w:rsidP="000C3E76"/>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4"/>
    <w:bookmarkEnd w:id="5"/>
    <w:bookmarkEnd w:id="6"/>
    <w:bookmarkEnd w:id="7"/>
    <w:p w14:paraId="6E8F7D6B" w14:textId="561517A5" w:rsidR="00D341AF" w:rsidRPr="00D341AF" w:rsidRDefault="00D341AF" w:rsidP="00D341AF">
      <w:pPr>
        <w:pStyle w:val="References"/>
        <w:rPr>
          <w:sz w:val="22"/>
          <w:szCs w:val="22"/>
        </w:rPr>
      </w:pPr>
      <w:r w:rsidRPr="00D341AF">
        <w:rPr>
          <w:sz w:val="22"/>
          <w:szCs w:val="22"/>
        </w:rPr>
        <w:t>R1-2108579, “Feature Lead summary #6 on RAN basic functions for broadcast/multicast for UEs in RRC_IDLE/RRC_INACTIVE states.”</w:t>
      </w:r>
    </w:p>
    <w:p w14:paraId="61A21B6A" w14:textId="2183DB3C" w:rsidR="003E7804" w:rsidRPr="00264068" w:rsidRDefault="003E7804" w:rsidP="002662FF">
      <w:pPr>
        <w:pStyle w:val="References"/>
        <w:rPr>
          <w:sz w:val="22"/>
          <w:szCs w:val="22"/>
          <w:lang w:val="en-GB" w:eastAsia="zh-CN"/>
        </w:rPr>
      </w:pPr>
      <w:r w:rsidRPr="00264068">
        <w:rPr>
          <w:sz w:val="22"/>
          <w:szCs w:val="22"/>
          <w:lang w:eastAsia="zh-CN"/>
        </w:rPr>
        <w:t>R</w:t>
      </w:r>
      <w:r w:rsidR="00F62473">
        <w:rPr>
          <w:sz w:val="22"/>
          <w:szCs w:val="22"/>
          <w:lang w:eastAsia="zh-CN"/>
        </w:rPr>
        <w:t>P212414</w:t>
      </w:r>
      <w:r w:rsidRPr="00264068">
        <w:rPr>
          <w:sz w:val="22"/>
          <w:szCs w:val="22"/>
          <w:lang w:eastAsia="zh-CN"/>
        </w:rPr>
        <w:t>, “</w:t>
      </w:r>
      <w:bookmarkStart w:id="8" w:name="OLE_LINK4"/>
      <w:r w:rsidR="00F62473" w:rsidRPr="00F62473">
        <w:rPr>
          <w:bCs/>
          <w:sz w:val="22"/>
          <w:szCs w:val="22"/>
        </w:rPr>
        <w:t xml:space="preserve">Discussion on </w:t>
      </w:r>
      <w:bookmarkEnd w:id="8"/>
      <w:r w:rsidR="00F62473" w:rsidRPr="00F62473">
        <w:rPr>
          <w:bCs/>
          <w:sz w:val="22"/>
          <w:szCs w:val="22"/>
        </w:rPr>
        <w:t>CFR configuration for Rel-17 MBS</w:t>
      </w:r>
      <w:r w:rsidRPr="00F62473">
        <w:rPr>
          <w:bCs/>
          <w:sz w:val="22"/>
          <w:szCs w:val="22"/>
          <w:lang w:eastAsia="zh-CN"/>
        </w:rPr>
        <w:t>,”</w:t>
      </w:r>
      <w:r w:rsidRPr="00264068">
        <w:rPr>
          <w:sz w:val="22"/>
          <w:szCs w:val="22"/>
          <w:lang w:eastAsia="zh-CN"/>
        </w:rPr>
        <w:t xml:space="preserve"> RAN#</w:t>
      </w:r>
      <w:r w:rsidR="00F62473">
        <w:rPr>
          <w:sz w:val="22"/>
          <w:szCs w:val="22"/>
          <w:lang w:eastAsia="zh-CN"/>
        </w:rPr>
        <w:t>93</w:t>
      </w:r>
      <w:r w:rsidRPr="00264068">
        <w:rPr>
          <w:sz w:val="22"/>
          <w:szCs w:val="22"/>
          <w:lang w:eastAsia="zh-CN"/>
        </w:rPr>
        <w:t>e.</w:t>
      </w:r>
    </w:p>
    <w:p w14:paraId="3B2BBE3A" w14:textId="77777777" w:rsidR="00786EAA" w:rsidRPr="000A564C" w:rsidRDefault="00786EAA" w:rsidP="00764352">
      <w:pPr>
        <w:rPr>
          <w:lang w:val="en-GB" w:eastAsia="zh-CN"/>
        </w:rPr>
      </w:pPr>
    </w:p>
    <w:sectPr w:rsidR="00786EAA" w:rsidRPr="000A56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E4D98" w14:textId="77777777" w:rsidR="00AF784F" w:rsidRDefault="00AF784F">
      <w:r>
        <w:separator/>
      </w:r>
    </w:p>
  </w:endnote>
  <w:endnote w:type="continuationSeparator" w:id="0">
    <w:p w14:paraId="3688AF18" w14:textId="77777777" w:rsidR="00AF784F" w:rsidRDefault="00AF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BDC1" w14:textId="77777777" w:rsidR="00AF784F" w:rsidRDefault="00AF784F">
      <w:r>
        <w:separator/>
      </w:r>
    </w:p>
  </w:footnote>
  <w:footnote w:type="continuationSeparator" w:id="0">
    <w:p w14:paraId="4C147C86" w14:textId="77777777" w:rsidR="00AF784F" w:rsidRDefault="00AF7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46240"/>
    <w:multiLevelType w:val="hybridMultilevel"/>
    <w:tmpl w:val="60F29FFE"/>
    <w:lvl w:ilvl="0" w:tplc="2B407A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5C0152"/>
    <w:multiLevelType w:val="hybridMultilevel"/>
    <w:tmpl w:val="64C2E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059A"/>
    <w:multiLevelType w:val="hybridMultilevel"/>
    <w:tmpl w:val="44D6539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3588D"/>
    <w:multiLevelType w:val="hybridMultilevel"/>
    <w:tmpl w:val="B8B0F17A"/>
    <w:lvl w:ilvl="0" w:tplc="08090001">
      <w:start w:val="1"/>
      <w:numFmt w:val="bullet"/>
      <w:lvlText w:val=""/>
      <w:lvlJc w:val="left"/>
      <w:pPr>
        <w:ind w:left="420" w:hanging="420"/>
      </w:pPr>
      <w:rPr>
        <w:rFonts w:ascii="Symbol" w:hAnsi="Symbol" w:hint="default"/>
      </w:rPr>
    </w:lvl>
    <w:lvl w:ilvl="1" w:tplc="8190F2AA">
      <w:numFmt w:val="bullet"/>
      <w:lvlText w:val="•"/>
      <w:lvlJc w:val="left"/>
      <w:pPr>
        <w:ind w:left="840" w:hanging="420"/>
      </w:pPr>
      <w:rPr>
        <w:rFonts w:ascii="SimSun" w:eastAsia="SimSun" w:hAnsi="SimSun" w:cs="Times New Roman" w:hint="eastAsia"/>
      </w:rPr>
    </w:lvl>
    <w:lvl w:ilvl="2" w:tplc="C2FCEFB0">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940875"/>
    <w:multiLevelType w:val="hybridMultilevel"/>
    <w:tmpl w:val="7774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D041FB"/>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754BCE"/>
    <w:multiLevelType w:val="hybridMultilevel"/>
    <w:tmpl w:val="DDA49BCA"/>
    <w:lvl w:ilvl="0" w:tplc="14DA713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004EC"/>
    <w:multiLevelType w:val="hybridMultilevel"/>
    <w:tmpl w:val="09E0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28044C"/>
    <w:multiLevelType w:val="multilevel"/>
    <w:tmpl w:val="6128044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A6C019D"/>
    <w:multiLevelType w:val="hybridMultilevel"/>
    <w:tmpl w:val="2C32F668"/>
    <w:lvl w:ilvl="0" w:tplc="1C80B3BC">
      <w:start w:val="8"/>
      <w:numFmt w:val="bullet"/>
      <w:lvlText w:val=""/>
      <w:lvlJc w:val="left"/>
      <w:pPr>
        <w:ind w:left="845" w:hanging="42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62D00"/>
    <w:multiLevelType w:val="hybridMultilevel"/>
    <w:tmpl w:val="E8F007A4"/>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C2FCEFB0">
      <w:numFmt w:val="bullet"/>
      <w:lvlText w:val="-"/>
      <w:lvlJc w:val="left"/>
      <w:pPr>
        <w:ind w:left="1685" w:hanging="420"/>
      </w:pPr>
      <w:rPr>
        <w:rFonts w:ascii="Times New Roman" w:eastAsia="MS Mincho"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35"/>
  </w:num>
  <w:num w:numId="4">
    <w:abstractNumId w:val="41"/>
  </w:num>
  <w:num w:numId="5">
    <w:abstractNumId w:val="23"/>
  </w:num>
  <w:num w:numId="6">
    <w:abstractNumId w:val="10"/>
  </w:num>
  <w:num w:numId="7">
    <w:abstractNumId w:val="33"/>
  </w:num>
  <w:num w:numId="8">
    <w:abstractNumId w:val="29"/>
  </w:num>
  <w:num w:numId="9">
    <w:abstractNumId w:val="16"/>
  </w:num>
  <w:num w:numId="10">
    <w:abstractNumId w:val="8"/>
  </w:num>
  <w:num w:numId="11">
    <w:abstractNumId w:val="20"/>
  </w:num>
  <w:num w:numId="12">
    <w:abstractNumId w:val="32"/>
  </w:num>
  <w:num w:numId="13">
    <w:abstractNumId w:val="32"/>
  </w:num>
  <w:num w:numId="14">
    <w:abstractNumId w:val="31"/>
  </w:num>
  <w:num w:numId="15">
    <w:abstractNumId w:val="31"/>
  </w:num>
  <w:num w:numId="16">
    <w:abstractNumId w:val="39"/>
  </w:num>
  <w:num w:numId="17">
    <w:abstractNumId w:val="11"/>
  </w:num>
  <w:num w:numId="18">
    <w:abstractNumId w:val="24"/>
  </w:num>
  <w:num w:numId="19">
    <w:abstractNumId w:val="27"/>
  </w:num>
  <w:num w:numId="20">
    <w:abstractNumId w:val="6"/>
  </w:num>
  <w:num w:numId="21">
    <w:abstractNumId w:val="15"/>
  </w:num>
  <w:num w:numId="22">
    <w:abstractNumId w:val="40"/>
  </w:num>
  <w:num w:numId="23">
    <w:abstractNumId w:val="34"/>
  </w:num>
  <w:num w:numId="24">
    <w:abstractNumId w:val="26"/>
  </w:num>
  <w:num w:numId="25">
    <w:abstractNumId w:val="21"/>
  </w:num>
  <w:num w:numId="26">
    <w:abstractNumId w:val="5"/>
  </w:num>
  <w:num w:numId="27">
    <w:abstractNumId w:val="1"/>
  </w:num>
  <w:num w:numId="28">
    <w:abstractNumId w:val="14"/>
  </w:num>
  <w:num w:numId="29">
    <w:abstractNumId w:val="38"/>
  </w:num>
  <w:num w:numId="30">
    <w:abstractNumId w:val="30"/>
  </w:num>
  <w:num w:numId="31">
    <w:abstractNumId w:val="18"/>
  </w:num>
  <w:num w:numId="32">
    <w:abstractNumId w:val="17"/>
  </w:num>
  <w:num w:numId="33">
    <w:abstractNumId w:val="12"/>
  </w:num>
  <w:num w:numId="34">
    <w:abstractNumId w:val="0"/>
  </w:num>
  <w:num w:numId="35">
    <w:abstractNumId w:val="2"/>
  </w:num>
  <w:num w:numId="36">
    <w:abstractNumId w:val="37"/>
  </w:num>
  <w:num w:numId="37">
    <w:abstractNumId w:val="7"/>
  </w:num>
  <w:num w:numId="38">
    <w:abstractNumId w:val="28"/>
  </w:num>
  <w:num w:numId="39">
    <w:abstractNumId w:val="13"/>
  </w:num>
  <w:num w:numId="40">
    <w:abstractNumId w:val="3"/>
  </w:num>
  <w:num w:numId="41">
    <w:abstractNumId w:val="42"/>
  </w:num>
  <w:num w:numId="42">
    <w:abstractNumId w:val="4"/>
  </w:num>
  <w:num w:numId="43">
    <w:abstractNumId w:val="36"/>
  </w:num>
  <w:num w:numId="44">
    <w:abstractNumId w:val="9"/>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427"/>
    <w:rsid w:val="0000451C"/>
    <w:rsid w:val="0000458E"/>
    <w:rsid w:val="0000492C"/>
    <w:rsid w:val="00004E70"/>
    <w:rsid w:val="000057E0"/>
    <w:rsid w:val="00005E66"/>
    <w:rsid w:val="00005F1E"/>
    <w:rsid w:val="000067E8"/>
    <w:rsid w:val="00006B4B"/>
    <w:rsid w:val="00007086"/>
    <w:rsid w:val="000072B6"/>
    <w:rsid w:val="000072DD"/>
    <w:rsid w:val="00007813"/>
    <w:rsid w:val="000102D7"/>
    <w:rsid w:val="000109E6"/>
    <w:rsid w:val="00010CD9"/>
    <w:rsid w:val="0001116D"/>
    <w:rsid w:val="00011278"/>
    <w:rsid w:val="00011C8D"/>
    <w:rsid w:val="00011F67"/>
    <w:rsid w:val="00012862"/>
    <w:rsid w:val="000128E6"/>
    <w:rsid w:val="00012F77"/>
    <w:rsid w:val="00013371"/>
    <w:rsid w:val="00013612"/>
    <w:rsid w:val="00014278"/>
    <w:rsid w:val="00014395"/>
    <w:rsid w:val="000153AB"/>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2E3"/>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706"/>
    <w:rsid w:val="00055B33"/>
    <w:rsid w:val="000565C8"/>
    <w:rsid w:val="000567AD"/>
    <w:rsid w:val="0005748D"/>
    <w:rsid w:val="00057DC8"/>
    <w:rsid w:val="00060AB2"/>
    <w:rsid w:val="00060E7E"/>
    <w:rsid w:val="000612E1"/>
    <w:rsid w:val="000614FE"/>
    <w:rsid w:val="00061E9A"/>
    <w:rsid w:val="00062839"/>
    <w:rsid w:val="0006295E"/>
    <w:rsid w:val="00063C08"/>
    <w:rsid w:val="0006422F"/>
    <w:rsid w:val="00064A9D"/>
    <w:rsid w:val="000655D0"/>
    <w:rsid w:val="00065D38"/>
    <w:rsid w:val="000661FE"/>
    <w:rsid w:val="0006694E"/>
    <w:rsid w:val="00066F59"/>
    <w:rsid w:val="0006701F"/>
    <w:rsid w:val="00067DD1"/>
    <w:rsid w:val="00067F7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6F4"/>
    <w:rsid w:val="00090946"/>
    <w:rsid w:val="000911AE"/>
    <w:rsid w:val="000919B1"/>
    <w:rsid w:val="00092DF7"/>
    <w:rsid w:val="00093697"/>
    <w:rsid w:val="00093D42"/>
    <w:rsid w:val="00093DD0"/>
    <w:rsid w:val="0009470B"/>
    <w:rsid w:val="00094A16"/>
    <w:rsid w:val="00094DE6"/>
    <w:rsid w:val="00095182"/>
    <w:rsid w:val="000951B8"/>
    <w:rsid w:val="00095799"/>
    <w:rsid w:val="00096356"/>
    <w:rsid w:val="00096372"/>
    <w:rsid w:val="00096EC6"/>
    <w:rsid w:val="00096F01"/>
    <w:rsid w:val="000975EE"/>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564C"/>
    <w:rsid w:val="000A5FD4"/>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55"/>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E76"/>
    <w:rsid w:val="000C422D"/>
    <w:rsid w:val="000C485D"/>
    <w:rsid w:val="000C53CD"/>
    <w:rsid w:val="000C5A78"/>
    <w:rsid w:val="000C5ADD"/>
    <w:rsid w:val="000C5F91"/>
    <w:rsid w:val="000C6025"/>
    <w:rsid w:val="000C6792"/>
    <w:rsid w:val="000C6BF6"/>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671F"/>
    <w:rsid w:val="000F7326"/>
    <w:rsid w:val="000F75A1"/>
    <w:rsid w:val="000F79E9"/>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0EA0"/>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0A"/>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1D0"/>
    <w:rsid w:val="001314A8"/>
    <w:rsid w:val="0013160D"/>
    <w:rsid w:val="001321D3"/>
    <w:rsid w:val="00132FAA"/>
    <w:rsid w:val="00133599"/>
    <w:rsid w:val="00133BF7"/>
    <w:rsid w:val="00134184"/>
    <w:rsid w:val="001347F9"/>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0A"/>
    <w:rsid w:val="00171143"/>
    <w:rsid w:val="00171CDD"/>
    <w:rsid w:val="001721B6"/>
    <w:rsid w:val="00172864"/>
    <w:rsid w:val="00172B82"/>
    <w:rsid w:val="00172EFA"/>
    <w:rsid w:val="00173608"/>
    <w:rsid w:val="001745EC"/>
    <w:rsid w:val="001747B7"/>
    <w:rsid w:val="00174B63"/>
    <w:rsid w:val="00175446"/>
    <w:rsid w:val="00175C30"/>
    <w:rsid w:val="00175D83"/>
    <w:rsid w:val="001762F8"/>
    <w:rsid w:val="00176611"/>
    <w:rsid w:val="00177069"/>
    <w:rsid w:val="00177098"/>
    <w:rsid w:val="0017709D"/>
    <w:rsid w:val="00177B3F"/>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9B8"/>
    <w:rsid w:val="00184E75"/>
    <w:rsid w:val="0018528A"/>
    <w:rsid w:val="0018588A"/>
    <w:rsid w:val="00185C4C"/>
    <w:rsid w:val="00185FC2"/>
    <w:rsid w:val="00186BE6"/>
    <w:rsid w:val="00187252"/>
    <w:rsid w:val="00187A22"/>
    <w:rsid w:val="00187E43"/>
    <w:rsid w:val="00187ED2"/>
    <w:rsid w:val="00190BD7"/>
    <w:rsid w:val="00190CB4"/>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4E85"/>
    <w:rsid w:val="001A57EE"/>
    <w:rsid w:val="001A5C71"/>
    <w:rsid w:val="001A673E"/>
    <w:rsid w:val="001A7763"/>
    <w:rsid w:val="001A783D"/>
    <w:rsid w:val="001A7CB3"/>
    <w:rsid w:val="001B0525"/>
    <w:rsid w:val="001B0D4B"/>
    <w:rsid w:val="001B0DB3"/>
    <w:rsid w:val="001B0DDF"/>
    <w:rsid w:val="001B1977"/>
    <w:rsid w:val="001B1A43"/>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5E69"/>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975"/>
    <w:rsid w:val="001C1D40"/>
    <w:rsid w:val="001C2378"/>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6F4A"/>
    <w:rsid w:val="001C75AF"/>
    <w:rsid w:val="001C7611"/>
    <w:rsid w:val="001D2360"/>
    <w:rsid w:val="001D2372"/>
    <w:rsid w:val="001D2CE6"/>
    <w:rsid w:val="001D3109"/>
    <w:rsid w:val="001D332E"/>
    <w:rsid w:val="001D3914"/>
    <w:rsid w:val="001D3D19"/>
    <w:rsid w:val="001D5033"/>
    <w:rsid w:val="001D5058"/>
    <w:rsid w:val="001D5453"/>
    <w:rsid w:val="001D5C88"/>
    <w:rsid w:val="001D6567"/>
    <w:rsid w:val="001D695C"/>
    <w:rsid w:val="001D6ED3"/>
    <w:rsid w:val="001D6FD9"/>
    <w:rsid w:val="001D780E"/>
    <w:rsid w:val="001D7A29"/>
    <w:rsid w:val="001E0584"/>
    <w:rsid w:val="001E05C3"/>
    <w:rsid w:val="001E0AB0"/>
    <w:rsid w:val="001E0AD3"/>
    <w:rsid w:val="001E1D1C"/>
    <w:rsid w:val="001E1E92"/>
    <w:rsid w:val="001E2093"/>
    <w:rsid w:val="001E2315"/>
    <w:rsid w:val="001E36E4"/>
    <w:rsid w:val="001E379D"/>
    <w:rsid w:val="001E3A3C"/>
    <w:rsid w:val="001E462D"/>
    <w:rsid w:val="001E5291"/>
    <w:rsid w:val="001E5570"/>
    <w:rsid w:val="001E57DB"/>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534"/>
    <w:rsid w:val="001F7688"/>
    <w:rsid w:val="00200712"/>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3A7"/>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BA8"/>
    <w:rsid w:val="00213F68"/>
    <w:rsid w:val="002140FF"/>
    <w:rsid w:val="00215E90"/>
    <w:rsid w:val="002164D8"/>
    <w:rsid w:val="00216C4B"/>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A1B"/>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919"/>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06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7F1"/>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9D4"/>
    <w:rsid w:val="00297148"/>
    <w:rsid w:val="0029746C"/>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A7665"/>
    <w:rsid w:val="002A7A42"/>
    <w:rsid w:val="002B0A7D"/>
    <w:rsid w:val="002B0BC8"/>
    <w:rsid w:val="002B1A69"/>
    <w:rsid w:val="002B1BD3"/>
    <w:rsid w:val="002B1F96"/>
    <w:rsid w:val="002B20D7"/>
    <w:rsid w:val="002B2141"/>
    <w:rsid w:val="002B2723"/>
    <w:rsid w:val="002B2778"/>
    <w:rsid w:val="002B2DBC"/>
    <w:rsid w:val="002B2E4A"/>
    <w:rsid w:val="002B303A"/>
    <w:rsid w:val="002B310A"/>
    <w:rsid w:val="002B3701"/>
    <w:rsid w:val="002B40E4"/>
    <w:rsid w:val="002B47A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C77"/>
    <w:rsid w:val="002C30EA"/>
    <w:rsid w:val="002C38B2"/>
    <w:rsid w:val="002C3DC2"/>
    <w:rsid w:val="002C3F54"/>
    <w:rsid w:val="002C3F9C"/>
    <w:rsid w:val="002C4DA9"/>
    <w:rsid w:val="002C51A7"/>
    <w:rsid w:val="002C5AFA"/>
    <w:rsid w:val="002C73E3"/>
    <w:rsid w:val="002C751F"/>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3DD"/>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1827"/>
    <w:rsid w:val="002F281C"/>
    <w:rsid w:val="002F2999"/>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1FC3"/>
    <w:rsid w:val="00302617"/>
    <w:rsid w:val="00303440"/>
    <w:rsid w:val="0030434F"/>
    <w:rsid w:val="00304503"/>
    <w:rsid w:val="00304B5C"/>
    <w:rsid w:val="00304D9B"/>
    <w:rsid w:val="00304E7F"/>
    <w:rsid w:val="003057D8"/>
    <w:rsid w:val="00305C43"/>
    <w:rsid w:val="00305D2F"/>
    <w:rsid w:val="00305FF9"/>
    <w:rsid w:val="00306827"/>
    <w:rsid w:val="00306CAC"/>
    <w:rsid w:val="00306E1D"/>
    <w:rsid w:val="00306E6B"/>
    <w:rsid w:val="0030723C"/>
    <w:rsid w:val="003075DB"/>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4E57"/>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1B5"/>
    <w:rsid w:val="0033243C"/>
    <w:rsid w:val="00332E41"/>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B98"/>
    <w:rsid w:val="00346F7F"/>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AC3"/>
    <w:rsid w:val="00353F59"/>
    <w:rsid w:val="0035463B"/>
    <w:rsid w:val="003548D8"/>
    <w:rsid w:val="00354B63"/>
    <w:rsid w:val="00355066"/>
    <w:rsid w:val="00355252"/>
    <w:rsid w:val="003554CA"/>
    <w:rsid w:val="00355918"/>
    <w:rsid w:val="00356A5A"/>
    <w:rsid w:val="0035767D"/>
    <w:rsid w:val="00357680"/>
    <w:rsid w:val="00357988"/>
    <w:rsid w:val="00360232"/>
    <w:rsid w:val="003602E0"/>
    <w:rsid w:val="00360D01"/>
    <w:rsid w:val="003616C7"/>
    <w:rsid w:val="00362569"/>
    <w:rsid w:val="0036259A"/>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4EE"/>
    <w:rsid w:val="00392B93"/>
    <w:rsid w:val="003940CE"/>
    <w:rsid w:val="00394739"/>
    <w:rsid w:val="00395826"/>
    <w:rsid w:val="00396CB3"/>
    <w:rsid w:val="00396D33"/>
    <w:rsid w:val="0039738B"/>
    <w:rsid w:val="00397C1D"/>
    <w:rsid w:val="00397D21"/>
    <w:rsid w:val="00397F52"/>
    <w:rsid w:val="003A015A"/>
    <w:rsid w:val="003A048B"/>
    <w:rsid w:val="003A180F"/>
    <w:rsid w:val="003A18DD"/>
    <w:rsid w:val="003A20C8"/>
    <w:rsid w:val="003A2C29"/>
    <w:rsid w:val="003A2EC3"/>
    <w:rsid w:val="003A32DF"/>
    <w:rsid w:val="003A36F2"/>
    <w:rsid w:val="003A3CA7"/>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68D"/>
    <w:rsid w:val="003C291D"/>
    <w:rsid w:val="003C2D21"/>
    <w:rsid w:val="003C4135"/>
    <w:rsid w:val="003C4503"/>
    <w:rsid w:val="003C52AA"/>
    <w:rsid w:val="003C56F7"/>
    <w:rsid w:val="003C5E6B"/>
    <w:rsid w:val="003C5ED6"/>
    <w:rsid w:val="003C645E"/>
    <w:rsid w:val="003C652F"/>
    <w:rsid w:val="003C66C0"/>
    <w:rsid w:val="003C6B81"/>
    <w:rsid w:val="003C7AD7"/>
    <w:rsid w:val="003D0992"/>
    <w:rsid w:val="003D0FC3"/>
    <w:rsid w:val="003D17FD"/>
    <w:rsid w:val="003D1902"/>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804"/>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BFD"/>
    <w:rsid w:val="00407715"/>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6"/>
    <w:rsid w:val="00416018"/>
    <w:rsid w:val="00416665"/>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3E7"/>
    <w:rsid w:val="00433590"/>
    <w:rsid w:val="0043393D"/>
    <w:rsid w:val="004344C7"/>
    <w:rsid w:val="004350B2"/>
    <w:rsid w:val="00435274"/>
    <w:rsid w:val="004352AD"/>
    <w:rsid w:val="0043545D"/>
    <w:rsid w:val="0043547E"/>
    <w:rsid w:val="00435FE2"/>
    <w:rsid w:val="0043672D"/>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489"/>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E99"/>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1B49"/>
    <w:rsid w:val="00482460"/>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18F"/>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97C2E"/>
    <w:rsid w:val="004A0F39"/>
    <w:rsid w:val="004A152B"/>
    <w:rsid w:val="004A15F5"/>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A7C99"/>
    <w:rsid w:val="004A7FB6"/>
    <w:rsid w:val="004B0808"/>
    <w:rsid w:val="004B1C92"/>
    <w:rsid w:val="004B257F"/>
    <w:rsid w:val="004B3422"/>
    <w:rsid w:val="004B3A0F"/>
    <w:rsid w:val="004B44D6"/>
    <w:rsid w:val="004B49E6"/>
    <w:rsid w:val="004B4A6E"/>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B5D"/>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087"/>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4A5"/>
    <w:rsid w:val="005076EC"/>
    <w:rsid w:val="005109C3"/>
    <w:rsid w:val="00511277"/>
    <w:rsid w:val="005118E5"/>
    <w:rsid w:val="00511F15"/>
    <w:rsid w:val="005123EF"/>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D8A"/>
    <w:rsid w:val="0054046C"/>
    <w:rsid w:val="005411F6"/>
    <w:rsid w:val="00541B25"/>
    <w:rsid w:val="005420A3"/>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8D9"/>
    <w:rsid w:val="00560A31"/>
    <w:rsid w:val="00560D23"/>
    <w:rsid w:val="005615D8"/>
    <w:rsid w:val="00561B5E"/>
    <w:rsid w:val="00561C06"/>
    <w:rsid w:val="00562152"/>
    <w:rsid w:val="005626D6"/>
    <w:rsid w:val="0056279A"/>
    <w:rsid w:val="005638D4"/>
    <w:rsid w:val="005643CA"/>
    <w:rsid w:val="00564F22"/>
    <w:rsid w:val="00565335"/>
    <w:rsid w:val="005656ED"/>
    <w:rsid w:val="00565C9E"/>
    <w:rsid w:val="0056642F"/>
    <w:rsid w:val="0056653E"/>
    <w:rsid w:val="00566544"/>
    <w:rsid w:val="00566608"/>
    <w:rsid w:val="00566C83"/>
    <w:rsid w:val="005700FE"/>
    <w:rsid w:val="00570E24"/>
    <w:rsid w:val="00570FF8"/>
    <w:rsid w:val="00571430"/>
    <w:rsid w:val="00571732"/>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C7D"/>
    <w:rsid w:val="005921EE"/>
    <w:rsid w:val="0059239D"/>
    <w:rsid w:val="00592A47"/>
    <w:rsid w:val="00592B03"/>
    <w:rsid w:val="00593AB9"/>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543"/>
    <w:rsid w:val="005A269F"/>
    <w:rsid w:val="005A305E"/>
    <w:rsid w:val="005A30BB"/>
    <w:rsid w:val="005A3887"/>
    <w:rsid w:val="005A3E23"/>
    <w:rsid w:val="005A424B"/>
    <w:rsid w:val="005A57EA"/>
    <w:rsid w:val="005A5D5C"/>
    <w:rsid w:val="005A5E23"/>
    <w:rsid w:val="005A6410"/>
    <w:rsid w:val="005A6521"/>
    <w:rsid w:val="005B02C1"/>
    <w:rsid w:val="005B0542"/>
    <w:rsid w:val="005B1C65"/>
    <w:rsid w:val="005B1FD1"/>
    <w:rsid w:val="005B2225"/>
    <w:rsid w:val="005B2496"/>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41D"/>
    <w:rsid w:val="005D1E32"/>
    <w:rsid w:val="005D1E47"/>
    <w:rsid w:val="005D206B"/>
    <w:rsid w:val="005D2100"/>
    <w:rsid w:val="005D22B7"/>
    <w:rsid w:val="005D2BDE"/>
    <w:rsid w:val="005D3D76"/>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695"/>
    <w:rsid w:val="005E0B3F"/>
    <w:rsid w:val="005E1C1E"/>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A15"/>
    <w:rsid w:val="00603FB5"/>
    <w:rsid w:val="006046BF"/>
    <w:rsid w:val="00604DC7"/>
    <w:rsid w:val="00604E47"/>
    <w:rsid w:val="00605441"/>
    <w:rsid w:val="00605C3D"/>
    <w:rsid w:val="0060639D"/>
    <w:rsid w:val="006064BD"/>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1A"/>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7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4F04"/>
    <w:rsid w:val="00635035"/>
    <w:rsid w:val="00635402"/>
    <w:rsid w:val="0063580D"/>
    <w:rsid w:val="00635CAE"/>
    <w:rsid w:val="00635CB2"/>
    <w:rsid w:val="00637240"/>
    <w:rsid w:val="0063793A"/>
    <w:rsid w:val="00637C5D"/>
    <w:rsid w:val="0064086F"/>
    <w:rsid w:val="00641457"/>
    <w:rsid w:val="006424BD"/>
    <w:rsid w:val="006425F7"/>
    <w:rsid w:val="00643607"/>
    <w:rsid w:val="00643660"/>
    <w:rsid w:val="006446E6"/>
    <w:rsid w:val="006447DC"/>
    <w:rsid w:val="00644C9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0E0D"/>
    <w:rsid w:val="00660F3B"/>
    <w:rsid w:val="006613F4"/>
    <w:rsid w:val="006618CC"/>
    <w:rsid w:val="00661ACB"/>
    <w:rsid w:val="00661E09"/>
    <w:rsid w:val="00661E62"/>
    <w:rsid w:val="00661F16"/>
    <w:rsid w:val="00662111"/>
    <w:rsid w:val="00662118"/>
    <w:rsid w:val="00662511"/>
    <w:rsid w:val="00662E2F"/>
    <w:rsid w:val="006638AD"/>
    <w:rsid w:val="00664B27"/>
    <w:rsid w:val="00664E33"/>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52"/>
    <w:rsid w:val="00690BB6"/>
    <w:rsid w:val="0069135B"/>
    <w:rsid w:val="00691610"/>
    <w:rsid w:val="00691B30"/>
    <w:rsid w:val="00692012"/>
    <w:rsid w:val="00692CA4"/>
    <w:rsid w:val="00693B1F"/>
    <w:rsid w:val="00693E1F"/>
    <w:rsid w:val="00693ECB"/>
    <w:rsid w:val="00694097"/>
    <w:rsid w:val="00694482"/>
    <w:rsid w:val="00694797"/>
    <w:rsid w:val="00694F2D"/>
    <w:rsid w:val="00695246"/>
    <w:rsid w:val="00695257"/>
    <w:rsid w:val="00695887"/>
    <w:rsid w:val="00695C40"/>
    <w:rsid w:val="00695F6D"/>
    <w:rsid w:val="00697068"/>
    <w:rsid w:val="00697733"/>
    <w:rsid w:val="006A089F"/>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2CD"/>
    <w:rsid w:val="006C643C"/>
    <w:rsid w:val="006C6E3A"/>
    <w:rsid w:val="006C6FD7"/>
    <w:rsid w:val="006C7CA9"/>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707E"/>
    <w:rsid w:val="006F765B"/>
    <w:rsid w:val="007001DC"/>
    <w:rsid w:val="007003D1"/>
    <w:rsid w:val="007012AC"/>
    <w:rsid w:val="007015D6"/>
    <w:rsid w:val="00701ECB"/>
    <w:rsid w:val="007025CB"/>
    <w:rsid w:val="007034AA"/>
    <w:rsid w:val="007038CC"/>
    <w:rsid w:val="00703C5D"/>
    <w:rsid w:val="00703C9D"/>
    <w:rsid w:val="0070490C"/>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4A"/>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5"/>
    <w:rsid w:val="00726279"/>
    <w:rsid w:val="0072692D"/>
    <w:rsid w:val="00726A9B"/>
    <w:rsid w:val="00726D75"/>
    <w:rsid w:val="00726E28"/>
    <w:rsid w:val="00727530"/>
    <w:rsid w:val="0072757A"/>
    <w:rsid w:val="007275F1"/>
    <w:rsid w:val="007311C4"/>
    <w:rsid w:val="007314F0"/>
    <w:rsid w:val="00731E7C"/>
    <w:rsid w:val="007329EF"/>
    <w:rsid w:val="00732FA3"/>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4B5"/>
    <w:rsid w:val="007427B5"/>
    <w:rsid w:val="00742865"/>
    <w:rsid w:val="0074296C"/>
    <w:rsid w:val="00742C83"/>
    <w:rsid w:val="00743077"/>
    <w:rsid w:val="0074315A"/>
    <w:rsid w:val="0074360F"/>
    <w:rsid w:val="00744107"/>
    <w:rsid w:val="007441D4"/>
    <w:rsid w:val="00744278"/>
    <w:rsid w:val="007448CE"/>
    <w:rsid w:val="00744A26"/>
    <w:rsid w:val="00744A64"/>
    <w:rsid w:val="00744D47"/>
    <w:rsid w:val="00744EA0"/>
    <w:rsid w:val="007451CB"/>
    <w:rsid w:val="007458AF"/>
    <w:rsid w:val="0074638D"/>
    <w:rsid w:val="00746484"/>
    <w:rsid w:val="007464F4"/>
    <w:rsid w:val="0074657B"/>
    <w:rsid w:val="0074704F"/>
    <w:rsid w:val="0074787C"/>
    <w:rsid w:val="00747F48"/>
    <w:rsid w:val="00747F4C"/>
    <w:rsid w:val="00750721"/>
    <w:rsid w:val="007509B6"/>
    <w:rsid w:val="00751091"/>
    <w:rsid w:val="00751B83"/>
    <w:rsid w:val="00751CF0"/>
    <w:rsid w:val="0075268B"/>
    <w:rsid w:val="00752A3D"/>
    <w:rsid w:val="00753191"/>
    <w:rsid w:val="00754359"/>
    <w:rsid w:val="00754411"/>
    <w:rsid w:val="00754BD9"/>
    <w:rsid w:val="00754E7A"/>
    <w:rsid w:val="0075540C"/>
    <w:rsid w:val="00755DB1"/>
    <w:rsid w:val="00756376"/>
    <w:rsid w:val="007574FC"/>
    <w:rsid w:val="00757BA1"/>
    <w:rsid w:val="007603F1"/>
    <w:rsid w:val="00760975"/>
    <w:rsid w:val="00761A5B"/>
    <w:rsid w:val="00761FDA"/>
    <w:rsid w:val="007621FF"/>
    <w:rsid w:val="007634E3"/>
    <w:rsid w:val="00764194"/>
    <w:rsid w:val="00764352"/>
    <w:rsid w:val="0076443E"/>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712"/>
    <w:rsid w:val="0078285F"/>
    <w:rsid w:val="00783207"/>
    <w:rsid w:val="0078346F"/>
    <w:rsid w:val="0078365D"/>
    <w:rsid w:val="00783D57"/>
    <w:rsid w:val="00783E1D"/>
    <w:rsid w:val="007846A9"/>
    <w:rsid w:val="0078483B"/>
    <w:rsid w:val="00784C52"/>
    <w:rsid w:val="00784EED"/>
    <w:rsid w:val="007851E8"/>
    <w:rsid w:val="00785900"/>
    <w:rsid w:val="00785D3A"/>
    <w:rsid w:val="00786810"/>
    <w:rsid w:val="00786958"/>
    <w:rsid w:val="00786A97"/>
    <w:rsid w:val="00786DD3"/>
    <w:rsid w:val="00786E71"/>
    <w:rsid w:val="00786EAA"/>
    <w:rsid w:val="007908F8"/>
    <w:rsid w:val="0079162F"/>
    <w:rsid w:val="00793117"/>
    <w:rsid w:val="0079317F"/>
    <w:rsid w:val="007931AF"/>
    <w:rsid w:val="00793555"/>
    <w:rsid w:val="00794579"/>
    <w:rsid w:val="00794924"/>
    <w:rsid w:val="0079506E"/>
    <w:rsid w:val="007956B8"/>
    <w:rsid w:val="007963FD"/>
    <w:rsid w:val="007965FA"/>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1D7"/>
    <w:rsid w:val="007B2333"/>
    <w:rsid w:val="007B25A8"/>
    <w:rsid w:val="007B270A"/>
    <w:rsid w:val="007B2D3B"/>
    <w:rsid w:val="007B5018"/>
    <w:rsid w:val="007B52CD"/>
    <w:rsid w:val="007B555E"/>
    <w:rsid w:val="007B74F9"/>
    <w:rsid w:val="007B7DC1"/>
    <w:rsid w:val="007B7EDB"/>
    <w:rsid w:val="007C0718"/>
    <w:rsid w:val="007C1208"/>
    <w:rsid w:val="007C15D4"/>
    <w:rsid w:val="007C15DC"/>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0BF5"/>
    <w:rsid w:val="007D1C9B"/>
    <w:rsid w:val="007D229A"/>
    <w:rsid w:val="007D2F44"/>
    <w:rsid w:val="007D2F4D"/>
    <w:rsid w:val="007D3C97"/>
    <w:rsid w:val="007D4178"/>
    <w:rsid w:val="007D4B68"/>
    <w:rsid w:val="007D4D33"/>
    <w:rsid w:val="007D5403"/>
    <w:rsid w:val="007D5C21"/>
    <w:rsid w:val="007D6B47"/>
    <w:rsid w:val="007D6B4A"/>
    <w:rsid w:val="007D7175"/>
    <w:rsid w:val="007D76CA"/>
    <w:rsid w:val="007D7ADE"/>
    <w:rsid w:val="007E02A5"/>
    <w:rsid w:val="007E1369"/>
    <w:rsid w:val="007E1A1B"/>
    <w:rsid w:val="007E1A88"/>
    <w:rsid w:val="007E27EB"/>
    <w:rsid w:val="007E2F3D"/>
    <w:rsid w:val="007E3B71"/>
    <w:rsid w:val="007E401A"/>
    <w:rsid w:val="007E4450"/>
    <w:rsid w:val="007E4782"/>
    <w:rsid w:val="007E4C88"/>
    <w:rsid w:val="007E52BF"/>
    <w:rsid w:val="007E585E"/>
    <w:rsid w:val="007E5FD9"/>
    <w:rsid w:val="007E61BB"/>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3F03"/>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8A9"/>
    <w:rsid w:val="00801AB2"/>
    <w:rsid w:val="00801AD0"/>
    <w:rsid w:val="00801D3E"/>
    <w:rsid w:val="0080245F"/>
    <w:rsid w:val="00802BFD"/>
    <w:rsid w:val="00802E74"/>
    <w:rsid w:val="00803A4E"/>
    <w:rsid w:val="00803A9F"/>
    <w:rsid w:val="0080439D"/>
    <w:rsid w:val="00804B92"/>
    <w:rsid w:val="00804DA1"/>
    <w:rsid w:val="00804E21"/>
    <w:rsid w:val="00804E7A"/>
    <w:rsid w:val="00804EB0"/>
    <w:rsid w:val="00805092"/>
    <w:rsid w:val="008058C3"/>
    <w:rsid w:val="00805F15"/>
    <w:rsid w:val="0080615A"/>
    <w:rsid w:val="00806AAF"/>
    <w:rsid w:val="00806EA1"/>
    <w:rsid w:val="008070AC"/>
    <w:rsid w:val="008074A5"/>
    <w:rsid w:val="008074C6"/>
    <w:rsid w:val="00807D99"/>
    <w:rsid w:val="0081015F"/>
    <w:rsid w:val="008101FD"/>
    <w:rsid w:val="00810D8D"/>
    <w:rsid w:val="00811835"/>
    <w:rsid w:val="00811847"/>
    <w:rsid w:val="00811E58"/>
    <w:rsid w:val="00811EE5"/>
    <w:rsid w:val="008128B1"/>
    <w:rsid w:val="00812FCD"/>
    <w:rsid w:val="00813FD5"/>
    <w:rsid w:val="0081452D"/>
    <w:rsid w:val="00814E3E"/>
    <w:rsid w:val="00814F60"/>
    <w:rsid w:val="008156F8"/>
    <w:rsid w:val="0081581D"/>
    <w:rsid w:val="00815A5A"/>
    <w:rsid w:val="008168B9"/>
    <w:rsid w:val="00816E9B"/>
    <w:rsid w:val="00816FCB"/>
    <w:rsid w:val="0081726C"/>
    <w:rsid w:val="008172BE"/>
    <w:rsid w:val="00817B71"/>
    <w:rsid w:val="00817F01"/>
    <w:rsid w:val="00820244"/>
    <w:rsid w:val="008205E8"/>
    <w:rsid w:val="00820C37"/>
    <w:rsid w:val="00820DCE"/>
    <w:rsid w:val="0082102D"/>
    <w:rsid w:val="00821099"/>
    <w:rsid w:val="008221B3"/>
    <w:rsid w:val="0082232D"/>
    <w:rsid w:val="0082248E"/>
    <w:rsid w:val="008224EA"/>
    <w:rsid w:val="0082272E"/>
    <w:rsid w:val="008228D4"/>
    <w:rsid w:val="00822944"/>
    <w:rsid w:val="00822E2E"/>
    <w:rsid w:val="008235ED"/>
    <w:rsid w:val="00823D02"/>
    <w:rsid w:val="00823FB6"/>
    <w:rsid w:val="00824462"/>
    <w:rsid w:val="00824B6F"/>
    <w:rsid w:val="00824E0E"/>
    <w:rsid w:val="00824FDF"/>
    <w:rsid w:val="00825125"/>
    <w:rsid w:val="0082518E"/>
    <w:rsid w:val="00825749"/>
    <w:rsid w:val="008257CC"/>
    <w:rsid w:val="0082584D"/>
    <w:rsid w:val="00825F5C"/>
    <w:rsid w:val="00825F8E"/>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242"/>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631"/>
    <w:rsid w:val="0089176E"/>
    <w:rsid w:val="008917E0"/>
    <w:rsid w:val="008918B6"/>
    <w:rsid w:val="00891D92"/>
    <w:rsid w:val="00892365"/>
    <w:rsid w:val="0089278A"/>
    <w:rsid w:val="00892929"/>
    <w:rsid w:val="00892BE5"/>
    <w:rsid w:val="0089387C"/>
    <w:rsid w:val="00893CD6"/>
    <w:rsid w:val="0089444E"/>
    <w:rsid w:val="008947A4"/>
    <w:rsid w:val="008949DF"/>
    <w:rsid w:val="00894C6C"/>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06A"/>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6C5A"/>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C2B"/>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0D7"/>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352"/>
    <w:rsid w:val="008D5A60"/>
    <w:rsid w:val="008D5D5C"/>
    <w:rsid w:val="008D60BC"/>
    <w:rsid w:val="008D665E"/>
    <w:rsid w:val="008D6D7B"/>
    <w:rsid w:val="008D6EA4"/>
    <w:rsid w:val="008D7041"/>
    <w:rsid w:val="008D7D04"/>
    <w:rsid w:val="008D7EB7"/>
    <w:rsid w:val="008E0430"/>
    <w:rsid w:val="008E0954"/>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E77D2"/>
    <w:rsid w:val="008E792B"/>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1F0"/>
    <w:rsid w:val="008F66FE"/>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1692"/>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0AE"/>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10B"/>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38B"/>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3F03"/>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81C"/>
    <w:rsid w:val="00960980"/>
    <w:rsid w:val="00960CE7"/>
    <w:rsid w:val="00961A13"/>
    <w:rsid w:val="0096229D"/>
    <w:rsid w:val="009628EE"/>
    <w:rsid w:val="00962D49"/>
    <w:rsid w:val="00962EB2"/>
    <w:rsid w:val="00962F6F"/>
    <w:rsid w:val="00963B86"/>
    <w:rsid w:val="00964777"/>
    <w:rsid w:val="0096575F"/>
    <w:rsid w:val="009657F1"/>
    <w:rsid w:val="00965C8A"/>
    <w:rsid w:val="0096625D"/>
    <w:rsid w:val="0096648B"/>
    <w:rsid w:val="009664F5"/>
    <w:rsid w:val="00966D6F"/>
    <w:rsid w:val="009677F0"/>
    <w:rsid w:val="009705D8"/>
    <w:rsid w:val="009709F8"/>
    <w:rsid w:val="00970BD4"/>
    <w:rsid w:val="0097205A"/>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294"/>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C6F"/>
    <w:rsid w:val="009A14EF"/>
    <w:rsid w:val="009A1729"/>
    <w:rsid w:val="009A1CC9"/>
    <w:rsid w:val="009A201A"/>
    <w:rsid w:val="009A2DF9"/>
    <w:rsid w:val="009A3717"/>
    <w:rsid w:val="009A373B"/>
    <w:rsid w:val="009A3A86"/>
    <w:rsid w:val="009A3DB8"/>
    <w:rsid w:val="009A4282"/>
    <w:rsid w:val="009A4869"/>
    <w:rsid w:val="009A4D51"/>
    <w:rsid w:val="009A5091"/>
    <w:rsid w:val="009A6A6B"/>
    <w:rsid w:val="009A777F"/>
    <w:rsid w:val="009A7929"/>
    <w:rsid w:val="009A7DAA"/>
    <w:rsid w:val="009B0270"/>
    <w:rsid w:val="009B03F6"/>
    <w:rsid w:val="009B0DEC"/>
    <w:rsid w:val="009B1EF9"/>
    <w:rsid w:val="009B24E0"/>
    <w:rsid w:val="009B26AC"/>
    <w:rsid w:val="009B2A15"/>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5D9F"/>
    <w:rsid w:val="009C7249"/>
    <w:rsid w:val="009C7320"/>
    <w:rsid w:val="009C76FC"/>
    <w:rsid w:val="009C7DA3"/>
    <w:rsid w:val="009D0729"/>
    <w:rsid w:val="009D0D15"/>
    <w:rsid w:val="009D0DC6"/>
    <w:rsid w:val="009D0F66"/>
    <w:rsid w:val="009D1002"/>
    <w:rsid w:val="009D1621"/>
    <w:rsid w:val="009D1A06"/>
    <w:rsid w:val="009D1BA4"/>
    <w:rsid w:val="009D20A9"/>
    <w:rsid w:val="009D20C9"/>
    <w:rsid w:val="009D20D1"/>
    <w:rsid w:val="009D22E4"/>
    <w:rsid w:val="009D22F7"/>
    <w:rsid w:val="009D319C"/>
    <w:rsid w:val="009D3247"/>
    <w:rsid w:val="009D3B23"/>
    <w:rsid w:val="009D4C59"/>
    <w:rsid w:val="009D4CBF"/>
    <w:rsid w:val="009D5840"/>
    <w:rsid w:val="009D590D"/>
    <w:rsid w:val="009D5BAB"/>
    <w:rsid w:val="009D5FF6"/>
    <w:rsid w:val="009D6051"/>
    <w:rsid w:val="009D6A0A"/>
    <w:rsid w:val="009D7580"/>
    <w:rsid w:val="009E0163"/>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5AE"/>
    <w:rsid w:val="009F266E"/>
    <w:rsid w:val="009F27AD"/>
    <w:rsid w:val="009F2805"/>
    <w:rsid w:val="009F3FB5"/>
    <w:rsid w:val="009F4129"/>
    <w:rsid w:val="009F4E17"/>
    <w:rsid w:val="009F521F"/>
    <w:rsid w:val="009F5356"/>
    <w:rsid w:val="009F553C"/>
    <w:rsid w:val="009F59F8"/>
    <w:rsid w:val="009F7044"/>
    <w:rsid w:val="009F73D4"/>
    <w:rsid w:val="00A00457"/>
    <w:rsid w:val="00A005B0"/>
    <w:rsid w:val="00A00D7C"/>
    <w:rsid w:val="00A00F79"/>
    <w:rsid w:val="00A01370"/>
    <w:rsid w:val="00A01373"/>
    <w:rsid w:val="00A01514"/>
    <w:rsid w:val="00A01563"/>
    <w:rsid w:val="00A0186E"/>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0D21"/>
    <w:rsid w:val="00A11C08"/>
    <w:rsid w:val="00A11F8C"/>
    <w:rsid w:val="00A1200D"/>
    <w:rsid w:val="00A129D8"/>
    <w:rsid w:val="00A13415"/>
    <w:rsid w:val="00A13610"/>
    <w:rsid w:val="00A137E4"/>
    <w:rsid w:val="00A1396C"/>
    <w:rsid w:val="00A13AF1"/>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6843"/>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A5A"/>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3E5"/>
    <w:rsid w:val="00A57413"/>
    <w:rsid w:val="00A57DC7"/>
    <w:rsid w:val="00A57F1A"/>
    <w:rsid w:val="00A60163"/>
    <w:rsid w:val="00A6038D"/>
    <w:rsid w:val="00A60CF0"/>
    <w:rsid w:val="00A613CF"/>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020"/>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87A2C"/>
    <w:rsid w:val="00A90165"/>
    <w:rsid w:val="00A90D5D"/>
    <w:rsid w:val="00A90E72"/>
    <w:rsid w:val="00A92286"/>
    <w:rsid w:val="00A922A2"/>
    <w:rsid w:val="00A93050"/>
    <w:rsid w:val="00A931F9"/>
    <w:rsid w:val="00A9327B"/>
    <w:rsid w:val="00A9361B"/>
    <w:rsid w:val="00A9396C"/>
    <w:rsid w:val="00A93AA6"/>
    <w:rsid w:val="00A93B69"/>
    <w:rsid w:val="00A94335"/>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F38"/>
    <w:rsid w:val="00AB43EC"/>
    <w:rsid w:val="00AB4BF4"/>
    <w:rsid w:val="00AB4D91"/>
    <w:rsid w:val="00AB50AF"/>
    <w:rsid w:val="00AB50FC"/>
    <w:rsid w:val="00AB577C"/>
    <w:rsid w:val="00AB5ADF"/>
    <w:rsid w:val="00AB5E57"/>
    <w:rsid w:val="00AB5FB8"/>
    <w:rsid w:val="00AB61A8"/>
    <w:rsid w:val="00AB725F"/>
    <w:rsid w:val="00AB7404"/>
    <w:rsid w:val="00AB7525"/>
    <w:rsid w:val="00AC00EF"/>
    <w:rsid w:val="00AC0705"/>
    <w:rsid w:val="00AC087D"/>
    <w:rsid w:val="00AC109B"/>
    <w:rsid w:val="00AC209E"/>
    <w:rsid w:val="00AC2107"/>
    <w:rsid w:val="00AC3007"/>
    <w:rsid w:val="00AC3456"/>
    <w:rsid w:val="00AC36A6"/>
    <w:rsid w:val="00AC36EF"/>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9AD"/>
    <w:rsid w:val="00AD1CD2"/>
    <w:rsid w:val="00AD1DB7"/>
    <w:rsid w:val="00AD1E29"/>
    <w:rsid w:val="00AD2244"/>
    <w:rsid w:val="00AD2439"/>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8C2"/>
    <w:rsid w:val="00AE3B4E"/>
    <w:rsid w:val="00AE4DDA"/>
    <w:rsid w:val="00AE4FEE"/>
    <w:rsid w:val="00AE59EC"/>
    <w:rsid w:val="00AE67B3"/>
    <w:rsid w:val="00AE6A47"/>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4C25"/>
    <w:rsid w:val="00AF5021"/>
    <w:rsid w:val="00AF5194"/>
    <w:rsid w:val="00AF53EF"/>
    <w:rsid w:val="00AF60E1"/>
    <w:rsid w:val="00AF73C3"/>
    <w:rsid w:val="00AF784F"/>
    <w:rsid w:val="00AF795C"/>
    <w:rsid w:val="00AF7ADA"/>
    <w:rsid w:val="00B0053D"/>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33E"/>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1225"/>
    <w:rsid w:val="00B31246"/>
    <w:rsid w:val="00B315E3"/>
    <w:rsid w:val="00B31D6D"/>
    <w:rsid w:val="00B32347"/>
    <w:rsid w:val="00B326FF"/>
    <w:rsid w:val="00B32864"/>
    <w:rsid w:val="00B3299D"/>
    <w:rsid w:val="00B3378D"/>
    <w:rsid w:val="00B33CEE"/>
    <w:rsid w:val="00B340AA"/>
    <w:rsid w:val="00B3455B"/>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6BB"/>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14"/>
    <w:rsid w:val="00B71CA8"/>
    <w:rsid w:val="00B71DC8"/>
    <w:rsid w:val="00B722A4"/>
    <w:rsid w:val="00B72701"/>
    <w:rsid w:val="00B736D1"/>
    <w:rsid w:val="00B73A6A"/>
    <w:rsid w:val="00B746C6"/>
    <w:rsid w:val="00B74B5B"/>
    <w:rsid w:val="00B75E8D"/>
    <w:rsid w:val="00B7604C"/>
    <w:rsid w:val="00B7652C"/>
    <w:rsid w:val="00B76639"/>
    <w:rsid w:val="00B766BF"/>
    <w:rsid w:val="00B76FA6"/>
    <w:rsid w:val="00B7703D"/>
    <w:rsid w:val="00B774B7"/>
    <w:rsid w:val="00B8037A"/>
    <w:rsid w:val="00B80910"/>
    <w:rsid w:val="00B80B71"/>
    <w:rsid w:val="00B81386"/>
    <w:rsid w:val="00B818F4"/>
    <w:rsid w:val="00B81BC9"/>
    <w:rsid w:val="00B81BF5"/>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844"/>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1A23"/>
    <w:rsid w:val="00BA2FEF"/>
    <w:rsid w:val="00BA3D6F"/>
    <w:rsid w:val="00BA4F1C"/>
    <w:rsid w:val="00BA584C"/>
    <w:rsid w:val="00BA5E62"/>
    <w:rsid w:val="00BA6425"/>
    <w:rsid w:val="00BA66A2"/>
    <w:rsid w:val="00BA6D52"/>
    <w:rsid w:val="00BA716D"/>
    <w:rsid w:val="00BA7E34"/>
    <w:rsid w:val="00BA7E4E"/>
    <w:rsid w:val="00BA7E92"/>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C00EC"/>
    <w:rsid w:val="00BC01DD"/>
    <w:rsid w:val="00BC04E1"/>
    <w:rsid w:val="00BC08C5"/>
    <w:rsid w:val="00BC0A5B"/>
    <w:rsid w:val="00BC1141"/>
    <w:rsid w:val="00BC1206"/>
    <w:rsid w:val="00BC12FB"/>
    <w:rsid w:val="00BC13BA"/>
    <w:rsid w:val="00BC160A"/>
    <w:rsid w:val="00BC1A3C"/>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3A8"/>
    <w:rsid w:val="00BD0444"/>
    <w:rsid w:val="00BD051B"/>
    <w:rsid w:val="00BD0F02"/>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B19"/>
    <w:rsid w:val="00BE0DD8"/>
    <w:rsid w:val="00BE13F0"/>
    <w:rsid w:val="00BE1D82"/>
    <w:rsid w:val="00BE1EE4"/>
    <w:rsid w:val="00BE1F8B"/>
    <w:rsid w:val="00BE27E4"/>
    <w:rsid w:val="00BE2B4F"/>
    <w:rsid w:val="00BE2F39"/>
    <w:rsid w:val="00BE31F0"/>
    <w:rsid w:val="00BE321B"/>
    <w:rsid w:val="00BE332D"/>
    <w:rsid w:val="00BE3808"/>
    <w:rsid w:val="00BE3CF1"/>
    <w:rsid w:val="00BE3DC2"/>
    <w:rsid w:val="00BE4211"/>
    <w:rsid w:val="00BE4B20"/>
    <w:rsid w:val="00BE4E50"/>
    <w:rsid w:val="00BE550B"/>
    <w:rsid w:val="00BE5786"/>
    <w:rsid w:val="00BE5CBD"/>
    <w:rsid w:val="00BE5FC4"/>
    <w:rsid w:val="00BE6592"/>
    <w:rsid w:val="00BE65AF"/>
    <w:rsid w:val="00BE684E"/>
    <w:rsid w:val="00BE6C02"/>
    <w:rsid w:val="00BE6EA1"/>
    <w:rsid w:val="00BE7529"/>
    <w:rsid w:val="00BE7BC8"/>
    <w:rsid w:val="00BE7C4D"/>
    <w:rsid w:val="00BE7D16"/>
    <w:rsid w:val="00BE7D1F"/>
    <w:rsid w:val="00BE7F6A"/>
    <w:rsid w:val="00BF00E9"/>
    <w:rsid w:val="00BF0274"/>
    <w:rsid w:val="00BF0296"/>
    <w:rsid w:val="00BF056E"/>
    <w:rsid w:val="00BF06F9"/>
    <w:rsid w:val="00BF08C4"/>
    <w:rsid w:val="00BF0BAF"/>
    <w:rsid w:val="00BF19CE"/>
    <w:rsid w:val="00BF1DCB"/>
    <w:rsid w:val="00BF1FEB"/>
    <w:rsid w:val="00BF2A35"/>
    <w:rsid w:val="00BF2B6F"/>
    <w:rsid w:val="00BF3298"/>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10E"/>
    <w:rsid w:val="00C12874"/>
    <w:rsid w:val="00C12990"/>
    <w:rsid w:val="00C12BC1"/>
    <w:rsid w:val="00C12FD2"/>
    <w:rsid w:val="00C133FF"/>
    <w:rsid w:val="00C13BB5"/>
    <w:rsid w:val="00C13BDA"/>
    <w:rsid w:val="00C13FFD"/>
    <w:rsid w:val="00C14083"/>
    <w:rsid w:val="00C14632"/>
    <w:rsid w:val="00C147BE"/>
    <w:rsid w:val="00C14F0E"/>
    <w:rsid w:val="00C1535F"/>
    <w:rsid w:val="00C167DB"/>
    <w:rsid w:val="00C16C30"/>
    <w:rsid w:val="00C17952"/>
    <w:rsid w:val="00C17FDB"/>
    <w:rsid w:val="00C20A00"/>
    <w:rsid w:val="00C20BA6"/>
    <w:rsid w:val="00C21673"/>
    <w:rsid w:val="00C21C7A"/>
    <w:rsid w:val="00C22B65"/>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3C7"/>
    <w:rsid w:val="00C3654C"/>
    <w:rsid w:val="00C3656F"/>
    <w:rsid w:val="00C36BF5"/>
    <w:rsid w:val="00C36DBC"/>
    <w:rsid w:val="00C37360"/>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1E"/>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1DE3"/>
    <w:rsid w:val="00C92C7F"/>
    <w:rsid w:val="00C9369D"/>
    <w:rsid w:val="00C9383D"/>
    <w:rsid w:val="00C944FA"/>
    <w:rsid w:val="00C95617"/>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3180"/>
    <w:rsid w:val="00CB3808"/>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1F5"/>
    <w:rsid w:val="00CD1C0B"/>
    <w:rsid w:val="00CD239A"/>
    <w:rsid w:val="00CD256A"/>
    <w:rsid w:val="00CD469A"/>
    <w:rsid w:val="00CD48BB"/>
    <w:rsid w:val="00CD4BE7"/>
    <w:rsid w:val="00CD4E78"/>
    <w:rsid w:val="00CD5098"/>
    <w:rsid w:val="00CD50B1"/>
    <w:rsid w:val="00CD5512"/>
    <w:rsid w:val="00CD5BCB"/>
    <w:rsid w:val="00CD677B"/>
    <w:rsid w:val="00CD6A95"/>
    <w:rsid w:val="00CD6B7C"/>
    <w:rsid w:val="00CD6C64"/>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8AE"/>
    <w:rsid w:val="00CE7E62"/>
    <w:rsid w:val="00CF1124"/>
    <w:rsid w:val="00CF195E"/>
    <w:rsid w:val="00CF19DA"/>
    <w:rsid w:val="00CF1C7F"/>
    <w:rsid w:val="00CF1CC0"/>
    <w:rsid w:val="00CF24F8"/>
    <w:rsid w:val="00CF2628"/>
    <w:rsid w:val="00CF2653"/>
    <w:rsid w:val="00CF2E6A"/>
    <w:rsid w:val="00CF3007"/>
    <w:rsid w:val="00CF3CD3"/>
    <w:rsid w:val="00CF3D5A"/>
    <w:rsid w:val="00CF4247"/>
    <w:rsid w:val="00CF5190"/>
    <w:rsid w:val="00CF5239"/>
    <w:rsid w:val="00CF5263"/>
    <w:rsid w:val="00CF5418"/>
    <w:rsid w:val="00CF5A56"/>
    <w:rsid w:val="00CF5E61"/>
    <w:rsid w:val="00CF60B5"/>
    <w:rsid w:val="00CF721A"/>
    <w:rsid w:val="00CF7408"/>
    <w:rsid w:val="00CF7ACF"/>
    <w:rsid w:val="00CF7AE2"/>
    <w:rsid w:val="00D001A4"/>
    <w:rsid w:val="00D004FA"/>
    <w:rsid w:val="00D00CBA"/>
    <w:rsid w:val="00D00CDB"/>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653A"/>
    <w:rsid w:val="00D071F8"/>
    <w:rsid w:val="00D07252"/>
    <w:rsid w:val="00D074F4"/>
    <w:rsid w:val="00D07A3B"/>
    <w:rsid w:val="00D07CE1"/>
    <w:rsid w:val="00D07DDA"/>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83B"/>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4EA"/>
    <w:rsid w:val="00D32786"/>
    <w:rsid w:val="00D32A09"/>
    <w:rsid w:val="00D3323C"/>
    <w:rsid w:val="00D33456"/>
    <w:rsid w:val="00D336CF"/>
    <w:rsid w:val="00D3396F"/>
    <w:rsid w:val="00D33D4D"/>
    <w:rsid w:val="00D341AF"/>
    <w:rsid w:val="00D34988"/>
    <w:rsid w:val="00D34A0B"/>
    <w:rsid w:val="00D3566C"/>
    <w:rsid w:val="00D36234"/>
    <w:rsid w:val="00D36371"/>
    <w:rsid w:val="00D364C2"/>
    <w:rsid w:val="00D3768F"/>
    <w:rsid w:val="00D41005"/>
    <w:rsid w:val="00D41C80"/>
    <w:rsid w:val="00D41CC4"/>
    <w:rsid w:val="00D4229C"/>
    <w:rsid w:val="00D42B94"/>
    <w:rsid w:val="00D437D8"/>
    <w:rsid w:val="00D43B24"/>
    <w:rsid w:val="00D44994"/>
    <w:rsid w:val="00D44E40"/>
    <w:rsid w:val="00D45630"/>
    <w:rsid w:val="00D45C8D"/>
    <w:rsid w:val="00D45DF3"/>
    <w:rsid w:val="00D46174"/>
    <w:rsid w:val="00D47DD0"/>
    <w:rsid w:val="00D50183"/>
    <w:rsid w:val="00D51D12"/>
    <w:rsid w:val="00D521B2"/>
    <w:rsid w:val="00D523C9"/>
    <w:rsid w:val="00D52F94"/>
    <w:rsid w:val="00D534B6"/>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9C6"/>
    <w:rsid w:val="00D90CD3"/>
    <w:rsid w:val="00D90E2C"/>
    <w:rsid w:val="00D919E6"/>
    <w:rsid w:val="00D919F0"/>
    <w:rsid w:val="00D91BE1"/>
    <w:rsid w:val="00D91F8B"/>
    <w:rsid w:val="00D92B24"/>
    <w:rsid w:val="00D92C29"/>
    <w:rsid w:val="00D93252"/>
    <w:rsid w:val="00D936E2"/>
    <w:rsid w:val="00D93D35"/>
    <w:rsid w:val="00D945B3"/>
    <w:rsid w:val="00D94A9F"/>
    <w:rsid w:val="00D94ACD"/>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6E2D"/>
    <w:rsid w:val="00DA702F"/>
    <w:rsid w:val="00DA714D"/>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47E"/>
    <w:rsid w:val="00DC5672"/>
    <w:rsid w:val="00DC5726"/>
    <w:rsid w:val="00DC5839"/>
    <w:rsid w:val="00DC5B56"/>
    <w:rsid w:val="00DC60A2"/>
    <w:rsid w:val="00DC6600"/>
    <w:rsid w:val="00DC66CA"/>
    <w:rsid w:val="00DC67BD"/>
    <w:rsid w:val="00DC6924"/>
    <w:rsid w:val="00DC71F2"/>
    <w:rsid w:val="00DC73F9"/>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89C"/>
    <w:rsid w:val="00DE3979"/>
    <w:rsid w:val="00DE4B54"/>
    <w:rsid w:val="00DE4C15"/>
    <w:rsid w:val="00DE52E3"/>
    <w:rsid w:val="00DE608A"/>
    <w:rsid w:val="00DE70CB"/>
    <w:rsid w:val="00DE79ED"/>
    <w:rsid w:val="00DE7C00"/>
    <w:rsid w:val="00DF03E9"/>
    <w:rsid w:val="00DF03ED"/>
    <w:rsid w:val="00DF04EE"/>
    <w:rsid w:val="00DF0BF4"/>
    <w:rsid w:val="00DF0E41"/>
    <w:rsid w:val="00DF0E91"/>
    <w:rsid w:val="00DF10B2"/>
    <w:rsid w:val="00DF179D"/>
    <w:rsid w:val="00DF1803"/>
    <w:rsid w:val="00DF196C"/>
    <w:rsid w:val="00DF1E9C"/>
    <w:rsid w:val="00DF2168"/>
    <w:rsid w:val="00DF2D2C"/>
    <w:rsid w:val="00DF3B17"/>
    <w:rsid w:val="00DF4572"/>
    <w:rsid w:val="00DF4658"/>
    <w:rsid w:val="00DF4C46"/>
    <w:rsid w:val="00DF5A1C"/>
    <w:rsid w:val="00DF5C5B"/>
    <w:rsid w:val="00DF61D3"/>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5CE"/>
    <w:rsid w:val="00E05AFD"/>
    <w:rsid w:val="00E06521"/>
    <w:rsid w:val="00E06528"/>
    <w:rsid w:val="00E066DB"/>
    <w:rsid w:val="00E0728F"/>
    <w:rsid w:val="00E0749C"/>
    <w:rsid w:val="00E0755C"/>
    <w:rsid w:val="00E07679"/>
    <w:rsid w:val="00E10021"/>
    <w:rsid w:val="00E1010C"/>
    <w:rsid w:val="00E1060D"/>
    <w:rsid w:val="00E112CA"/>
    <w:rsid w:val="00E113C6"/>
    <w:rsid w:val="00E128E9"/>
    <w:rsid w:val="00E12BE1"/>
    <w:rsid w:val="00E12DA1"/>
    <w:rsid w:val="00E142BE"/>
    <w:rsid w:val="00E14A7E"/>
    <w:rsid w:val="00E151E1"/>
    <w:rsid w:val="00E15AB0"/>
    <w:rsid w:val="00E16766"/>
    <w:rsid w:val="00E16771"/>
    <w:rsid w:val="00E16E07"/>
    <w:rsid w:val="00E174A2"/>
    <w:rsid w:val="00E17619"/>
    <w:rsid w:val="00E17687"/>
    <w:rsid w:val="00E17805"/>
    <w:rsid w:val="00E178F3"/>
    <w:rsid w:val="00E17CAC"/>
    <w:rsid w:val="00E203CF"/>
    <w:rsid w:val="00E20AD3"/>
    <w:rsid w:val="00E20F79"/>
    <w:rsid w:val="00E21278"/>
    <w:rsid w:val="00E2150A"/>
    <w:rsid w:val="00E22CCD"/>
    <w:rsid w:val="00E23296"/>
    <w:rsid w:val="00E23799"/>
    <w:rsid w:val="00E239FC"/>
    <w:rsid w:val="00E23A11"/>
    <w:rsid w:val="00E23FB7"/>
    <w:rsid w:val="00E24187"/>
    <w:rsid w:val="00E24A27"/>
    <w:rsid w:val="00E24B5C"/>
    <w:rsid w:val="00E25934"/>
    <w:rsid w:val="00E25F89"/>
    <w:rsid w:val="00E26009"/>
    <w:rsid w:val="00E26387"/>
    <w:rsid w:val="00E271D9"/>
    <w:rsid w:val="00E274C4"/>
    <w:rsid w:val="00E27A60"/>
    <w:rsid w:val="00E27CC0"/>
    <w:rsid w:val="00E3016C"/>
    <w:rsid w:val="00E30808"/>
    <w:rsid w:val="00E3117A"/>
    <w:rsid w:val="00E311C3"/>
    <w:rsid w:val="00E3138E"/>
    <w:rsid w:val="00E31FD6"/>
    <w:rsid w:val="00E32D62"/>
    <w:rsid w:val="00E339DC"/>
    <w:rsid w:val="00E33E15"/>
    <w:rsid w:val="00E352B0"/>
    <w:rsid w:val="00E353A4"/>
    <w:rsid w:val="00E35923"/>
    <w:rsid w:val="00E361B8"/>
    <w:rsid w:val="00E36A1B"/>
    <w:rsid w:val="00E378A0"/>
    <w:rsid w:val="00E37DDE"/>
    <w:rsid w:val="00E40876"/>
    <w:rsid w:val="00E40949"/>
    <w:rsid w:val="00E40BCF"/>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113"/>
    <w:rsid w:val="00E523C6"/>
    <w:rsid w:val="00E52435"/>
    <w:rsid w:val="00E52904"/>
    <w:rsid w:val="00E52C52"/>
    <w:rsid w:val="00E53122"/>
    <w:rsid w:val="00E5340C"/>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3AA"/>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49D5"/>
    <w:rsid w:val="00E8519F"/>
    <w:rsid w:val="00E85387"/>
    <w:rsid w:val="00E85724"/>
    <w:rsid w:val="00E85CC3"/>
    <w:rsid w:val="00E85F2E"/>
    <w:rsid w:val="00E8644A"/>
    <w:rsid w:val="00E870A9"/>
    <w:rsid w:val="00E8724B"/>
    <w:rsid w:val="00E90230"/>
    <w:rsid w:val="00E90279"/>
    <w:rsid w:val="00E90635"/>
    <w:rsid w:val="00E909A1"/>
    <w:rsid w:val="00E90BFF"/>
    <w:rsid w:val="00E91F04"/>
    <w:rsid w:val="00E91F35"/>
    <w:rsid w:val="00E921ED"/>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591"/>
    <w:rsid w:val="00EA3B5A"/>
    <w:rsid w:val="00EA3E8D"/>
    <w:rsid w:val="00EA4100"/>
    <w:rsid w:val="00EA410E"/>
    <w:rsid w:val="00EA4155"/>
    <w:rsid w:val="00EA4FD1"/>
    <w:rsid w:val="00EA53C2"/>
    <w:rsid w:val="00EA55ED"/>
    <w:rsid w:val="00EA5695"/>
    <w:rsid w:val="00EA5ADC"/>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ADC"/>
    <w:rsid w:val="00EC2BF5"/>
    <w:rsid w:val="00EC2E2D"/>
    <w:rsid w:val="00EC363A"/>
    <w:rsid w:val="00EC370B"/>
    <w:rsid w:val="00EC391D"/>
    <w:rsid w:val="00EC462B"/>
    <w:rsid w:val="00EC4723"/>
    <w:rsid w:val="00EC4ECF"/>
    <w:rsid w:val="00EC56E0"/>
    <w:rsid w:val="00EC6057"/>
    <w:rsid w:val="00EC6847"/>
    <w:rsid w:val="00EC6EB4"/>
    <w:rsid w:val="00EC774D"/>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5A"/>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172"/>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0271"/>
    <w:rsid w:val="00F512B2"/>
    <w:rsid w:val="00F5283D"/>
    <w:rsid w:val="00F52ABA"/>
    <w:rsid w:val="00F52BC7"/>
    <w:rsid w:val="00F53B76"/>
    <w:rsid w:val="00F53BF4"/>
    <w:rsid w:val="00F53D06"/>
    <w:rsid w:val="00F54266"/>
    <w:rsid w:val="00F54E4C"/>
    <w:rsid w:val="00F55043"/>
    <w:rsid w:val="00F5626D"/>
    <w:rsid w:val="00F56681"/>
    <w:rsid w:val="00F56B69"/>
    <w:rsid w:val="00F56DCF"/>
    <w:rsid w:val="00F57034"/>
    <w:rsid w:val="00F57B1F"/>
    <w:rsid w:val="00F60BE9"/>
    <w:rsid w:val="00F61BBC"/>
    <w:rsid w:val="00F61FD8"/>
    <w:rsid w:val="00F62473"/>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63"/>
    <w:rsid w:val="00F818AE"/>
    <w:rsid w:val="00F81B40"/>
    <w:rsid w:val="00F81C81"/>
    <w:rsid w:val="00F81DC2"/>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39"/>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321"/>
    <w:rsid w:val="00FB1527"/>
    <w:rsid w:val="00FB1E67"/>
    <w:rsid w:val="00FB2537"/>
    <w:rsid w:val="00FB2942"/>
    <w:rsid w:val="00FB2B04"/>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6B47"/>
    <w:rsid w:val="00FC7528"/>
    <w:rsid w:val="00FD0572"/>
    <w:rsid w:val="00FD0A9B"/>
    <w:rsid w:val="00FD1A97"/>
    <w:rsid w:val="00FD285E"/>
    <w:rsid w:val="00FD2D7B"/>
    <w:rsid w:val="00FD3027"/>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2F3A"/>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7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EC774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43672D"/>
    <w:pPr>
      <w:autoSpaceDE/>
      <w:autoSpaceDN/>
      <w:adjustRightInd/>
      <w:snapToGrid/>
      <w:spacing w:after="160"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43672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uiPriority w:val="99"/>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21607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287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8279489">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6086">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346451">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09381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30C9AC5-8814-43B4-94A9-2B93AD41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3</Pages>
  <Words>1095</Words>
  <Characters>5609</Characters>
  <Application>Microsoft Office Word</Application>
  <DocSecurity>0</DocSecurity>
  <Lines>224</Lines>
  <Paragraphs>103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cp:lastModifiedBy>
  <cp:revision>27</cp:revision>
  <cp:lastPrinted>2007-06-18T23:08:00Z</cp:lastPrinted>
  <dcterms:created xsi:type="dcterms:W3CDTF">2021-05-11T14:57:00Z</dcterms:created>
  <dcterms:modified xsi:type="dcterms:W3CDTF">2021-10-01T19:01:00Z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(3)HptUilQBLrdaalyi22XrV1ztUyjGHt6v8fI5sh1Y/L5igbQsyXMMhPm9nxb8AB2B2NG0xcDi
a3to2RX9O30wW9JQgkTeptxzvQqzu6YThD3nsJRdc+vxlq1BxJinesZiCkD6Pd4m7Y67Op3P
ok75CLr0LnqywzrCgj/2hdbq9Sir3TMYJefln07CPJt8tpMGas1SoJSTLSyZLimtSJP9594t
UWlBh7K36EKLpHAsdT</vt:lpwstr>
  </property>
  <property fmtid="{D5CDD505-2E9C-101B-9397-08002B2CF9AE}" pid="13" name="_2015_ms_pID_725343_00">
    <vt:lpwstr>_2015_ms_pID_725343</vt:lpwstr>
  </property>
  <property fmtid="{D5CDD505-2E9C-101B-9397-08002B2CF9AE}" pid="14" name="_2015_ms_pID_7253431">
    <vt:lpwstr>iA5KqY9Zjg6Ao7rpE7LmS9xRSWrCOn2KAayNPklLpwR5DsREU9yEVX
mEn6Qt5lhxX1aGQjP2UZyac3JLGMgIKOqaN462FWAr+n6cbAEI5nvX8HMxCnaxj4Ulp9Nfbq
XxMSwlh0zcraEFAuZQziVVUNVgwiZ30bgKu4k3ttS0hWsp7OKWbXU/3aJ3UbxYKhLazIcQi5
0FL2bLiusGc84OnXFAhEIHRPfLhw6qV/lLiD</vt:lpwstr>
  </property>
  <property fmtid="{D5CDD505-2E9C-101B-9397-08002B2CF9AE}" pid="15" name="_2015_ms_pID_7253431_00">
    <vt:lpwstr>_2015_ms_pID_7253431</vt:lpwstr>
  </property>
  <property fmtid="{D5CDD505-2E9C-101B-9397-08002B2CF9AE}" pid="16" name="_2015_ms_pID_7253432">
    <vt:lpwstr>ONU8b7wLtm9xetLO0eXcPWuBVKWmbRTNsWwd
HqqdhwjSuM1aX+1MshO+eghyxRnLWNotjhhExVz2jivh38fzBE8=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