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2B969BDA" w14:textId="21B33884" w:rsidR="009E5ACF" w:rsidRPr="00D74B92" w:rsidRDefault="009E5ACF" w:rsidP="009E5ACF">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5DCCA4D" wp14:editId="4249D12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34AD3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w:t>
      </w:r>
      <w:r w:rsidR="0065198B">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692D86" w:rsidRPr="00692D86">
        <w:rPr>
          <w:rFonts w:ascii="Arial" w:hAnsi="Arial" w:cs="Arial"/>
          <w:b/>
          <w:kern w:val="2"/>
          <w:lang w:eastAsia="zh-CN"/>
        </w:rPr>
        <w:t>R1-2108791</w:t>
      </w:r>
    </w:p>
    <w:p w14:paraId="2BCD7D70" w14:textId="56C4EE6D" w:rsidR="00E91F44" w:rsidRPr="007F5EC6" w:rsidRDefault="009E5ACF" w:rsidP="009E5ACF">
      <w:pPr>
        <w:jc w:val="left"/>
        <w:rPr>
          <w:rFonts w:ascii="Arial" w:hAnsi="Arial" w:cs="Arial"/>
          <w:b/>
          <w:kern w:val="2"/>
          <w:lang w:eastAsia="zh-CN"/>
        </w:rPr>
      </w:pPr>
      <w:r w:rsidRPr="00FF614E">
        <w:rPr>
          <w:rFonts w:ascii="Arial" w:hAnsi="Arial" w:cs="Arial"/>
          <w:b/>
          <w:kern w:val="2"/>
          <w:lang w:eastAsia="zh-CN"/>
        </w:rPr>
        <w:t xml:space="preserve">e-Meeting, </w:t>
      </w:r>
      <w:r w:rsidR="0065198B">
        <w:rPr>
          <w:rFonts w:ascii="Arial" w:hAnsi="Arial" w:cs="Arial"/>
          <w:b/>
          <w:kern w:val="2"/>
          <w:lang w:eastAsia="zh-CN"/>
        </w:rPr>
        <w:t>October</w:t>
      </w:r>
      <w:r w:rsidR="0065198B" w:rsidRPr="00D74C53">
        <w:rPr>
          <w:rFonts w:ascii="Arial" w:hAnsi="Arial" w:cs="Arial"/>
          <w:b/>
          <w:kern w:val="2"/>
          <w:lang w:eastAsia="zh-CN"/>
        </w:rPr>
        <w:t xml:space="preserve"> 1</w:t>
      </w:r>
      <w:r w:rsidR="0065198B">
        <w:rPr>
          <w:rFonts w:ascii="Arial" w:hAnsi="Arial" w:cs="Arial"/>
          <w:b/>
          <w:kern w:val="2"/>
          <w:lang w:eastAsia="zh-CN"/>
        </w:rPr>
        <w:t>1th</w:t>
      </w:r>
      <w:r w:rsidR="0065198B" w:rsidRPr="00D74C53">
        <w:rPr>
          <w:rFonts w:ascii="Arial" w:hAnsi="Arial" w:cs="Arial"/>
          <w:b/>
          <w:kern w:val="2"/>
          <w:lang w:eastAsia="zh-CN"/>
        </w:rPr>
        <w:t xml:space="preserve"> – </w:t>
      </w:r>
      <w:r w:rsidR="0065198B">
        <w:rPr>
          <w:rFonts w:ascii="Arial" w:hAnsi="Arial" w:cs="Arial"/>
          <w:b/>
          <w:kern w:val="2"/>
          <w:lang w:eastAsia="zh-CN"/>
        </w:rPr>
        <w:t>19</w:t>
      </w:r>
      <w:r w:rsidR="0065198B" w:rsidRPr="00D74C53">
        <w:rPr>
          <w:rFonts w:ascii="Arial" w:hAnsi="Arial" w:cs="Arial"/>
          <w:b/>
          <w:kern w:val="2"/>
          <w:lang w:eastAsia="zh-CN"/>
        </w:rPr>
        <w:t>th</w:t>
      </w:r>
      <w:r w:rsidRPr="00FF614E">
        <w:rPr>
          <w:rFonts w:ascii="Arial" w:hAnsi="Arial" w:cs="Arial"/>
          <w:b/>
          <w:kern w:val="2"/>
          <w:lang w:eastAsia="zh-CN"/>
        </w:rPr>
        <w:t>, 2021</w:t>
      </w:r>
    </w:p>
    <w:bookmarkEnd w:id="0"/>
    <w:p w14:paraId="7826937B" w14:textId="17FEE00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8.1.2.2</w:t>
      </w:r>
    </w:p>
    <w:p w14:paraId="7AF4C819" w14:textId="0C2AE7F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0E1588">
        <w:rPr>
          <w:rFonts w:ascii="Arial" w:hAnsi="Arial" w:cs="Arial"/>
          <w:b/>
          <w:bCs/>
          <w:caps/>
          <w:szCs w:val="24"/>
          <w:shd w:val="clear" w:color="auto" w:fill="FFFFFF"/>
        </w:rPr>
        <w:t>Futurewei</w:t>
      </w:r>
    </w:p>
    <w:p w14:paraId="592199C5" w14:textId="45CCCA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F016D" w:rsidRPr="004F016D">
        <w:rPr>
          <w:rFonts w:ascii="Arial" w:hAnsi="Arial" w:cs="Arial"/>
          <w:b/>
          <w:lang w:eastAsia="zh-CN"/>
        </w:rPr>
        <w:t>Inter-cell multi-TRP operation</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0643ACB" w14:textId="240E3242" w:rsidR="00727FE0" w:rsidRDefault="00727FE0" w:rsidP="00727FE0">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xml:space="preserve">) was approved. Among the multiple objectives in the WI, the following is concerned with </w:t>
      </w:r>
      <w:r w:rsidR="00492DE4">
        <w:rPr>
          <w:lang w:val="en-GB"/>
        </w:rPr>
        <w:t xml:space="preserve">inter-cell </w:t>
      </w:r>
      <w:r>
        <w:rPr>
          <w:lang w:val="en-GB"/>
        </w:rPr>
        <w:t>multi-TRP enhancements:</w:t>
      </w:r>
    </w:p>
    <w:p w14:paraId="30306D64" w14:textId="77777777" w:rsidR="00727FE0" w:rsidRPr="008413E4" w:rsidRDefault="00727FE0" w:rsidP="00727FE0">
      <w:pPr>
        <w:pStyle w:val="ListParagraph"/>
        <w:numPr>
          <w:ilvl w:val="0"/>
          <w:numId w:val="9"/>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7D676DD4" w14:textId="77777777" w:rsidR="00727FE0" w:rsidRPr="008413E4" w:rsidRDefault="00727FE0" w:rsidP="00492DE4">
      <w:pPr>
        <w:pStyle w:val="ListParagraph"/>
        <w:numPr>
          <w:ilvl w:val="1"/>
          <w:numId w:val="9"/>
        </w:numPr>
        <w:spacing w:after="0" w:line="240" w:lineRule="auto"/>
        <w:contextualSpacing w:val="0"/>
        <w:jc w:val="both"/>
        <w:rPr>
          <w:rFonts w:ascii="Times New Roman" w:hAnsi="Times New Roman"/>
          <w:i/>
        </w:rPr>
      </w:pPr>
      <w:r w:rsidRPr="008413E4">
        <w:rPr>
          <w:rFonts w:ascii="Times New Roman" w:hAnsi="Times New Roman"/>
          <w:i/>
        </w:rPr>
        <w:t>Identify and specify QCL/TCI-related enhancements to enable inter-cell multi-TRP operations, assuming multi-DCI based multi-PDSCH reception</w:t>
      </w:r>
    </w:p>
    <w:p w14:paraId="6BD94375" w14:textId="7F97D4BB" w:rsidR="004969E5" w:rsidRDefault="004A7BE4" w:rsidP="00492DE4">
      <w:pPr>
        <w:spacing w:beforeLines="50" w:before="120"/>
        <w:rPr>
          <w:lang w:val="en-GB"/>
        </w:rPr>
      </w:pPr>
      <w:r>
        <w:rPr>
          <w:lang w:val="en-GB"/>
        </w:rPr>
        <w:t>By</w:t>
      </w:r>
      <w:r w:rsidR="00E91F44">
        <w:rPr>
          <w:lang w:val="en-GB"/>
        </w:rPr>
        <w:t xml:space="preserve"> 3GPP RAN1 Meeting #10</w:t>
      </w:r>
      <w:r w:rsidR="00134B12">
        <w:rPr>
          <w:lang w:val="en-GB"/>
        </w:rPr>
        <w:t>6</w:t>
      </w:r>
      <w:r w:rsidR="00E91F44">
        <w:rPr>
          <w:lang w:val="en-GB"/>
        </w:rPr>
        <w:t xml:space="preserve">-e, </w:t>
      </w:r>
      <w:r>
        <w:rPr>
          <w:lang w:val="en-GB"/>
        </w:rPr>
        <w:t xml:space="preserve">several </w:t>
      </w:r>
      <w:r w:rsidR="00E91F44">
        <w:rPr>
          <w:lang w:val="en-GB"/>
        </w:rPr>
        <w:t>set</w:t>
      </w:r>
      <w:r>
        <w:rPr>
          <w:lang w:val="en-GB"/>
        </w:rPr>
        <w:t>s</w:t>
      </w:r>
      <w:r w:rsidR="00E91F44">
        <w:rPr>
          <w:lang w:val="en-GB"/>
        </w:rPr>
        <w:t xml:space="preserve"> of agreements</w:t>
      </w:r>
      <w:r>
        <w:rPr>
          <w:lang w:val="en-GB"/>
        </w:rPr>
        <w:t>/conclusions</w:t>
      </w:r>
      <w:r w:rsidR="00E91F44">
        <w:rPr>
          <w:lang w:val="en-GB"/>
        </w:rPr>
        <w:t xml:space="preserve"> were achieved.</w:t>
      </w:r>
      <w:r w:rsidR="00E91F44">
        <w:rPr>
          <w:rFonts w:hint="eastAsia"/>
          <w:lang w:val="en-GB"/>
        </w:rPr>
        <w:t xml:space="preserve"> </w:t>
      </w:r>
      <w:r>
        <w:rPr>
          <w:lang w:val="en-GB"/>
        </w:rPr>
        <w:t>Some key ones are captured below:</w:t>
      </w:r>
    </w:p>
    <w:p w14:paraId="2739E47F" w14:textId="77777777" w:rsidR="004969E5" w:rsidRPr="004969E5" w:rsidRDefault="004969E5" w:rsidP="004969E5">
      <w:pPr>
        <w:rPr>
          <w:b/>
          <w:bCs/>
          <w:i/>
          <w:iCs/>
          <w:lang w:eastAsia="x-none"/>
        </w:rPr>
      </w:pPr>
      <w:r w:rsidRPr="004969E5">
        <w:rPr>
          <w:b/>
          <w:bCs/>
          <w:i/>
          <w:iCs/>
          <w:highlight w:val="green"/>
          <w:lang w:eastAsia="x-none"/>
        </w:rPr>
        <w:t>Agreement</w:t>
      </w:r>
    </w:p>
    <w:p w14:paraId="72FFA68A" w14:textId="77777777" w:rsidR="004969E5" w:rsidRPr="004969E5" w:rsidRDefault="004969E5" w:rsidP="004969E5">
      <w:pPr>
        <w:rPr>
          <w:i/>
          <w:iCs/>
          <w:lang w:eastAsia="x-none"/>
        </w:rPr>
      </w:pPr>
      <w:r w:rsidRPr="004969E5">
        <w:rPr>
          <w:i/>
          <w:iCs/>
          <w:lang w:eastAsia="x-none"/>
        </w:rPr>
        <w:t>Non-serving cell information at least includes non-serving cell PCI to support inter-cell multi-DCI multi-TRP operation</w:t>
      </w:r>
    </w:p>
    <w:p w14:paraId="54A4E422"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FFS: Whether the indication of PCI is implicit or explicit</w:t>
      </w:r>
    </w:p>
    <w:p w14:paraId="71903C4C" w14:textId="77777777" w:rsidR="004969E5" w:rsidRPr="004969E5" w:rsidRDefault="004969E5" w:rsidP="004969E5">
      <w:pPr>
        <w:rPr>
          <w:b/>
          <w:bCs/>
          <w:i/>
          <w:iCs/>
          <w:highlight w:val="green"/>
          <w:lang w:eastAsia="zh-CN"/>
        </w:rPr>
      </w:pPr>
      <w:r w:rsidRPr="004969E5">
        <w:rPr>
          <w:b/>
          <w:bCs/>
          <w:i/>
          <w:iCs/>
          <w:highlight w:val="green"/>
          <w:lang w:eastAsia="zh-CN"/>
        </w:rPr>
        <w:t>Agreement</w:t>
      </w:r>
    </w:p>
    <w:p w14:paraId="456615D0" w14:textId="77777777" w:rsidR="004969E5" w:rsidRPr="004969E5" w:rsidRDefault="004969E5" w:rsidP="004969E5">
      <w:pPr>
        <w:rPr>
          <w:b/>
          <w:bCs/>
          <w:i/>
          <w:iCs/>
        </w:rPr>
      </w:pPr>
      <w:r w:rsidRPr="004969E5">
        <w:rPr>
          <w:i/>
          <w:iCs/>
        </w:rPr>
        <w:t xml:space="preserve">At least following non-serving cell SSB information are needed in inter-cell MTRP operation </w:t>
      </w:r>
    </w:p>
    <w:p w14:paraId="785F9D1B"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time domain position</w:t>
      </w:r>
    </w:p>
    <w:p w14:paraId="071B1F21"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periodicity</w:t>
      </w:r>
    </w:p>
    <w:p w14:paraId="3685F474"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SSB transmission power</w:t>
      </w:r>
    </w:p>
    <w:p w14:paraId="4BFFDA36"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Other non-serving cell information</w:t>
      </w:r>
    </w:p>
    <w:p w14:paraId="31631BD1" w14:textId="77777777" w:rsidR="004969E5" w:rsidRPr="004969E5" w:rsidRDefault="004969E5" w:rsidP="004969E5">
      <w:pPr>
        <w:pStyle w:val="paragraph"/>
        <w:spacing w:before="0" w:beforeAutospacing="0" w:after="0" w:afterAutospacing="0"/>
        <w:jc w:val="both"/>
        <w:textAlignment w:val="baseline"/>
        <w:rPr>
          <w:i/>
          <w:iCs/>
          <w:sz w:val="22"/>
          <w:szCs w:val="22"/>
        </w:rPr>
      </w:pPr>
      <w:r w:rsidRPr="004969E5">
        <w:rPr>
          <w:i/>
          <w:iCs/>
          <w:sz w:val="22"/>
          <w:szCs w:val="22"/>
        </w:rPr>
        <w:t>FFS: Whether indication of these information is implicit or explicit</w:t>
      </w:r>
    </w:p>
    <w:p w14:paraId="0CCD2B8A" w14:textId="77777777" w:rsidR="004969E5" w:rsidRPr="004969E5" w:rsidRDefault="004969E5" w:rsidP="004969E5">
      <w:pPr>
        <w:rPr>
          <w:rFonts w:eastAsia="DengXian"/>
          <w:b/>
          <w:bCs/>
          <w:i/>
          <w:iCs/>
          <w:lang w:eastAsia="zh-CN"/>
        </w:rPr>
      </w:pPr>
      <w:r w:rsidRPr="004969E5">
        <w:rPr>
          <w:rFonts w:eastAsia="DengXian"/>
          <w:b/>
          <w:bCs/>
          <w:i/>
          <w:iCs/>
          <w:lang w:eastAsia="zh-CN"/>
        </w:rPr>
        <w:t>Conclusion</w:t>
      </w:r>
    </w:p>
    <w:p w14:paraId="360C16DD" w14:textId="77777777" w:rsidR="004969E5" w:rsidRPr="004969E5" w:rsidRDefault="004969E5" w:rsidP="004969E5">
      <w:pPr>
        <w:rPr>
          <w:rFonts w:eastAsia="DengXian"/>
          <w:bCs/>
          <w:i/>
          <w:iCs/>
          <w:lang w:eastAsia="zh-CN"/>
        </w:rPr>
      </w:pPr>
      <w:r w:rsidRPr="004969E5">
        <w:rPr>
          <w:rFonts w:eastAsia="DengXian"/>
          <w:bCs/>
          <w:i/>
          <w:iCs/>
          <w:lang w:eastAsia="zh-CN"/>
        </w:rPr>
        <w:t>The UE may assume received DL transmission from multiple TRP within a CP in FR1 and FR2.</w:t>
      </w:r>
    </w:p>
    <w:p w14:paraId="08D5EBF0" w14:textId="77777777" w:rsidR="004969E5" w:rsidRPr="004969E5" w:rsidRDefault="004969E5" w:rsidP="004969E5">
      <w:pPr>
        <w:pStyle w:val="ListParagraph"/>
        <w:numPr>
          <w:ilvl w:val="0"/>
          <w:numId w:val="23"/>
        </w:numPr>
        <w:shd w:val="clear" w:color="auto" w:fill="FFFFFF"/>
        <w:spacing w:after="0"/>
        <w:rPr>
          <w:rFonts w:ascii="Times New Roman" w:hAnsi="Times New Roman"/>
          <w:i/>
          <w:iCs/>
        </w:rPr>
      </w:pPr>
      <w:r w:rsidRPr="004969E5">
        <w:rPr>
          <w:rFonts w:ascii="Times New Roman" w:hAnsi="Times New Roman"/>
          <w:i/>
          <w:iCs/>
        </w:rPr>
        <w:t>Note: This does not imply that RAN1 intends to ask RAN4 to tighten network synchronization requirements.</w:t>
      </w:r>
    </w:p>
    <w:p w14:paraId="06C6A3E1" w14:textId="77777777" w:rsidR="004A7BE4" w:rsidRPr="004A7BE4" w:rsidRDefault="004A7BE4" w:rsidP="004A7BE4">
      <w:pPr>
        <w:rPr>
          <w:b/>
          <w:bCs/>
          <w:i/>
          <w:iCs/>
          <w:highlight w:val="green"/>
          <w:lang w:eastAsia="x-none"/>
        </w:rPr>
      </w:pPr>
      <w:r w:rsidRPr="004A7BE4">
        <w:rPr>
          <w:b/>
          <w:bCs/>
          <w:i/>
          <w:iCs/>
          <w:highlight w:val="green"/>
          <w:lang w:eastAsia="x-none"/>
        </w:rPr>
        <w:t>Agreement</w:t>
      </w:r>
    </w:p>
    <w:p w14:paraId="0D899A20"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For intercell MTRP operation, 1 additional PCI different from the serving cell PCI is supported per CC</w:t>
      </w:r>
    </w:p>
    <w:p w14:paraId="72EA779E" w14:textId="77777777" w:rsidR="004A7BE4" w:rsidRPr="004A7BE4" w:rsidRDefault="004A7BE4" w:rsidP="004A7BE4">
      <w:pPr>
        <w:numPr>
          <w:ilvl w:val="1"/>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The additional PCI is the one associated with one or more TCI states that are activated for [CSI-RS for CSI]/PDSCH/PDCCH, per CC.</w:t>
      </w:r>
    </w:p>
    <w:p w14:paraId="27FBD8DE" w14:textId="77777777" w:rsidR="004A7BE4" w:rsidRPr="004A7BE4" w:rsidRDefault="004A7BE4" w:rsidP="004A7BE4">
      <w:pPr>
        <w:numPr>
          <w:ilvl w:val="1"/>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Applicable at least for non-cross carrier QCL indication</w:t>
      </w:r>
    </w:p>
    <w:p w14:paraId="03BB88DB" w14:textId="77777777" w:rsidR="004A7BE4" w:rsidRPr="004A7BE4" w:rsidRDefault="004A7BE4" w:rsidP="004A7BE4">
      <w:pPr>
        <w:numPr>
          <w:ilvl w:val="2"/>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FFS: Cross carrier scheduling QCL indication</w:t>
      </w:r>
    </w:p>
    <w:p w14:paraId="4C7DE29E"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RAN1 to decide on the maximum number of PCIs different from the serving cell PCI per CC and/or across all CCs that can be RRC-configured for multi-DCI based inter-cell multi-TRP</w:t>
      </w:r>
    </w:p>
    <w:p w14:paraId="146BB5EC" w14:textId="77777777" w:rsidR="004A7BE4" w:rsidRPr="004A7BE4" w:rsidRDefault="004A7BE4" w:rsidP="004A7BE4">
      <w:pPr>
        <w:numPr>
          <w:ilvl w:val="0"/>
          <w:numId w:val="28"/>
        </w:numPr>
        <w:autoSpaceDE/>
        <w:autoSpaceDN/>
        <w:adjustRightInd/>
        <w:snapToGrid/>
        <w:spacing w:after="0"/>
        <w:jc w:val="left"/>
        <w:rPr>
          <w:rFonts w:eastAsia="DengXian"/>
          <w:bCs/>
          <w:i/>
          <w:iCs/>
          <w:kern w:val="32"/>
          <w:lang w:eastAsia="zh-CN"/>
        </w:rPr>
      </w:pPr>
      <w:r w:rsidRPr="004A7BE4">
        <w:rPr>
          <w:rFonts w:eastAsia="DengXian"/>
          <w:bCs/>
          <w:i/>
          <w:iCs/>
          <w:kern w:val="32"/>
          <w:lang w:eastAsia="zh-CN"/>
        </w:rPr>
        <w:t>Above should be specified by reusing R15 QCL rules as concluded in RAN1#104-e</w:t>
      </w:r>
    </w:p>
    <w:p w14:paraId="35CD5898" w14:textId="77777777" w:rsidR="004A7BE4" w:rsidRPr="004A7BE4" w:rsidRDefault="004A7BE4" w:rsidP="004A7BE4">
      <w:pPr>
        <w:rPr>
          <w:b/>
          <w:bCs/>
          <w:i/>
          <w:iCs/>
          <w:lang w:eastAsia="x-none"/>
        </w:rPr>
      </w:pPr>
      <w:r w:rsidRPr="004A7BE4">
        <w:rPr>
          <w:b/>
          <w:bCs/>
          <w:i/>
          <w:iCs/>
          <w:lang w:eastAsia="x-none"/>
        </w:rPr>
        <w:t>Conclusion</w:t>
      </w:r>
    </w:p>
    <w:p w14:paraId="21CC81C2" w14:textId="77777777" w:rsidR="004A7BE4" w:rsidRPr="004A7BE4" w:rsidRDefault="004A7BE4" w:rsidP="004A7BE4">
      <w:pPr>
        <w:pStyle w:val="ListParagraph"/>
        <w:widowControl w:val="0"/>
        <w:shd w:val="clear" w:color="auto" w:fill="FFFFFF"/>
        <w:ind w:left="0"/>
        <w:jc w:val="both"/>
        <w:rPr>
          <w:rFonts w:ascii="Times New Roman" w:hAnsi="Times New Roman"/>
          <w:i/>
          <w:iCs/>
          <w:lang w:eastAsia="ko-KR"/>
        </w:rPr>
      </w:pPr>
      <w:r w:rsidRPr="004A7BE4">
        <w:rPr>
          <w:rFonts w:ascii="Times New Roman" w:hAnsi="Times New Roman"/>
          <w:i/>
          <w:iCs/>
          <w:lang w:eastAsia="ko-KR"/>
        </w:rPr>
        <w:t xml:space="preserve">Configuration of CSI-RS for mobility as QCL source for intercell MTRP operation is not supported from Rel-17 </w:t>
      </w:r>
      <w:proofErr w:type="spellStart"/>
      <w:r w:rsidRPr="004A7BE4">
        <w:rPr>
          <w:rFonts w:ascii="Times New Roman" w:hAnsi="Times New Roman"/>
          <w:i/>
          <w:iCs/>
          <w:lang w:eastAsia="ko-KR"/>
        </w:rPr>
        <w:t>specifcation</w:t>
      </w:r>
      <w:proofErr w:type="spellEnd"/>
      <w:r w:rsidRPr="004A7BE4">
        <w:rPr>
          <w:rFonts w:ascii="Times New Roman" w:hAnsi="Times New Roman"/>
          <w:i/>
          <w:iCs/>
          <w:lang w:eastAsia="ko-KR"/>
        </w:rPr>
        <w:t xml:space="preserve"> point of view</w:t>
      </w:r>
    </w:p>
    <w:p w14:paraId="3573627D" w14:textId="77777777" w:rsidR="00134B12" w:rsidRPr="00770545" w:rsidRDefault="00134B12" w:rsidP="00134B12">
      <w:pPr>
        <w:tabs>
          <w:tab w:val="left" w:pos="720"/>
          <w:tab w:val="left" w:pos="1440"/>
        </w:tabs>
        <w:rPr>
          <w:bCs/>
          <w:i/>
          <w:iCs/>
        </w:rPr>
      </w:pPr>
      <w:r w:rsidRPr="00770545">
        <w:rPr>
          <w:bCs/>
          <w:i/>
          <w:iCs/>
          <w:highlight w:val="green"/>
        </w:rPr>
        <w:t>Agreement</w:t>
      </w:r>
    </w:p>
    <w:p w14:paraId="269631CC" w14:textId="77777777" w:rsidR="00134B12" w:rsidRPr="00770545" w:rsidRDefault="00134B12" w:rsidP="00134B12">
      <w:pPr>
        <w:tabs>
          <w:tab w:val="left" w:pos="720"/>
          <w:tab w:val="left" w:pos="1440"/>
        </w:tabs>
        <w:rPr>
          <w:bCs/>
          <w:i/>
          <w:iCs/>
        </w:rPr>
      </w:pPr>
      <w:r w:rsidRPr="00770545">
        <w:rPr>
          <w:bCs/>
          <w:i/>
          <w:iCs/>
        </w:rPr>
        <w:lastRenderedPageBreak/>
        <w:t>Introduce a new RRC indicator/</w:t>
      </w:r>
      <w:proofErr w:type="spellStart"/>
      <w:r w:rsidRPr="00770545">
        <w:rPr>
          <w:bCs/>
          <w:i/>
          <w:iCs/>
        </w:rPr>
        <w:t>signalling</w:t>
      </w:r>
      <w:proofErr w:type="spellEnd"/>
      <w:r w:rsidRPr="00770545">
        <w:rPr>
          <w:bCs/>
          <w:i/>
          <w:iCs/>
        </w:rPr>
        <w:t xml:space="preserve"> (e.g., re-index the non-serving cell) to indicate the non-serving cell information that a TCI state/QCL information is associated with, where the new indicator/signaling is not the exact PCI value</w:t>
      </w:r>
    </w:p>
    <w:p w14:paraId="6B013786"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 xml:space="preserve">Detailed </w:t>
      </w:r>
      <w:proofErr w:type="spellStart"/>
      <w:r w:rsidRPr="00770545">
        <w:rPr>
          <w:rFonts w:cs="Times"/>
          <w:bCs/>
          <w:i/>
          <w:iCs/>
        </w:rPr>
        <w:t>signalling</w:t>
      </w:r>
      <w:proofErr w:type="spellEnd"/>
      <w:r w:rsidRPr="00770545">
        <w:rPr>
          <w:rFonts w:cs="Times"/>
          <w:bCs/>
          <w:i/>
          <w:iCs/>
        </w:rPr>
        <w:t xml:space="preserve"> design is up to RAN2</w:t>
      </w:r>
    </w:p>
    <w:p w14:paraId="28BBF668" w14:textId="77777777" w:rsidR="00134B12" w:rsidRPr="00770545" w:rsidRDefault="00134B12" w:rsidP="00134B12">
      <w:pPr>
        <w:pStyle w:val="Style1"/>
        <w:spacing w:after="120" w:line="240" w:lineRule="auto"/>
        <w:ind w:firstLine="0"/>
        <w:rPr>
          <w:bCs/>
          <w:i/>
          <w:iCs/>
          <w:lang w:val="en-US"/>
        </w:rPr>
      </w:pPr>
    </w:p>
    <w:p w14:paraId="4DE8CED2" w14:textId="77777777" w:rsidR="00134B12" w:rsidRPr="00770545" w:rsidRDefault="00134B12" w:rsidP="00134B12">
      <w:pPr>
        <w:tabs>
          <w:tab w:val="left" w:pos="720"/>
          <w:tab w:val="left" w:pos="1440"/>
        </w:tabs>
        <w:rPr>
          <w:rFonts w:cs="Times"/>
          <w:bCs/>
          <w:i/>
          <w:iCs/>
        </w:rPr>
      </w:pPr>
      <w:r w:rsidRPr="00770545">
        <w:rPr>
          <w:rFonts w:cs="Times"/>
          <w:bCs/>
          <w:i/>
          <w:iCs/>
          <w:highlight w:val="green"/>
        </w:rPr>
        <w:t>Agreement</w:t>
      </w:r>
    </w:p>
    <w:p w14:paraId="77531C5C" w14:textId="77777777" w:rsidR="00134B12" w:rsidRPr="00770545" w:rsidRDefault="00134B12" w:rsidP="00134B12">
      <w:pPr>
        <w:tabs>
          <w:tab w:val="left" w:pos="720"/>
          <w:tab w:val="left" w:pos="1440"/>
        </w:tabs>
        <w:rPr>
          <w:rFonts w:cs="Times"/>
          <w:bCs/>
          <w:i/>
          <w:iCs/>
        </w:rPr>
      </w:pPr>
      <w:r w:rsidRPr="00770545">
        <w:rPr>
          <w:rFonts w:cs="Times"/>
          <w:bCs/>
          <w:i/>
          <w:iCs/>
        </w:rPr>
        <w:t>Rel. 17 inter-cell MTRP , the maximum number of additional RRC -configured PCIs  per CC is denoted X and can be reported as a UE capability</w:t>
      </w:r>
    </w:p>
    <w:p w14:paraId="4A73FFF7"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For the report value of X, multiple candidate values including 1 is supported. </w:t>
      </w:r>
    </w:p>
    <w:p w14:paraId="5F2F7B06" w14:textId="77777777" w:rsidR="00134B12" w:rsidRPr="00770545" w:rsidRDefault="00134B12" w:rsidP="00134B12">
      <w:pPr>
        <w:numPr>
          <w:ilvl w:val="1"/>
          <w:numId w:val="31"/>
        </w:numPr>
        <w:tabs>
          <w:tab w:val="left" w:pos="720"/>
          <w:tab w:val="left" w:pos="1440"/>
        </w:tabs>
        <w:autoSpaceDE/>
        <w:autoSpaceDN/>
        <w:adjustRightInd/>
        <w:snapToGrid/>
        <w:spacing w:after="0"/>
        <w:jc w:val="left"/>
        <w:rPr>
          <w:rFonts w:cs="Times"/>
          <w:bCs/>
          <w:i/>
          <w:iCs/>
        </w:rPr>
      </w:pPr>
      <w:r w:rsidRPr="00770545">
        <w:rPr>
          <w:rFonts w:cs="Times"/>
          <w:bCs/>
          <w:i/>
          <w:iCs/>
        </w:rPr>
        <w:t>FFS : Which values to support other than 1. </w:t>
      </w:r>
    </w:p>
    <w:p w14:paraId="3B8F7C48" w14:textId="77777777" w:rsidR="00134B12" w:rsidRPr="00770545" w:rsidRDefault="00134B12" w:rsidP="00134B12">
      <w:pPr>
        <w:numPr>
          <w:ilvl w:val="1"/>
          <w:numId w:val="31"/>
        </w:numPr>
        <w:tabs>
          <w:tab w:val="left" w:pos="720"/>
          <w:tab w:val="left" w:pos="1440"/>
        </w:tabs>
        <w:autoSpaceDE/>
        <w:autoSpaceDN/>
        <w:adjustRightInd/>
        <w:snapToGrid/>
        <w:spacing w:after="0"/>
        <w:jc w:val="left"/>
        <w:rPr>
          <w:rFonts w:cs="Times"/>
          <w:bCs/>
          <w:i/>
          <w:iCs/>
        </w:rPr>
      </w:pPr>
      <w:r w:rsidRPr="00770545">
        <w:rPr>
          <w:rFonts w:cs="Times"/>
          <w:bCs/>
          <w:i/>
          <w:iCs/>
        </w:rPr>
        <w:t>Values larger than 7 are precluded</w:t>
      </w:r>
    </w:p>
    <w:p w14:paraId="0A9FAD9A" w14:textId="77777777" w:rsidR="00134B12" w:rsidRPr="00770545" w:rsidRDefault="00134B12" w:rsidP="00134B12">
      <w:pPr>
        <w:numPr>
          <w:ilvl w:val="1"/>
          <w:numId w:val="31"/>
        </w:numPr>
        <w:tabs>
          <w:tab w:val="left" w:pos="720"/>
          <w:tab w:val="left" w:pos="1440"/>
        </w:tabs>
        <w:autoSpaceDE/>
        <w:autoSpaceDN/>
        <w:adjustRightInd/>
        <w:snapToGrid/>
        <w:spacing w:after="0"/>
        <w:jc w:val="left"/>
        <w:rPr>
          <w:rFonts w:cs="Times"/>
          <w:bCs/>
          <w:i/>
          <w:iCs/>
        </w:rPr>
      </w:pPr>
      <w:r w:rsidRPr="00770545">
        <w:rPr>
          <w:rFonts w:cs="Times"/>
          <w:bCs/>
          <w:i/>
          <w:iCs/>
        </w:rPr>
        <w:t>RAN1 needs to agree on value(s) of X other than 1</w:t>
      </w:r>
    </w:p>
    <w:p w14:paraId="2AD39F73"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Down-select one of the following alternatives:</w:t>
      </w:r>
    </w:p>
    <w:p w14:paraId="1398C297" w14:textId="77777777" w:rsidR="00134B12" w:rsidRPr="00770545" w:rsidRDefault="00134B12" w:rsidP="00134B12">
      <w:pPr>
        <w:numPr>
          <w:ilvl w:val="1"/>
          <w:numId w:val="31"/>
        </w:numPr>
        <w:tabs>
          <w:tab w:val="left" w:pos="720"/>
          <w:tab w:val="left" w:pos="1440"/>
        </w:tabs>
        <w:autoSpaceDE/>
        <w:autoSpaceDN/>
        <w:adjustRightInd/>
        <w:snapToGrid/>
        <w:spacing w:after="0"/>
        <w:jc w:val="left"/>
        <w:rPr>
          <w:rFonts w:cs="Times"/>
          <w:bCs/>
          <w:i/>
          <w:iCs/>
        </w:rPr>
      </w:pPr>
      <w:r w:rsidRPr="00770545">
        <w:rPr>
          <w:rFonts w:cs="Times"/>
          <w:bCs/>
          <w:i/>
          <w:iCs/>
        </w:rPr>
        <w:t>Alt 1: A single value of X is reported as UE capability for any possible SSB time domain position and periodicity</w:t>
      </w:r>
    </w:p>
    <w:p w14:paraId="666DDD17" w14:textId="77777777" w:rsidR="00134B12" w:rsidRPr="00770545" w:rsidRDefault="00134B12" w:rsidP="00134B12">
      <w:pPr>
        <w:numPr>
          <w:ilvl w:val="1"/>
          <w:numId w:val="31"/>
        </w:numPr>
        <w:tabs>
          <w:tab w:val="left" w:pos="720"/>
          <w:tab w:val="left" w:pos="1440"/>
        </w:tabs>
        <w:autoSpaceDE/>
        <w:autoSpaceDN/>
        <w:adjustRightInd/>
        <w:snapToGrid/>
        <w:spacing w:after="0"/>
        <w:jc w:val="left"/>
        <w:rPr>
          <w:rFonts w:cs="Times"/>
          <w:bCs/>
          <w:i/>
          <w:iCs/>
        </w:rPr>
      </w:pPr>
      <w:r w:rsidRPr="00770545">
        <w:rPr>
          <w:rFonts w:cs="Times"/>
          <w:bCs/>
          <w:i/>
          <w:iCs/>
        </w:rPr>
        <w:t xml:space="preserve">Alt 3: At least Two independent X values (X1, X2) are reported as a UE capability for at least two different assumptions on SSB time domain position and periodicity with respect to serving cell SSB </w:t>
      </w:r>
    </w:p>
    <w:p w14:paraId="1FC7AB13"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The serving cell PCI is always associated with active TCI states, only 1 additional PCI can be associated with the active TCI States</w:t>
      </w:r>
    </w:p>
    <w:p w14:paraId="49FACB13" w14:textId="77777777" w:rsidR="00134B12" w:rsidRPr="00770545" w:rsidRDefault="00134B12" w:rsidP="00134B12">
      <w:pPr>
        <w:rPr>
          <w:rFonts w:cs="Times"/>
          <w:bCs/>
          <w:i/>
          <w:iCs/>
        </w:rPr>
      </w:pPr>
    </w:p>
    <w:p w14:paraId="354D6335" w14:textId="77777777" w:rsidR="00134B12" w:rsidRPr="00770545" w:rsidRDefault="00134B12" w:rsidP="00134B12">
      <w:pPr>
        <w:tabs>
          <w:tab w:val="left" w:pos="720"/>
          <w:tab w:val="left" w:pos="1440"/>
        </w:tabs>
        <w:rPr>
          <w:rFonts w:cs="Times"/>
          <w:bCs/>
          <w:i/>
          <w:iCs/>
          <w:highlight w:val="green"/>
        </w:rPr>
      </w:pPr>
      <w:r w:rsidRPr="00770545">
        <w:rPr>
          <w:rFonts w:cs="Times"/>
          <w:bCs/>
          <w:i/>
          <w:iCs/>
          <w:highlight w:val="green"/>
        </w:rPr>
        <w:t>Agreement</w:t>
      </w:r>
    </w:p>
    <w:p w14:paraId="74E3B0C8"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 xml:space="preserve">For inter-cell </w:t>
      </w:r>
      <w:proofErr w:type="spellStart"/>
      <w:r w:rsidRPr="00770545">
        <w:rPr>
          <w:rFonts w:cs="Times"/>
          <w:bCs/>
          <w:i/>
          <w:iCs/>
        </w:rPr>
        <w:t>mTRP</w:t>
      </w:r>
      <w:proofErr w:type="spellEnd"/>
      <w:r w:rsidRPr="00770545">
        <w:rPr>
          <w:rFonts w:cs="Times"/>
          <w:bCs/>
          <w:i/>
          <w:iCs/>
        </w:rPr>
        <w:t xml:space="preserve"> , one PCI associated with one or more of activated TCI states for PDSCH/PDCCH is associated with one </w:t>
      </w:r>
      <w:proofErr w:type="spellStart"/>
      <w:r w:rsidRPr="00770545">
        <w:rPr>
          <w:rFonts w:cs="Times"/>
          <w:bCs/>
          <w:i/>
          <w:iCs/>
        </w:rPr>
        <w:t>CORESETPoolIndex</w:t>
      </w:r>
      <w:proofErr w:type="spellEnd"/>
      <w:r w:rsidRPr="00770545">
        <w:rPr>
          <w:rFonts w:cs="Times"/>
          <w:bCs/>
          <w:i/>
          <w:iCs/>
        </w:rPr>
        <w:t xml:space="preserve"> , another PCI associated with one or more of activated TCI states for PDSCH/PDCCH is associated with another </w:t>
      </w:r>
      <w:proofErr w:type="spellStart"/>
      <w:r w:rsidRPr="00770545">
        <w:rPr>
          <w:rFonts w:cs="Times"/>
          <w:bCs/>
          <w:i/>
          <w:iCs/>
        </w:rPr>
        <w:t>CORESETPoolIndex</w:t>
      </w:r>
      <w:proofErr w:type="spellEnd"/>
      <w:r w:rsidRPr="00770545">
        <w:rPr>
          <w:rFonts w:cs="Times"/>
          <w:bCs/>
          <w:i/>
          <w:iCs/>
        </w:rPr>
        <w:t xml:space="preserve"> </w:t>
      </w:r>
    </w:p>
    <w:p w14:paraId="5E01E243" w14:textId="77777777" w:rsidR="00134B12" w:rsidRPr="00770545" w:rsidRDefault="00134B12" w:rsidP="00134B12">
      <w:pPr>
        <w:numPr>
          <w:ilvl w:val="0"/>
          <w:numId w:val="31"/>
        </w:numPr>
        <w:tabs>
          <w:tab w:val="left" w:pos="720"/>
          <w:tab w:val="left" w:pos="1440"/>
        </w:tabs>
        <w:autoSpaceDE/>
        <w:autoSpaceDN/>
        <w:adjustRightInd/>
        <w:snapToGrid/>
        <w:spacing w:after="0"/>
        <w:jc w:val="left"/>
        <w:rPr>
          <w:rFonts w:cs="Times"/>
          <w:bCs/>
          <w:i/>
          <w:iCs/>
        </w:rPr>
      </w:pPr>
      <w:r w:rsidRPr="00770545">
        <w:rPr>
          <w:rFonts w:cs="Times"/>
          <w:bCs/>
          <w:i/>
          <w:iCs/>
        </w:rPr>
        <w:t xml:space="preserve">FFS : The association between PCI and </w:t>
      </w:r>
      <w:proofErr w:type="spellStart"/>
      <w:r w:rsidRPr="00770545">
        <w:rPr>
          <w:rFonts w:cs="Times"/>
          <w:bCs/>
          <w:i/>
          <w:iCs/>
        </w:rPr>
        <w:t>CORESETPoolIndex</w:t>
      </w:r>
      <w:proofErr w:type="spellEnd"/>
      <w:r w:rsidRPr="00770545">
        <w:rPr>
          <w:rFonts w:cs="Times"/>
          <w:bCs/>
          <w:i/>
          <w:iCs/>
        </w:rPr>
        <w:t xml:space="preserve"> when switching between intra-cell </w:t>
      </w:r>
      <w:proofErr w:type="spellStart"/>
      <w:r w:rsidRPr="00770545">
        <w:rPr>
          <w:rFonts w:cs="Times"/>
          <w:bCs/>
          <w:i/>
          <w:iCs/>
        </w:rPr>
        <w:t>mTRP</w:t>
      </w:r>
      <w:proofErr w:type="spellEnd"/>
      <w:r w:rsidRPr="00770545">
        <w:rPr>
          <w:rFonts w:cs="Times"/>
          <w:bCs/>
          <w:i/>
          <w:iCs/>
        </w:rPr>
        <w:t xml:space="preserve"> and inter-cell </w:t>
      </w:r>
      <w:proofErr w:type="spellStart"/>
      <w:r w:rsidRPr="00770545">
        <w:rPr>
          <w:rFonts w:cs="Times"/>
          <w:bCs/>
          <w:i/>
          <w:iCs/>
        </w:rPr>
        <w:t>mTRP</w:t>
      </w:r>
      <w:proofErr w:type="spellEnd"/>
      <w:r w:rsidRPr="00770545">
        <w:rPr>
          <w:rFonts w:cs="Times"/>
          <w:bCs/>
          <w:i/>
          <w:iCs/>
        </w:rPr>
        <w:t xml:space="preserve"> </w:t>
      </w:r>
    </w:p>
    <w:p w14:paraId="2E31471A" w14:textId="77777777" w:rsidR="00134B12" w:rsidRPr="00770545" w:rsidRDefault="00134B12" w:rsidP="00134B12">
      <w:pPr>
        <w:tabs>
          <w:tab w:val="left" w:pos="720"/>
          <w:tab w:val="left" w:pos="1440"/>
        </w:tabs>
        <w:rPr>
          <w:rFonts w:cs="Times"/>
          <w:bCs/>
          <w:i/>
          <w:iCs/>
          <w:highlight w:val="green"/>
        </w:rPr>
      </w:pPr>
      <w:r w:rsidRPr="00770545">
        <w:rPr>
          <w:rFonts w:cs="Times"/>
          <w:bCs/>
          <w:i/>
          <w:iCs/>
          <w:highlight w:val="green"/>
        </w:rPr>
        <w:t>Agreement</w:t>
      </w:r>
    </w:p>
    <w:p w14:paraId="33817FF2" w14:textId="77777777" w:rsidR="00134B12" w:rsidRPr="00770545" w:rsidRDefault="00134B12" w:rsidP="00134B12">
      <w:pPr>
        <w:rPr>
          <w:rFonts w:cs="Times"/>
          <w:bCs/>
          <w:i/>
          <w:iCs/>
        </w:rPr>
      </w:pPr>
      <w:r w:rsidRPr="00770545">
        <w:rPr>
          <w:rFonts w:cs="Times"/>
          <w:bCs/>
          <w:i/>
          <w:iCs/>
        </w:rPr>
        <w:t xml:space="preserve">For a CSI-RS </w:t>
      </w:r>
      <w:proofErr w:type="spellStart"/>
      <w:r w:rsidRPr="00770545">
        <w:rPr>
          <w:rFonts w:cs="Times"/>
          <w:bCs/>
          <w:i/>
          <w:iCs/>
        </w:rPr>
        <w:t>QCLed</w:t>
      </w:r>
      <w:proofErr w:type="spellEnd"/>
      <w:r w:rsidRPr="00770545">
        <w:rPr>
          <w:rFonts w:cs="Times"/>
          <w:bCs/>
          <w:i/>
          <w:iCs/>
        </w:rPr>
        <w:t xml:space="preserve"> with a neighboring cell SSB, the CSI-RS EPRE is calculated based on </w:t>
      </w:r>
      <w:proofErr w:type="spellStart"/>
      <w:r w:rsidRPr="00770545">
        <w:rPr>
          <w:rFonts w:cs="Times"/>
          <w:bCs/>
          <w:i/>
          <w:iCs/>
        </w:rPr>
        <w:t>powerControlOffsetSS</w:t>
      </w:r>
      <w:proofErr w:type="spellEnd"/>
      <w:r w:rsidRPr="00770545">
        <w:rPr>
          <w:rFonts w:cs="Times"/>
          <w:bCs/>
          <w:i/>
          <w:iCs/>
        </w:rPr>
        <w:t xml:space="preserve"> and the SSB transmission power in the neighboring cell information.</w:t>
      </w:r>
    </w:p>
    <w:p w14:paraId="1BA76490" w14:textId="07844A40" w:rsidR="00492DE4" w:rsidRDefault="00492DE4" w:rsidP="00492DE4">
      <w:pPr>
        <w:spacing w:beforeLines="50" w:before="120"/>
        <w:rPr>
          <w:lang w:val="en-GB"/>
        </w:rPr>
      </w:pPr>
      <w:r>
        <w:rPr>
          <w:rFonts w:hint="eastAsia"/>
          <w:lang w:val="en-GB"/>
        </w:rPr>
        <w:t>In this contribution,</w:t>
      </w:r>
      <w:r>
        <w:rPr>
          <w:lang w:val="en-GB"/>
        </w:rPr>
        <w:t xml:space="preserve"> further discussions on inter-cell multi-TRP enhancements are provided.</w:t>
      </w:r>
    </w:p>
    <w:p w14:paraId="35977C13" w14:textId="77777777" w:rsidR="00C54F8B" w:rsidRPr="00E62EA7" w:rsidRDefault="00C54F8B" w:rsidP="00773DB7">
      <w:pPr>
        <w:spacing w:beforeLines="50" w:before="120"/>
        <w:rPr>
          <w:lang w:val="en-GB"/>
        </w:rPr>
      </w:pPr>
    </w:p>
    <w:p w14:paraId="38A7F13E" w14:textId="5AF5918D" w:rsidR="00D05F0A" w:rsidRDefault="00773DB7" w:rsidP="00260236">
      <w:pPr>
        <w:pStyle w:val="Heading1"/>
      </w:pPr>
      <w:r>
        <w:t>Discussion</w:t>
      </w:r>
      <w:r w:rsidR="00A023A1">
        <w:t xml:space="preserve"> </w:t>
      </w:r>
    </w:p>
    <w:p w14:paraId="1FD272E9" w14:textId="157B91D3" w:rsidR="000924AF" w:rsidRDefault="00971C9C" w:rsidP="000924AF">
      <w:pPr>
        <w:pStyle w:val="Heading2"/>
      </w:pPr>
      <w:r>
        <w:t xml:space="preserve">Number of additional </w:t>
      </w:r>
      <w:r w:rsidR="000924AF">
        <w:t>PCI</w:t>
      </w:r>
      <w:r>
        <w:t>s</w:t>
      </w:r>
    </w:p>
    <w:p w14:paraId="2443A84A" w14:textId="58B2818E" w:rsidR="002E1A51" w:rsidRDefault="00971C9C" w:rsidP="002E1A51">
      <w:pPr>
        <w:pStyle w:val="ListParagraph"/>
        <w:spacing w:beforeLines="50" w:before="120"/>
        <w:ind w:left="0"/>
        <w:jc w:val="both"/>
        <w:rPr>
          <w:rFonts w:ascii="Times New Roman" w:hAnsi="Times New Roman"/>
          <w:bCs/>
        </w:rPr>
      </w:pPr>
      <w:r>
        <w:rPr>
          <w:rFonts w:ascii="Times New Roman" w:hAnsi="Times New Roman"/>
          <w:lang w:val="en-US"/>
        </w:rPr>
        <w:t>There were discussions on the number of additional PCIs</w:t>
      </w:r>
      <w:r w:rsidR="00567639">
        <w:rPr>
          <w:rFonts w:ascii="Times New Roman" w:hAnsi="Times New Roman"/>
          <w:lang w:val="en-US"/>
        </w:rPr>
        <w:t xml:space="preserve">, and </w:t>
      </w:r>
      <w:r w:rsidR="002E1A51">
        <w:rPr>
          <w:rFonts w:ascii="Times New Roman" w:hAnsi="Times New Roman"/>
          <w:bCs/>
        </w:rPr>
        <w:t>RAN1 needs to down-select from the following alternatives:</w:t>
      </w:r>
    </w:p>
    <w:p w14:paraId="7CFA3F54" w14:textId="529BEF21" w:rsidR="002E1A51" w:rsidRPr="002E1A51" w:rsidRDefault="002E1A51" w:rsidP="00563EEE">
      <w:pPr>
        <w:pStyle w:val="ListParagraph"/>
        <w:numPr>
          <w:ilvl w:val="0"/>
          <w:numId w:val="34"/>
        </w:numPr>
        <w:spacing w:beforeLines="50" w:before="120"/>
        <w:jc w:val="both"/>
        <w:rPr>
          <w:rFonts w:ascii="Times New Roman" w:hAnsi="Times New Roman"/>
          <w:bCs/>
        </w:rPr>
      </w:pPr>
      <w:r w:rsidRPr="002E1A51">
        <w:rPr>
          <w:rFonts w:ascii="Times New Roman" w:hAnsi="Times New Roman"/>
          <w:bCs/>
        </w:rPr>
        <w:t>Alt 1: A single value of X is reported as UE capability for any possible SSB time domain position and periodicity</w:t>
      </w:r>
    </w:p>
    <w:p w14:paraId="6538EEF2" w14:textId="30273DFB" w:rsidR="002E1A51" w:rsidRDefault="002E1A51" w:rsidP="00563EEE">
      <w:pPr>
        <w:pStyle w:val="ListParagraph"/>
        <w:numPr>
          <w:ilvl w:val="0"/>
          <w:numId w:val="34"/>
        </w:numPr>
        <w:spacing w:beforeLines="50" w:before="120"/>
        <w:jc w:val="both"/>
        <w:rPr>
          <w:rFonts w:ascii="Times New Roman" w:hAnsi="Times New Roman"/>
          <w:bCs/>
        </w:rPr>
      </w:pPr>
      <w:r w:rsidRPr="002E1A51">
        <w:rPr>
          <w:rFonts w:ascii="Times New Roman" w:hAnsi="Times New Roman"/>
          <w:bCs/>
        </w:rPr>
        <w:t>Alt 3: At least Two independent X values (X1, X2) are reported as a UE capability for at least two different assumptions on SSB time domain position and periodicity with respect to serving cell SSB</w:t>
      </w:r>
    </w:p>
    <w:p w14:paraId="087D30B0" w14:textId="77777777" w:rsidR="003C4376" w:rsidRDefault="00BC3949" w:rsidP="002E1A51">
      <w:pPr>
        <w:pStyle w:val="ListParagraph"/>
        <w:spacing w:beforeLines="50" w:before="120"/>
        <w:ind w:left="0"/>
        <w:jc w:val="both"/>
        <w:rPr>
          <w:rFonts w:ascii="Times New Roman" w:hAnsi="Times New Roman"/>
          <w:bCs/>
        </w:rPr>
      </w:pPr>
      <w:r>
        <w:rPr>
          <w:rFonts w:ascii="Times New Roman" w:hAnsi="Times New Roman"/>
          <w:bCs/>
        </w:rPr>
        <w:t xml:space="preserve">This is related to </w:t>
      </w:r>
      <w:proofErr w:type="spellStart"/>
      <w:r>
        <w:rPr>
          <w:rFonts w:ascii="Times New Roman" w:hAnsi="Times New Roman"/>
          <w:bCs/>
        </w:rPr>
        <w:t>neighbor</w:t>
      </w:r>
      <w:proofErr w:type="spellEnd"/>
      <w:r>
        <w:rPr>
          <w:rFonts w:ascii="Times New Roman" w:hAnsi="Times New Roman"/>
          <w:bCs/>
        </w:rPr>
        <w:t xml:space="preserve"> cell measurement. In legacy systems, regardless of the </w:t>
      </w:r>
      <w:proofErr w:type="spellStart"/>
      <w:r>
        <w:rPr>
          <w:rFonts w:ascii="Times New Roman" w:hAnsi="Times New Roman"/>
          <w:bCs/>
        </w:rPr>
        <w:t>neighbor</w:t>
      </w:r>
      <w:proofErr w:type="spellEnd"/>
      <w:r>
        <w:rPr>
          <w:rFonts w:ascii="Times New Roman" w:hAnsi="Times New Roman"/>
          <w:bCs/>
        </w:rPr>
        <w:t xml:space="preserve"> cell SSB time domain position with respect to the serving cell SSB, </w:t>
      </w:r>
      <w:r w:rsidR="00563EEE">
        <w:rPr>
          <w:rFonts w:ascii="Times New Roman" w:hAnsi="Times New Roman"/>
          <w:bCs/>
        </w:rPr>
        <w:t xml:space="preserve">the UE measurement of </w:t>
      </w:r>
      <w:proofErr w:type="spellStart"/>
      <w:r w:rsidR="00563EEE">
        <w:rPr>
          <w:rFonts w:ascii="Times New Roman" w:hAnsi="Times New Roman"/>
          <w:bCs/>
        </w:rPr>
        <w:t>neighbor</w:t>
      </w:r>
      <w:proofErr w:type="spellEnd"/>
      <w:r w:rsidR="00563EEE">
        <w:rPr>
          <w:rFonts w:ascii="Times New Roman" w:hAnsi="Times New Roman"/>
          <w:bCs/>
        </w:rPr>
        <w:t xml:space="preserve"> cell SSBs follows the same capability. Based on this, Alt 1 should already work well</w:t>
      </w:r>
      <w:r w:rsidR="004A36AD">
        <w:rPr>
          <w:rFonts w:ascii="Times New Roman" w:hAnsi="Times New Roman"/>
          <w:bCs/>
        </w:rPr>
        <w:t xml:space="preserve"> and it is a simple solution. </w:t>
      </w:r>
    </w:p>
    <w:p w14:paraId="0ADD031E" w14:textId="54241D19" w:rsidR="002E1A51" w:rsidRDefault="004A36AD" w:rsidP="002E1A51">
      <w:pPr>
        <w:pStyle w:val="ListParagraph"/>
        <w:spacing w:beforeLines="50" w:before="120"/>
        <w:ind w:left="0"/>
        <w:jc w:val="both"/>
        <w:rPr>
          <w:rFonts w:ascii="Times New Roman" w:hAnsi="Times New Roman"/>
          <w:bCs/>
        </w:rPr>
      </w:pPr>
      <w:r>
        <w:rPr>
          <w:rFonts w:ascii="Times New Roman" w:hAnsi="Times New Roman"/>
          <w:bCs/>
        </w:rPr>
        <w:t xml:space="preserve">If more accurate solution is desired with possibly higher complexity, </w:t>
      </w:r>
      <w:r w:rsidR="007246C6">
        <w:rPr>
          <w:rFonts w:ascii="Times New Roman" w:hAnsi="Times New Roman"/>
          <w:bCs/>
        </w:rPr>
        <w:t xml:space="preserve">we point out </w:t>
      </w:r>
      <w:r w:rsidR="00EE394C">
        <w:rPr>
          <w:rFonts w:ascii="Times New Roman" w:hAnsi="Times New Roman"/>
          <w:bCs/>
        </w:rPr>
        <w:t xml:space="preserve">the following consideration </w:t>
      </w:r>
      <w:r w:rsidR="007246C6">
        <w:rPr>
          <w:rFonts w:ascii="Times New Roman" w:hAnsi="Times New Roman"/>
          <w:bCs/>
        </w:rPr>
        <w:t xml:space="preserve">for </w:t>
      </w:r>
      <w:r w:rsidR="00EE394C">
        <w:rPr>
          <w:rFonts w:ascii="Times New Roman" w:hAnsi="Times New Roman"/>
          <w:bCs/>
        </w:rPr>
        <w:t xml:space="preserve">FR2. In </w:t>
      </w:r>
      <w:r w:rsidR="007246C6">
        <w:rPr>
          <w:rFonts w:ascii="Times New Roman" w:hAnsi="Times New Roman"/>
          <w:bCs/>
        </w:rPr>
        <w:t xml:space="preserve">FR2, for the UE to monitor different </w:t>
      </w:r>
      <w:proofErr w:type="spellStart"/>
      <w:r w:rsidR="007246C6">
        <w:rPr>
          <w:rFonts w:ascii="Times New Roman" w:hAnsi="Times New Roman"/>
          <w:bCs/>
        </w:rPr>
        <w:t>neighbor</w:t>
      </w:r>
      <w:proofErr w:type="spellEnd"/>
      <w:r w:rsidR="007246C6">
        <w:rPr>
          <w:rFonts w:ascii="Times New Roman" w:hAnsi="Times New Roman"/>
          <w:bCs/>
        </w:rPr>
        <w:t xml:space="preserve"> cell SSBs, the UE needs to form different spatial receive beams (QCL Type D). To monitor multiple SSBs simultaneously on the same </w:t>
      </w:r>
      <w:r w:rsidR="007246C6">
        <w:rPr>
          <w:rFonts w:ascii="Times New Roman" w:hAnsi="Times New Roman"/>
          <w:bCs/>
        </w:rPr>
        <w:lastRenderedPageBreak/>
        <w:t>OFDM symbol, UE capability of forming multiple spatial receive beams is required. However, comparing the following operations:</w:t>
      </w:r>
    </w:p>
    <w:p w14:paraId="25343874" w14:textId="4A27BDF8" w:rsidR="007246C6" w:rsidRDefault="007246C6" w:rsidP="007246C6">
      <w:pPr>
        <w:pStyle w:val="ListParagraph"/>
        <w:numPr>
          <w:ilvl w:val="0"/>
          <w:numId w:val="34"/>
        </w:numPr>
        <w:spacing w:beforeLines="50" w:before="120"/>
        <w:jc w:val="both"/>
        <w:rPr>
          <w:rFonts w:ascii="Times New Roman" w:hAnsi="Times New Roman"/>
          <w:bCs/>
        </w:rPr>
      </w:pPr>
      <w:r>
        <w:rPr>
          <w:rFonts w:ascii="Times New Roman" w:hAnsi="Times New Roman"/>
          <w:bCs/>
        </w:rPr>
        <w:t xml:space="preserve">Case 1: UE </w:t>
      </w:r>
      <w:r w:rsidRPr="00DA3768">
        <w:rPr>
          <w:rFonts w:ascii="Times New Roman" w:hAnsi="Times New Roman"/>
          <w:bCs/>
          <w:u w:val="single"/>
        </w:rPr>
        <w:t>receiving data</w:t>
      </w:r>
      <w:r>
        <w:rPr>
          <w:rFonts w:ascii="Times New Roman" w:hAnsi="Times New Roman"/>
          <w:bCs/>
        </w:rPr>
        <w:t xml:space="preserve"> on the serving cell and monitoring SSBs from </w:t>
      </w:r>
      <w:proofErr w:type="spellStart"/>
      <w:r>
        <w:rPr>
          <w:rFonts w:ascii="Times New Roman" w:hAnsi="Times New Roman"/>
          <w:bCs/>
        </w:rPr>
        <w:t>neighbor</w:t>
      </w:r>
      <w:proofErr w:type="spellEnd"/>
      <w:r>
        <w:rPr>
          <w:rFonts w:ascii="Times New Roman" w:hAnsi="Times New Roman"/>
          <w:bCs/>
        </w:rPr>
        <w:t xml:space="preserve"> cells on the same OFDM symbol</w:t>
      </w:r>
    </w:p>
    <w:p w14:paraId="008A186C" w14:textId="527AC784" w:rsidR="007246C6" w:rsidRDefault="007246C6" w:rsidP="007246C6">
      <w:pPr>
        <w:pStyle w:val="ListParagraph"/>
        <w:numPr>
          <w:ilvl w:val="0"/>
          <w:numId w:val="34"/>
        </w:numPr>
        <w:spacing w:beforeLines="50" w:before="120"/>
        <w:jc w:val="both"/>
        <w:rPr>
          <w:rFonts w:ascii="Times New Roman" w:hAnsi="Times New Roman"/>
          <w:bCs/>
        </w:rPr>
      </w:pPr>
      <w:r>
        <w:rPr>
          <w:rFonts w:ascii="Times New Roman" w:hAnsi="Times New Roman"/>
          <w:bCs/>
        </w:rPr>
        <w:t xml:space="preserve">Case 2: UE </w:t>
      </w:r>
      <w:r w:rsidRPr="00DA3768">
        <w:rPr>
          <w:rFonts w:ascii="Times New Roman" w:hAnsi="Times New Roman"/>
          <w:bCs/>
          <w:u w:val="single"/>
        </w:rPr>
        <w:t>monitoring SSB</w:t>
      </w:r>
      <w:r>
        <w:rPr>
          <w:rFonts w:ascii="Times New Roman" w:hAnsi="Times New Roman"/>
          <w:bCs/>
        </w:rPr>
        <w:t xml:space="preserve"> of the serving cell and monitoring SSBs of </w:t>
      </w:r>
      <w:proofErr w:type="spellStart"/>
      <w:r>
        <w:rPr>
          <w:rFonts w:ascii="Times New Roman" w:hAnsi="Times New Roman"/>
          <w:bCs/>
        </w:rPr>
        <w:t>neighbor</w:t>
      </w:r>
      <w:proofErr w:type="spellEnd"/>
      <w:r>
        <w:rPr>
          <w:rFonts w:ascii="Times New Roman" w:hAnsi="Times New Roman"/>
          <w:bCs/>
        </w:rPr>
        <w:t xml:space="preserve"> cells on the same OFDM symbol</w:t>
      </w:r>
    </w:p>
    <w:p w14:paraId="4B450691" w14:textId="13F66239" w:rsidR="007246C6" w:rsidRDefault="007246C6" w:rsidP="007246C6">
      <w:pPr>
        <w:spacing w:beforeLines="50" w:before="120"/>
        <w:rPr>
          <w:bCs/>
        </w:rPr>
      </w:pPr>
      <w:r>
        <w:rPr>
          <w:bCs/>
        </w:rPr>
        <w:t>Case 1 actually requires higher UE capability than Case 2 does, since</w:t>
      </w:r>
      <w:r w:rsidR="00474BA6">
        <w:rPr>
          <w:bCs/>
        </w:rPr>
        <w:t xml:space="preserve"> data usually has narrower receive beamforming than SSB.</w:t>
      </w:r>
      <w:r w:rsidR="00215C63">
        <w:rPr>
          <w:bCs/>
        </w:rPr>
        <w:t xml:space="preserve"> </w:t>
      </w:r>
      <w:r w:rsidR="003819F7">
        <w:rPr>
          <w:bCs/>
        </w:rPr>
        <w:t>T</w:t>
      </w:r>
      <w:r w:rsidR="00215C63">
        <w:rPr>
          <w:bCs/>
        </w:rPr>
        <w:t>he UE may need to allocate more receive antennas (e.g., antennas on one of the panels) for receiving data, and the UE can monitor fewer number of SSBs.</w:t>
      </w:r>
      <w:r w:rsidR="003819F7">
        <w:rPr>
          <w:bCs/>
        </w:rPr>
        <w:t xml:space="preserve"> </w:t>
      </w:r>
      <w:r w:rsidR="002C5466">
        <w:rPr>
          <w:bCs/>
        </w:rPr>
        <w:t>Thus, the X value for overlapped SSBs may be no smaller than the X value for non-overlapped SSBs.</w:t>
      </w:r>
      <w:r w:rsidR="00B75A16">
        <w:rPr>
          <w:bCs/>
        </w:rPr>
        <w:t xml:space="preserve"> Alternatively, if the X values are made the same for overlapped and non-overlapped SSBs, the UE PDSCH layers may be reduced when the PDSCH is on the same OFDM symbols of the non-overlapping SSBs.</w:t>
      </w:r>
      <w:r w:rsidR="002822A2">
        <w:rPr>
          <w:bCs/>
        </w:rPr>
        <w:t xml:space="preserve"> We can see Alt 3 is more complicated. If X1 and X2 are not too different from each other, taking X = min( X1, X2 ) may be a simple solution.</w:t>
      </w:r>
    </w:p>
    <w:p w14:paraId="313B77A5" w14:textId="769D6DA7" w:rsidR="00B75A16" w:rsidRDefault="00B75A16" w:rsidP="007246C6">
      <w:pPr>
        <w:spacing w:beforeLines="50" w:before="120"/>
        <w:rPr>
          <w:bCs/>
        </w:rPr>
      </w:pPr>
      <w:r>
        <w:rPr>
          <w:bCs/>
        </w:rPr>
        <w:t>For simplicity, Alt 1 is preferred, but we are also open to Alt 3.</w:t>
      </w:r>
    </w:p>
    <w:p w14:paraId="4518FE10" w14:textId="3D0F94B5" w:rsidR="00B75A16" w:rsidRDefault="00B75A16" w:rsidP="00B75A16">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w:t>
      </w:r>
      <w:r w:rsidR="00315F10">
        <w:rPr>
          <w:rFonts w:ascii="Times New Roman" w:hAnsi="Times New Roman"/>
          <w:b/>
        </w:rPr>
        <w:t>For the number of additional PCIs configured per CC, prefer Alt 1</w:t>
      </w:r>
      <w:r w:rsidR="00461165">
        <w:rPr>
          <w:rFonts w:ascii="Times New Roman" w:hAnsi="Times New Roman"/>
          <w:b/>
        </w:rPr>
        <w:t xml:space="preserve"> of a single X value for all cases</w:t>
      </w:r>
      <w:r>
        <w:rPr>
          <w:rFonts w:ascii="Times New Roman" w:hAnsi="Times New Roman"/>
          <w:b/>
        </w:rPr>
        <w:t>.</w:t>
      </w:r>
    </w:p>
    <w:p w14:paraId="6CD28190" w14:textId="77777777" w:rsidR="002E1A51" w:rsidRPr="00E61E53" w:rsidRDefault="002E1A51" w:rsidP="002E1A51">
      <w:pPr>
        <w:pStyle w:val="ListParagraph"/>
        <w:spacing w:beforeLines="50" w:before="120"/>
        <w:ind w:left="0"/>
        <w:jc w:val="both"/>
        <w:rPr>
          <w:rFonts w:ascii="Times New Roman" w:hAnsi="Times New Roman"/>
          <w:bCs/>
        </w:rPr>
      </w:pPr>
    </w:p>
    <w:p w14:paraId="2BACCE1E" w14:textId="701857E0" w:rsidR="00064A09" w:rsidRDefault="00064A09" w:rsidP="00064A09">
      <w:pPr>
        <w:pStyle w:val="Heading2"/>
      </w:pPr>
      <w:r>
        <w:t xml:space="preserve">Other </w:t>
      </w:r>
      <w:r w:rsidR="003C24FC">
        <w:t>additional</w:t>
      </w:r>
      <w:r>
        <w:t xml:space="preserve"> cell information</w:t>
      </w:r>
    </w:p>
    <w:p w14:paraId="62283923" w14:textId="77777777" w:rsidR="00A942D1" w:rsidRDefault="00C7088B" w:rsidP="00D73A25">
      <w:pPr>
        <w:pStyle w:val="ListParagraph"/>
        <w:spacing w:beforeLines="50" w:before="120"/>
        <w:ind w:left="0"/>
        <w:jc w:val="both"/>
        <w:rPr>
          <w:rFonts w:ascii="Times New Roman" w:hAnsi="Times New Roman"/>
        </w:rPr>
      </w:pPr>
      <w:r>
        <w:rPr>
          <w:rFonts w:ascii="Times New Roman" w:hAnsi="Times New Roman"/>
        </w:rPr>
        <w:t xml:space="preserve">In the past meeting, SSB time domain position, SSB transmission periodicity, and SSB transmission power have been agreed, in which the SSB time domain position and SSB transmission periodicity can be used to search the SSB, and SSB transmission power can be used for UL power control. </w:t>
      </w:r>
    </w:p>
    <w:p w14:paraId="406E385B" w14:textId="21489422" w:rsidR="00D301BF" w:rsidRDefault="00A942D1" w:rsidP="00D73A25">
      <w:pPr>
        <w:pStyle w:val="ListParagraph"/>
        <w:spacing w:beforeLines="50" w:before="120"/>
        <w:ind w:left="0"/>
        <w:jc w:val="both"/>
        <w:rPr>
          <w:rFonts w:ascii="Times New Roman" w:hAnsi="Times New Roman"/>
          <w:lang w:val="en-US"/>
        </w:rPr>
      </w:pPr>
      <w:r w:rsidRPr="0050475C">
        <w:rPr>
          <w:rFonts w:ascii="Times New Roman" w:hAnsi="Times New Roman"/>
        </w:rPr>
        <w:t xml:space="preserve">As </w:t>
      </w:r>
      <w:proofErr w:type="spellStart"/>
      <w:r w:rsidRPr="0050475C">
        <w:rPr>
          <w:rFonts w:ascii="Times New Roman" w:hAnsi="Times New Roman"/>
        </w:rPr>
        <w:t>analyzed</w:t>
      </w:r>
      <w:proofErr w:type="spellEnd"/>
      <w:r w:rsidRPr="0050475C">
        <w:rPr>
          <w:rFonts w:ascii="Times New Roman" w:hAnsi="Times New Roman"/>
        </w:rPr>
        <w:t xml:space="preserve"> </w:t>
      </w:r>
      <w:r w:rsidR="004F755F">
        <w:rPr>
          <w:rFonts w:ascii="Times New Roman" w:hAnsi="Times New Roman"/>
        </w:rPr>
        <w:t>before</w:t>
      </w:r>
      <w:r w:rsidRPr="0050475C">
        <w:rPr>
          <w:rFonts w:ascii="Times New Roman" w:hAnsi="Times New Roman"/>
        </w:rPr>
        <w:t xml:space="preserve">, Rel-17 design should reuse the Rel-16 scheme for </w:t>
      </w:r>
      <w:proofErr w:type="spellStart"/>
      <w:r w:rsidRPr="0050475C">
        <w:rPr>
          <w:rFonts w:ascii="Times New Roman" w:hAnsi="Times New Roman"/>
        </w:rPr>
        <w:t>neighbor</w:t>
      </w:r>
      <w:proofErr w:type="spellEnd"/>
      <w:r w:rsidRPr="0050475C">
        <w:rPr>
          <w:rFonts w:ascii="Times New Roman" w:hAnsi="Times New Roman"/>
        </w:rPr>
        <w:t xml:space="preserve"> cell SSB/RS configuration as much as possible. However, in Rel-16, the </w:t>
      </w:r>
      <w:proofErr w:type="spellStart"/>
      <w:r w:rsidRPr="0050475C">
        <w:rPr>
          <w:rFonts w:ascii="Times New Roman" w:hAnsi="Times New Roman"/>
        </w:rPr>
        <w:t>neighbor</w:t>
      </w:r>
      <w:proofErr w:type="spellEnd"/>
      <w:r w:rsidRPr="0050475C">
        <w:rPr>
          <w:rFonts w:ascii="Times New Roman" w:hAnsi="Times New Roman"/>
        </w:rPr>
        <w:t xml:space="preserve"> cell’s may have different parameters such as BWP bandwidth, SCS, etc., than the serving cell’s, and hence those parameters may need to be configured for the UE. In Rel-17 M-TRP, however, those parameters are </w:t>
      </w:r>
      <w:r>
        <w:rPr>
          <w:rFonts w:ascii="Times New Roman" w:hAnsi="Times New Roman"/>
        </w:rPr>
        <w:t>aligned with the serving cell and can be derived by the UE without configuration</w:t>
      </w:r>
      <w:r w:rsidRPr="0050475C">
        <w:rPr>
          <w:rFonts w:ascii="Times New Roman" w:hAnsi="Times New Roman"/>
        </w:rPr>
        <w:t>, and hence the UE may ignore those parameters, or to avoid any ambiguity, those parameters may be removed from the configuration.</w:t>
      </w:r>
      <w:r w:rsidR="00D301BF">
        <w:rPr>
          <w:rFonts w:ascii="Times New Roman" w:hAnsi="Times New Roman"/>
        </w:rPr>
        <w:t xml:space="preserve"> </w:t>
      </w:r>
      <w:r w:rsidR="00B11B28">
        <w:rPr>
          <w:rFonts w:ascii="Times New Roman" w:hAnsi="Times New Roman"/>
        </w:rPr>
        <w:t xml:space="preserve">In addition, the SSB index for the </w:t>
      </w:r>
      <w:r w:rsidR="007304FC" w:rsidRPr="007304FC">
        <w:rPr>
          <w:rFonts w:ascii="Times New Roman" w:hAnsi="Times New Roman"/>
        </w:rPr>
        <w:t xml:space="preserve">additional </w:t>
      </w:r>
      <w:r w:rsidR="00B11B28">
        <w:rPr>
          <w:rFonts w:ascii="Times New Roman" w:hAnsi="Times New Roman"/>
        </w:rPr>
        <w:t>cell may be needed.</w:t>
      </w:r>
      <w:r w:rsidR="0050475C" w:rsidRPr="0050475C">
        <w:rPr>
          <w:rFonts w:ascii="Times New Roman" w:hAnsi="Times New Roman"/>
        </w:rPr>
        <w:tab/>
      </w:r>
    </w:p>
    <w:p w14:paraId="61FE31CF" w14:textId="76860526" w:rsidR="00B11B28" w:rsidRDefault="00B11B28" w:rsidP="00D73A25">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sidR="00BD7182">
        <w:rPr>
          <w:rFonts w:ascii="Times New Roman" w:hAnsi="Times New Roman"/>
          <w:b/>
          <w:u w:val="single"/>
        </w:rPr>
        <w:t>2</w:t>
      </w:r>
      <w:r w:rsidRPr="00BD5373">
        <w:rPr>
          <w:rFonts w:ascii="Times New Roman" w:hAnsi="Times New Roman"/>
          <w:b/>
        </w:rPr>
        <w:t xml:space="preserve">: </w:t>
      </w:r>
      <w:r w:rsidR="00287F84">
        <w:rPr>
          <w:rFonts w:ascii="Times New Roman" w:hAnsi="Times New Roman"/>
          <w:b/>
        </w:rPr>
        <w:t xml:space="preserve">Confirm that inter-cell M-TRPs have the same </w:t>
      </w:r>
      <w:r w:rsidR="00287F84" w:rsidRPr="00287F84">
        <w:rPr>
          <w:rFonts w:ascii="Times New Roman" w:hAnsi="Times New Roman"/>
          <w:b/>
        </w:rPr>
        <w:t>BWP bandwidth</w:t>
      </w:r>
      <w:r w:rsidR="00287F84">
        <w:rPr>
          <w:rFonts w:ascii="Times New Roman" w:hAnsi="Times New Roman"/>
          <w:b/>
        </w:rPr>
        <w:t xml:space="preserve"> and</w:t>
      </w:r>
      <w:r w:rsidR="00287F84" w:rsidRPr="00287F84">
        <w:rPr>
          <w:rFonts w:ascii="Times New Roman" w:hAnsi="Times New Roman"/>
          <w:b/>
        </w:rPr>
        <w:t xml:space="preserve"> SCS</w:t>
      </w:r>
      <w:r w:rsidR="00C11A93">
        <w:rPr>
          <w:rFonts w:ascii="Times New Roman" w:hAnsi="Times New Roman"/>
          <w:b/>
        </w:rPr>
        <w:t>.</w:t>
      </w:r>
    </w:p>
    <w:p w14:paraId="102E5939" w14:textId="77777777" w:rsidR="00BC2D1B" w:rsidRDefault="00BC2D1B" w:rsidP="00112D22">
      <w:pPr>
        <w:spacing w:beforeLines="50" w:before="120"/>
        <w:rPr>
          <w:b/>
        </w:rPr>
      </w:pPr>
    </w:p>
    <w:p w14:paraId="53694D82" w14:textId="3423B737" w:rsidR="008E01F5" w:rsidRDefault="00C233EA" w:rsidP="00C233EA">
      <w:pPr>
        <w:pStyle w:val="Heading3"/>
      </w:pPr>
      <w:r>
        <w:t>A mixture of inter-cell and intra-cell M-TRPs</w:t>
      </w:r>
      <w:r w:rsidR="00B3214A">
        <w:t xml:space="preserve"> and switching between them</w:t>
      </w:r>
    </w:p>
    <w:p w14:paraId="432BF2D2" w14:textId="2812249C" w:rsidR="00EB33C8" w:rsidRDefault="00EB33C8" w:rsidP="00EB33C8">
      <w:r>
        <w:t xml:space="preserve">We have pointed out in the last meeting’s discussion that the deployment scenario may include both intra-cell M-TRP and inter-cell M-TRP. For example, cell 0 </w:t>
      </w:r>
      <w:r w:rsidR="00BC0EE7">
        <w:t xml:space="preserve">(represented by TRP 0) </w:t>
      </w:r>
      <w:r>
        <w:t xml:space="preserve">is the serving cell, TRP 1 is intra-cell with cell 0, cell 2 </w:t>
      </w:r>
      <w:r w:rsidR="00BC0EE7">
        <w:t xml:space="preserve">(represented by TRP 2) </w:t>
      </w:r>
      <w:r>
        <w:t>is a</w:t>
      </w:r>
      <w:r w:rsidR="005A6D54">
        <w:t>n additional cell (</w:t>
      </w:r>
      <w:r>
        <w:t>inter-cell</w:t>
      </w:r>
      <w:r w:rsidR="005A6D54">
        <w:t>)</w:t>
      </w:r>
      <w:r>
        <w:t xml:space="preserve">, TRP 3 is intra-cell with cell 2. Each standalone cell </w:t>
      </w:r>
      <w:r w:rsidR="00BC0EE7">
        <w:t xml:space="preserve">(cell 0 or cell 2) </w:t>
      </w:r>
      <w:r>
        <w:t>can be used to form a</w:t>
      </w:r>
      <w:r w:rsidR="00B37047">
        <w:t>n extended intra-cell</w:t>
      </w:r>
      <w:r>
        <w:t xml:space="preserve"> </w:t>
      </w:r>
      <w:r w:rsidR="00BC0EE7">
        <w:t>resource group</w:t>
      </w:r>
      <w:r>
        <w:t xml:space="preserve"> which comprises all the TRPs associated with that cell. In this example, 2 </w:t>
      </w:r>
      <w:r w:rsidR="009A173D">
        <w:t>non-col-located</w:t>
      </w:r>
      <w:r w:rsidR="00D1465E">
        <w:t xml:space="preserve"> resource groups</w:t>
      </w:r>
      <w:r>
        <w:t xml:space="preserve"> are forms based on cell 0’s PCI and cell 2’s PCI. Within each </w:t>
      </w:r>
      <w:r w:rsidR="00523136">
        <w:t>resource group</w:t>
      </w:r>
      <w:r>
        <w:t xml:space="preserve">, the </w:t>
      </w:r>
      <w:r w:rsidR="00523136">
        <w:t xml:space="preserve">TRPs are intra-cell M-TRPs as defined in Rel-16, and their </w:t>
      </w:r>
      <w:r>
        <w:t>resources can be differentiated by CORESET pool indexes.</w:t>
      </w:r>
      <w:r w:rsidR="00523136">
        <w:t xml:space="preserve"> Across the resource groups, the TRPs are inter-cell M-TRPs not covered in Rel-16, and their resources can be differentiated based on </w:t>
      </w:r>
      <w:r w:rsidR="00BC2D1B">
        <w:t xml:space="preserve">association/grouping via QCL/TCI association to corresponding PCIs. </w:t>
      </w:r>
      <w:r w:rsidR="00BD7182">
        <w:t>The inter-cell M-TRPs and intra-cell M-TRPs may not need to be supported / used by the UE at the same time, that is, the UE may switch between them based on RRC configuration or MAC indication.</w:t>
      </w:r>
    </w:p>
    <w:p w14:paraId="29CBE38A" w14:textId="05FAB52D" w:rsidR="00F66574" w:rsidRDefault="00F66574" w:rsidP="00EB33C8">
      <w:r>
        <w:rPr>
          <w:bCs/>
        </w:rPr>
        <w:t xml:space="preserve">If multiple additional PCIs are also supported, then each additional PCI and associated intra-cell resources form a resource group, and across different additional PCIs the resources / resource groups are considered as </w:t>
      </w:r>
      <w:r w:rsidR="009A173D">
        <w:t>non-col-located</w:t>
      </w:r>
      <w:r>
        <w:rPr>
          <w:bCs/>
        </w:rPr>
        <w:t xml:space="preserve">. When the activated additional PCI is deactivated, all the resources in the associated resource group are deactivated, including the intra-cell M-TRP identified by CORESET pool index 1 for that additional cell. </w:t>
      </w:r>
    </w:p>
    <w:p w14:paraId="634BBD7F" w14:textId="7F468206" w:rsidR="00BC2D1B" w:rsidRDefault="00BC2D1B" w:rsidP="00EB33C8">
      <w:pPr>
        <w:rPr>
          <w:b/>
        </w:rPr>
      </w:pPr>
      <w:r w:rsidRPr="00D846F2">
        <w:rPr>
          <w:b/>
          <w:u w:val="single"/>
        </w:rPr>
        <w:lastRenderedPageBreak/>
        <w:t xml:space="preserve">Proposal </w:t>
      </w:r>
      <w:r w:rsidR="00BD7182">
        <w:rPr>
          <w:b/>
          <w:u w:val="single"/>
        </w:rPr>
        <w:t>3</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7A50A701" w14:textId="77777777" w:rsidR="00BC2D1B" w:rsidRPr="00EB33C8" w:rsidRDefault="00BC2D1B" w:rsidP="00910BE1"/>
    <w:p w14:paraId="57FA7C54" w14:textId="0F47C9AA" w:rsidR="00EB33C8" w:rsidRDefault="00776D25" w:rsidP="00EB33C8">
      <w:pPr>
        <w:pStyle w:val="Heading3"/>
      </w:pPr>
      <w:r>
        <w:t>On CORESET pool indexes</w:t>
      </w:r>
    </w:p>
    <w:p w14:paraId="43EDB195" w14:textId="2A52AC69" w:rsidR="007268E1" w:rsidRDefault="007268E1" w:rsidP="00870619">
      <w:pPr>
        <w:spacing w:beforeLines="50" w:before="120"/>
      </w:pPr>
      <w:r w:rsidRPr="00870619">
        <w:t xml:space="preserve">With the </w:t>
      </w:r>
      <w:r w:rsidR="00671050" w:rsidRPr="007304FC">
        <w:t>additional</w:t>
      </w:r>
      <w:r w:rsidRPr="00870619">
        <w:t xml:space="preserve"> </w:t>
      </w:r>
      <w:r w:rsidR="001A78C4">
        <w:t xml:space="preserve">PCI and </w:t>
      </w:r>
      <w:r w:rsidRPr="00870619">
        <w:t>SSB configured to the UE</w:t>
      </w:r>
      <w:r w:rsidR="00870619">
        <w:t xml:space="preserve"> and based on the above analysis</w:t>
      </w:r>
      <w:r w:rsidRPr="00870619">
        <w:t xml:space="preserve">, it is questionable whether the CORESET pool indexes are </w:t>
      </w:r>
      <w:r w:rsidR="00872F59">
        <w:t>absolutely necessary for inter-cell M-TRP</w:t>
      </w:r>
      <w:r w:rsidRPr="00870619">
        <w:t>. The UE can link PDCCH</w:t>
      </w:r>
      <w:r w:rsidR="00881708" w:rsidRPr="00870619">
        <w:t xml:space="preserve"> (via PDCCH’s CORESET configuration and/or SS set configuration)</w:t>
      </w:r>
      <w:r w:rsidRPr="00870619">
        <w:t xml:space="preserve"> as well as other transmissions/receptions to the inter-cell TRP via the QCL relation to the </w:t>
      </w:r>
      <w:r w:rsidR="00AA5924" w:rsidRPr="007304FC">
        <w:t>additional</w:t>
      </w:r>
      <w:r w:rsidRPr="00870619">
        <w:t xml:space="preserve"> SSB, and hence the CORESET pool indexes </w:t>
      </w:r>
      <w:r w:rsidR="00870619">
        <w:t>do</w:t>
      </w:r>
      <w:r w:rsidRPr="00870619">
        <w:t xml:space="preserve"> not need to be explicitly configured in this case.</w:t>
      </w:r>
      <w:r w:rsidR="00E64A37">
        <w:t xml:space="preserve"> In fact, the CORESET pool index is an explicit ID used in Rel-16 to differentiate </w:t>
      </w:r>
      <w:r w:rsidR="00BC6EC6">
        <w:t>intra-cell TRPs, i.e., an alternative TRP ID</w:t>
      </w:r>
      <w:r w:rsidR="00F46BDA">
        <w:t xml:space="preserve"> or implicit TRP ID</w:t>
      </w:r>
      <w:r w:rsidR="00BC6EC6">
        <w:t xml:space="preserve">. This was necessary for Rel-16 as an intra-cell TRP does not have any ID. However, </w:t>
      </w:r>
      <w:r w:rsidR="00F010B9">
        <w:t>for Rel-17 inter-cell M-TRP,</w:t>
      </w:r>
      <w:r w:rsidR="00223CEC">
        <w:t xml:space="preserve"> the inter-cell TRP already has an ID --- PCI, and there is no reason to introduce any other ID. </w:t>
      </w:r>
      <w:r w:rsidR="00C6544B">
        <w:t>So although it was agreed that, for</w:t>
      </w:r>
      <w:r w:rsidR="00C6544B" w:rsidRPr="00C6544B">
        <w:t xml:space="preserve"> inter-cell </w:t>
      </w:r>
      <w:proofErr w:type="spellStart"/>
      <w:r w:rsidR="00C6544B" w:rsidRPr="00C6544B">
        <w:t>mTRP</w:t>
      </w:r>
      <w:proofErr w:type="spellEnd"/>
      <w:r w:rsidR="00C6544B" w:rsidRPr="00C6544B">
        <w:t xml:space="preserve"> , one PCI associated with one or more of activated TCI states for PDSCH/PDCCH is associated with one </w:t>
      </w:r>
      <w:proofErr w:type="spellStart"/>
      <w:r w:rsidR="00C6544B" w:rsidRPr="00C6544B">
        <w:t>CORESETPoolIndex</w:t>
      </w:r>
      <w:proofErr w:type="spellEnd"/>
      <w:r w:rsidR="00C6544B" w:rsidRPr="00C6544B">
        <w:t xml:space="preserve">, another PCI associated with one or more of activated TCI states for PDSCH/PDCCH is associated with another </w:t>
      </w:r>
      <w:proofErr w:type="spellStart"/>
      <w:r w:rsidR="00C6544B" w:rsidRPr="00C6544B">
        <w:t>CORESETPoolIndex</w:t>
      </w:r>
      <w:proofErr w:type="spellEnd"/>
      <w:r w:rsidR="00C6544B">
        <w:t xml:space="preserve">, the necessity of using </w:t>
      </w:r>
      <w:proofErr w:type="spellStart"/>
      <w:r w:rsidR="00C6544B" w:rsidRPr="00C6544B">
        <w:t>CORESETPoolIndex</w:t>
      </w:r>
      <w:proofErr w:type="spellEnd"/>
      <w:r w:rsidR="00C6544B">
        <w:t xml:space="preserve"> for purely inter-cell M-TRP is not justified, and </w:t>
      </w:r>
      <w:proofErr w:type="spellStart"/>
      <w:r w:rsidR="00C6544B" w:rsidRPr="00C6544B">
        <w:t>CORESETPoolIndex</w:t>
      </w:r>
      <w:proofErr w:type="spellEnd"/>
      <w:r w:rsidR="00C6544B">
        <w:t xml:space="preserve"> is redundant given the configured PCIs.</w:t>
      </w:r>
    </w:p>
    <w:p w14:paraId="28AECD6D" w14:textId="3D07A24C" w:rsidR="00B52E60" w:rsidRDefault="00B52E60" w:rsidP="00870619">
      <w:pPr>
        <w:spacing w:beforeLines="50" w:before="120"/>
      </w:pPr>
      <w:r>
        <w:t>For intra-cell M-TRP scenarios, or for the</w:t>
      </w:r>
      <w:r w:rsidRPr="00B52E60">
        <w:t xml:space="preserve"> mix</w:t>
      </w:r>
      <w:r>
        <w:t>ed scenario</w:t>
      </w:r>
      <w:r w:rsidRPr="00B52E60">
        <w:t xml:space="preserve"> of intra-cell M-TRP and inter-cell M-TRP</w:t>
      </w:r>
      <w:r w:rsidR="00C6544B">
        <w:t xml:space="preserve"> (including the switching between </w:t>
      </w:r>
      <w:r w:rsidR="00C6544B" w:rsidRPr="00B52E60">
        <w:t>intra-cell M-TRP and inter-cell M-TRP</w:t>
      </w:r>
      <w:r w:rsidR="00C6544B">
        <w:t>)</w:t>
      </w:r>
      <w:r>
        <w:t>, CORESET pool indexes should still be used within each cell (i.e., intra-cell M-TRP) as this is fully covered by Rel-16 design.</w:t>
      </w:r>
      <w:r w:rsidR="00F91824">
        <w:t xml:space="preserve"> Within each cell, the resources can be differentiated by CORESET pool indexes. The CORESET pool indexes may be the same across the serving cell and additional cell, but since they are in different cells (associated with different PCIs</w:t>
      </w:r>
      <w:r w:rsidR="00291934">
        <w:t>, also including the cases of multiple additional PCIs on a carrier if supported</w:t>
      </w:r>
      <w:r w:rsidR="00F91824">
        <w:t xml:space="preserve">), there should be no ambiguity. In the above example, cell 0 has CORESET pool index 0 (or </w:t>
      </w:r>
      <w:r w:rsidR="00291934">
        <w:t>absent</w:t>
      </w:r>
      <w:r w:rsidR="00F91824">
        <w:t>), TRP 1 has CORESET pool index 1</w:t>
      </w:r>
      <w:r w:rsidR="00C6544B">
        <w:t xml:space="preserve"> when it is activated</w:t>
      </w:r>
      <w:r w:rsidR="00F91824">
        <w:t xml:space="preserve">, cell 2 has CORESET pool index 0 (or </w:t>
      </w:r>
      <w:r w:rsidR="00291934">
        <w:t>absent</w:t>
      </w:r>
      <w:r w:rsidR="00F91824">
        <w:t>), TRP 3 has CORESET pool index 1</w:t>
      </w:r>
      <w:r w:rsidR="00C6544B" w:rsidRPr="00C6544B">
        <w:t xml:space="preserve"> </w:t>
      </w:r>
      <w:r w:rsidR="00C6544B">
        <w:t>when it is activated</w:t>
      </w:r>
      <w:r w:rsidR="00F91824">
        <w:t>.</w:t>
      </w:r>
    </w:p>
    <w:p w14:paraId="447DC218" w14:textId="4CC61E32" w:rsidR="00555DBC" w:rsidRDefault="00555DBC" w:rsidP="00AD3488">
      <w:pPr>
        <w:spacing w:beforeLines="50" w:before="120"/>
        <w:rPr>
          <w:b/>
        </w:rPr>
      </w:pPr>
      <w:r w:rsidRPr="00D846F2">
        <w:rPr>
          <w:b/>
          <w:u w:val="single"/>
        </w:rPr>
        <w:t xml:space="preserve">Proposal </w:t>
      </w:r>
      <w:r w:rsidR="002265F9">
        <w:rPr>
          <w:b/>
          <w:u w:val="single"/>
        </w:rPr>
        <w:t>4</w:t>
      </w:r>
      <w:r w:rsidRPr="00D846F2">
        <w:rPr>
          <w:b/>
        </w:rPr>
        <w:t>:</w:t>
      </w:r>
      <w:r>
        <w:rPr>
          <w:b/>
        </w:rPr>
        <w:t xml:space="preserve"> </w:t>
      </w:r>
      <w:r w:rsidRPr="00555DBC">
        <w:rPr>
          <w:b/>
        </w:rPr>
        <w:t>CORESET pool index</w:t>
      </w:r>
      <w:r>
        <w:rPr>
          <w:b/>
        </w:rPr>
        <w:t xml:space="preserve"> </w:t>
      </w:r>
      <w:r w:rsidR="00993417">
        <w:rPr>
          <w:b/>
        </w:rPr>
        <w:t xml:space="preserve">is useful for </w:t>
      </w:r>
      <w:r w:rsidR="00993417">
        <w:rPr>
          <w:b/>
        </w:rPr>
        <w:t xml:space="preserve">the scenario of </w:t>
      </w:r>
      <w:r w:rsidR="00993417">
        <w:rPr>
          <w:b/>
        </w:rPr>
        <w:t>switching between</w:t>
      </w:r>
      <w:r w:rsidR="00993417">
        <w:rPr>
          <w:b/>
        </w:rPr>
        <w:t xml:space="preserve"> </w:t>
      </w:r>
      <w:r w:rsidR="00993417" w:rsidRPr="00BC2D1B">
        <w:rPr>
          <w:b/>
        </w:rPr>
        <w:t>intra-cell M-TRP and inter-cell M-TRP</w:t>
      </w:r>
      <w:r>
        <w:rPr>
          <w:b/>
        </w:rPr>
        <w:t>.</w:t>
      </w:r>
    </w:p>
    <w:p w14:paraId="11560692" w14:textId="77777777" w:rsidR="00555DBC" w:rsidRDefault="00555DBC" w:rsidP="00AD3488">
      <w:pPr>
        <w:spacing w:beforeLines="50" w:before="120"/>
      </w:pPr>
    </w:p>
    <w:p w14:paraId="2047C2B2" w14:textId="5F7AF787" w:rsidR="00E671E9" w:rsidRDefault="00E671E9" w:rsidP="00E671E9">
      <w:pPr>
        <w:pStyle w:val="Heading3"/>
      </w:pPr>
      <w:r>
        <w:t>Non-cross carrier QCL indication and cross-carrier scheduling QCL indication</w:t>
      </w:r>
    </w:p>
    <w:p w14:paraId="0B76EA69" w14:textId="3308D09A" w:rsidR="00E671E9" w:rsidRPr="00E671E9" w:rsidRDefault="00776983" w:rsidP="00910BE1">
      <w:r>
        <w:t xml:space="preserve">An agreement from last meeting has "… The additional PCI … </w:t>
      </w:r>
      <w:r w:rsidRPr="00776983">
        <w:t>Applicable at least for non-cross carrier QCL indication</w:t>
      </w:r>
      <w:r>
        <w:t xml:space="preserve"> … </w:t>
      </w:r>
      <w:r w:rsidRPr="00776983">
        <w:t></w:t>
      </w:r>
      <w:r w:rsidRPr="00776983">
        <w:tab/>
        <w:t>FFS: Cross carrier scheduling QCL indication</w:t>
      </w:r>
      <w:r>
        <w:t xml:space="preserve">". </w:t>
      </w:r>
      <w:r w:rsidR="00721460">
        <w:t xml:space="preserve">For scheduling related to the additional PCI, M-DCI will be utilized, that is, for the resource groups formed by the </w:t>
      </w:r>
      <w:r w:rsidR="005D44A4">
        <w:t xml:space="preserve">serving PCI (PCI 0) and </w:t>
      </w:r>
      <w:r w:rsidR="00721460">
        <w:t xml:space="preserve">additional PCI </w:t>
      </w:r>
      <w:r w:rsidR="005D44A4">
        <w:t>(PCI 1)</w:t>
      </w:r>
      <w:r w:rsidR="00721460">
        <w:t xml:space="preserve">, scheduling is within each group and there is no need/advantage for cross-group scheduling, especially if the backhaul connection between the different cells / resource groups is non-ideal. </w:t>
      </w:r>
      <w:r w:rsidR="005D44A4">
        <w:t>F</w:t>
      </w:r>
      <w:r w:rsidR="00E96990">
        <w:t>or</w:t>
      </w:r>
      <w:r w:rsidR="005D44A4">
        <w:t xml:space="preserve"> cross-carrier scheduling by an additional cell with PCI 2 collocated with the cell with PCI 1, cross-carrier scheduling can be supported without referring to PCI 1 but by legacy mechanism of CIF and so on. Only for some higher-layer signaling by RRC/MAC, the PCI 1 needs to be referred to, such as in the RRC configuration of QCL source</w:t>
      </w:r>
      <w:r w:rsidR="000A21D2">
        <w:t>, the activation of another additional PCI out of several candidates on a carrier</w:t>
      </w:r>
      <w:r w:rsidR="005D44A4">
        <w:t>.</w:t>
      </w:r>
    </w:p>
    <w:p w14:paraId="33752E69" w14:textId="32C294A0" w:rsidR="000A21D2" w:rsidRDefault="000A21D2" w:rsidP="007C4735">
      <w:pPr>
        <w:spacing w:beforeLines="50" w:before="120"/>
      </w:pPr>
      <w:r w:rsidRPr="00D846F2">
        <w:rPr>
          <w:b/>
          <w:u w:val="single"/>
        </w:rPr>
        <w:t xml:space="preserve">Proposal </w:t>
      </w:r>
      <w:r w:rsidR="002265F9">
        <w:rPr>
          <w:b/>
          <w:u w:val="single"/>
        </w:rPr>
        <w:t>5</w:t>
      </w:r>
      <w:r w:rsidRPr="00D846F2">
        <w:rPr>
          <w:b/>
        </w:rPr>
        <w:t>:</w:t>
      </w:r>
      <w:r w:rsidRPr="00E8593E">
        <w:t xml:space="preserve"> </w:t>
      </w:r>
      <w:r>
        <w:rPr>
          <w:b/>
          <w:bCs/>
        </w:rPr>
        <w:t>Indication of an additional PCI for same/cross-carrier scheduling is not needed.</w:t>
      </w:r>
    </w:p>
    <w:p w14:paraId="6F47ED1A" w14:textId="77777777" w:rsidR="000A21D2" w:rsidRPr="007C4735" w:rsidRDefault="000A21D2" w:rsidP="007C4735">
      <w:pPr>
        <w:spacing w:beforeLines="50" w:before="120"/>
      </w:pPr>
    </w:p>
    <w:p w14:paraId="1A801C54" w14:textId="5BBF2CFF" w:rsidR="004B3422" w:rsidRPr="00E27CC0" w:rsidRDefault="004B3422" w:rsidP="004B3422">
      <w:pPr>
        <w:pStyle w:val="Heading1"/>
        <w:tabs>
          <w:tab w:val="clear" w:pos="432"/>
        </w:tabs>
      </w:pPr>
      <w:bookmarkStart w:id="3" w:name="_Ref129681832"/>
      <w:r>
        <w:t>Conclusion</w:t>
      </w:r>
    </w:p>
    <w:p w14:paraId="2DAADC2F" w14:textId="2DFC9D12" w:rsidR="00B44264" w:rsidRDefault="00E93024" w:rsidP="00322207">
      <w:r w:rsidRPr="007F5EC6">
        <w:t>In this contribution, we</w:t>
      </w:r>
      <w:r>
        <w:t xml:space="preserve"> </w:t>
      </w:r>
      <w:r w:rsidR="009E3A88">
        <w:t xml:space="preserve">discussed </w:t>
      </w:r>
      <w:r w:rsidR="00C942E9">
        <w:rPr>
          <w:lang w:val="en-GB"/>
        </w:rPr>
        <w:t>i</w:t>
      </w:r>
      <w:r w:rsidR="00C942E9" w:rsidRPr="00773DB7">
        <w:rPr>
          <w:lang w:val="en-GB"/>
        </w:rPr>
        <w:t>nter-cell multi-TRP operation</w:t>
      </w:r>
      <w:r w:rsidR="00C942E9">
        <w:rPr>
          <w:lang w:val="en-GB"/>
        </w:rPr>
        <w:t xml:space="preserve">. </w:t>
      </w:r>
      <w:r w:rsidR="009E3A88">
        <w:t>The following are proposed:</w:t>
      </w:r>
    </w:p>
    <w:bookmarkEnd w:id="3"/>
    <w:p w14:paraId="66694534" w14:textId="77777777" w:rsidR="00E21436" w:rsidRDefault="00E21436" w:rsidP="00E21436">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1</w:t>
      </w:r>
      <w:r w:rsidRPr="00BD5373">
        <w:rPr>
          <w:rFonts w:ascii="Times New Roman" w:hAnsi="Times New Roman"/>
          <w:b/>
        </w:rPr>
        <w:t xml:space="preserve">: </w:t>
      </w:r>
      <w:r>
        <w:rPr>
          <w:rFonts w:ascii="Times New Roman" w:hAnsi="Times New Roman"/>
          <w:b/>
        </w:rPr>
        <w:t>For the number of additional PCIs configured per CC, prefer Alt 1 of a single X value for all cases.</w:t>
      </w:r>
    </w:p>
    <w:p w14:paraId="5667E5FC" w14:textId="77777777" w:rsidR="00E21436" w:rsidRDefault="00E21436" w:rsidP="00E21436">
      <w:pPr>
        <w:pStyle w:val="ListParagraph"/>
        <w:spacing w:beforeLines="50" w:before="120"/>
        <w:ind w:left="0"/>
        <w:jc w:val="both"/>
        <w:rPr>
          <w:rFonts w:ascii="Times New Roman" w:hAnsi="Times New Roman"/>
          <w:b/>
        </w:rPr>
      </w:pPr>
      <w:r w:rsidRPr="00BD5373">
        <w:rPr>
          <w:rFonts w:ascii="Times New Roman" w:hAnsi="Times New Roman"/>
          <w:b/>
          <w:u w:val="single"/>
        </w:rPr>
        <w:t xml:space="preserve">Proposal </w:t>
      </w:r>
      <w:r>
        <w:rPr>
          <w:rFonts w:ascii="Times New Roman" w:hAnsi="Times New Roman"/>
          <w:b/>
          <w:u w:val="single"/>
        </w:rPr>
        <w:t>2</w:t>
      </w:r>
      <w:r w:rsidRPr="00BD5373">
        <w:rPr>
          <w:rFonts w:ascii="Times New Roman" w:hAnsi="Times New Roman"/>
          <w:b/>
        </w:rPr>
        <w:t xml:space="preserve">: </w:t>
      </w:r>
      <w:r>
        <w:rPr>
          <w:rFonts w:ascii="Times New Roman" w:hAnsi="Times New Roman"/>
          <w:b/>
        </w:rPr>
        <w:t xml:space="preserve">Confirm that inter-cell M-TRPs have the same </w:t>
      </w:r>
      <w:r w:rsidRPr="00287F84">
        <w:rPr>
          <w:rFonts w:ascii="Times New Roman" w:hAnsi="Times New Roman"/>
          <w:b/>
        </w:rPr>
        <w:t>BWP bandwidth</w:t>
      </w:r>
      <w:r>
        <w:rPr>
          <w:rFonts w:ascii="Times New Roman" w:hAnsi="Times New Roman"/>
          <w:b/>
        </w:rPr>
        <w:t xml:space="preserve"> and</w:t>
      </w:r>
      <w:r w:rsidRPr="00287F84">
        <w:rPr>
          <w:rFonts w:ascii="Times New Roman" w:hAnsi="Times New Roman"/>
          <w:b/>
        </w:rPr>
        <w:t xml:space="preserve"> SCS</w:t>
      </w:r>
      <w:r>
        <w:rPr>
          <w:rFonts w:ascii="Times New Roman" w:hAnsi="Times New Roman"/>
          <w:b/>
        </w:rPr>
        <w:t>.</w:t>
      </w:r>
    </w:p>
    <w:p w14:paraId="55C836F6" w14:textId="0B01B9AD" w:rsidR="0053069C" w:rsidRDefault="0053069C" w:rsidP="0053069C">
      <w:pPr>
        <w:rPr>
          <w:b/>
        </w:rPr>
      </w:pPr>
      <w:r w:rsidRPr="00D846F2">
        <w:rPr>
          <w:b/>
          <w:u w:val="single"/>
        </w:rPr>
        <w:lastRenderedPageBreak/>
        <w:t xml:space="preserve">Proposal </w:t>
      </w:r>
      <w:r w:rsidR="004A46EB">
        <w:rPr>
          <w:b/>
          <w:u w:val="single"/>
        </w:rPr>
        <w:t>3</w:t>
      </w:r>
      <w:r w:rsidRPr="00D846F2">
        <w:rPr>
          <w:b/>
        </w:rPr>
        <w:t>:</w:t>
      </w:r>
      <w:r>
        <w:rPr>
          <w:b/>
        </w:rPr>
        <w:t xml:space="preserve"> For the scenario of a mixture of </w:t>
      </w:r>
      <w:r w:rsidRPr="00BC2D1B">
        <w:rPr>
          <w:b/>
        </w:rPr>
        <w:t>intra-cell M-TRP and inter-cell M-TRP</w:t>
      </w:r>
      <w:r>
        <w:rPr>
          <w:b/>
        </w:rPr>
        <w:t xml:space="preserve">, intra-cell resources can be differentiated by CORESET pool indexes as in Rel-16, and inter-cell resources can be differentiated by </w:t>
      </w:r>
      <w:r w:rsidRPr="00BC2D1B">
        <w:rPr>
          <w:b/>
        </w:rPr>
        <w:t>association/grouping via QCL/TCI association to corresponding PCIs</w:t>
      </w:r>
      <w:r>
        <w:rPr>
          <w:b/>
        </w:rPr>
        <w:t>.</w:t>
      </w:r>
    </w:p>
    <w:p w14:paraId="79867238" w14:textId="77777777" w:rsidR="00E21436" w:rsidRDefault="00E21436" w:rsidP="00E21436">
      <w:pPr>
        <w:spacing w:beforeLines="50" w:before="120"/>
        <w:rPr>
          <w:b/>
        </w:rPr>
      </w:pPr>
      <w:r w:rsidRPr="00D846F2">
        <w:rPr>
          <w:b/>
          <w:u w:val="single"/>
        </w:rPr>
        <w:t xml:space="preserve">Proposal </w:t>
      </w:r>
      <w:r>
        <w:rPr>
          <w:b/>
          <w:u w:val="single"/>
        </w:rPr>
        <w:t>4</w:t>
      </w:r>
      <w:r w:rsidRPr="00D846F2">
        <w:rPr>
          <w:b/>
        </w:rPr>
        <w:t>:</w:t>
      </w:r>
      <w:r>
        <w:rPr>
          <w:b/>
        </w:rPr>
        <w:t xml:space="preserve"> </w:t>
      </w:r>
      <w:r w:rsidRPr="00555DBC">
        <w:rPr>
          <w:b/>
        </w:rPr>
        <w:t>CORESET pool index</w:t>
      </w:r>
      <w:r>
        <w:rPr>
          <w:b/>
        </w:rPr>
        <w:t xml:space="preserve"> is useful for the scenario of switching between </w:t>
      </w:r>
      <w:r w:rsidRPr="00BC2D1B">
        <w:rPr>
          <w:b/>
        </w:rPr>
        <w:t>intra-cell M-TRP and inter-cell M-TRP</w:t>
      </w:r>
      <w:r>
        <w:rPr>
          <w:b/>
        </w:rPr>
        <w:t>.</w:t>
      </w:r>
    </w:p>
    <w:p w14:paraId="56279693" w14:textId="6E76CFDB" w:rsidR="00DE102B" w:rsidRPr="00910BE1" w:rsidRDefault="0053069C" w:rsidP="00910BE1">
      <w:pPr>
        <w:spacing w:beforeLines="50" w:before="120"/>
      </w:pPr>
      <w:r w:rsidRPr="00D846F2">
        <w:rPr>
          <w:b/>
          <w:u w:val="single"/>
        </w:rPr>
        <w:t xml:space="preserve">Proposal </w:t>
      </w:r>
      <w:r w:rsidR="008C72BC">
        <w:rPr>
          <w:b/>
          <w:u w:val="single"/>
        </w:rPr>
        <w:t>5</w:t>
      </w:r>
      <w:r w:rsidRPr="00D846F2">
        <w:rPr>
          <w:b/>
        </w:rPr>
        <w:t>:</w:t>
      </w:r>
      <w:r w:rsidRPr="00E8593E">
        <w:t xml:space="preserve"> </w:t>
      </w:r>
      <w:r>
        <w:rPr>
          <w:b/>
          <w:bCs/>
        </w:rPr>
        <w:t>Indication of an additional PCI for same/cross-carrier scheduling is not needed.</w:t>
      </w:r>
    </w:p>
    <w:sectPr w:rsidR="00DE102B" w:rsidRPr="00910B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389C" w14:textId="77777777" w:rsidR="00D55B62" w:rsidRDefault="00D55B62">
      <w:r>
        <w:separator/>
      </w:r>
    </w:p>
  </w:endnote>
  <w:endnote w:type="continuationSeparator" w:id="0">
    <w:p w14:paraId="51EC2E93" w14:textId="77777777" w:rsidR="00D55B62" w:rsidRDefault="00D5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082D" w14:textId="77777777" w:rsidR="00D55B62" w:rsidRDefault="00D55B62">
      <w:r>
        <w:separator/>
      </w:r>
    </w:p>
  </w:footnote>
  <w:footnote w:type="continuationSeparator" w:id="0">
    <w:p w14:paraId="4E1B9E2E" w14:textId="77777777" w:rsidR="00D55B62" w:rsidRDefault="00D55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21D9"/>
    <w:multiLevelType w:val="hybridMultilevel"/>
    <w:tmpl w:val="E57099B4"/>
    <w:lvl w:ilvl="0" w:tplc="C6C056A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30208"/>
    <w:multiLevelType w:val="hybridMultilevel"/>
    <w:tmpl w:val="23D877E0"/>
    <w:lvl w:ilvl="0" w:tplc="43D83758">
      <w:start w:val="1"/>
      <w:numFmt w:val="bullet"/>
      <w:lvlText w:val="•"/>
      <w:lvlJc w:val="left"/>
      <w:pPr>
        <w:tabs>
          <w:tab w:val="num" w:pos="720"/>
        </w:tabs>
        <w:ind w:left="720" w:hanging="360"/>
      </w:pPr>
      <w:rPr>
        <w:rFonts w:ascii="Arial" w:hAnsi="Arial" w:hint="default"/>
      </w:rPr>
    </w:lvl>
    <w:lvl w:ilvl="1" w:tplc="B7CA41EE">
      <w:start w:val="8736"/>
      <w:numFmt w:val="bullet"/>
      <w:lvlText w:val="•"/>
      <w:lvlJc w:val="left"/>
      <w:pPr>
        <w:tabs>
          <w:tab w:val="num" w:pos="1440"/>
        </w:tabs>
        <w:ind w:left="1440" w:hanging="360"/>
      </w:pPr>
      <w:rPr>
        <w:rFonts w:ascii="Arial" w:hAnsi="Arial" w:hint="default"/>
      </w:rPr>
    </w:lvl>
    <w:lvl w:ilvl="2" w:tplc="B688FA20">
      <w:start w:val="8736"/>
      <w:numFmt w:val="bullet"/>
      <w:lvlText w:val="•"/>
      <w:lvlJc w:val="left"/>
      <w:pPr>
        <w:tabs>
          <w:tab w:val="num" w:pos="2160"/>
        </w:tabs>
        <w:ind w:left="2160" w:hanging="360"/>
      </w:pPr>
      <w:rPr>
        <w:rFonts w:ascii="Arial" w:hAnsi="Arial" w:hint="default"/>
      </w:rPr>
    </w:lvl>
    <w:lvl w:ilvl="3" w:tplc="3294A5D0" w:tentative="1">
      <w:start w:val="1"/>
      <w:numFmt w:val="bullet"/>
      <w:lvlText w:val="•"/>
      <w:lvlJc w:val="left"/>
      <w:pPr>
        <w:tabs>
          <w:tab w:val="num" w:pos="2880"/>
        </w:tabs>
        <w:ind w:left="2880" w:hanging="360"/>
      </w:pPr>
      <w:rPr>
        <w:rFonts w:ascii="Arial" w:hAnsi="Arial" w:hint="default"/>
      </w:rPr>
    </w:lvl>
    <w:lvl w:ilvl="4" w:tplc="D0783CFC" w:tentative="1">
      <w:start w:val="1"/>
      <w:numFmt w:val="bullet"/>
      <w:lvlText w:val="•"/>
      <w:lvlJc w:val="left"/>
      <w:pPr>
        <w:tabs>
          <w:tab w:val="num" w:pos="3600"/>
        </w:tabs>
        <w:ind w:left="3600" w:hanging="360"/>
      </w:pPr>
      <w:rPr>
        <w:rFonts w:ascii="Arial" w:hAnsi="Arial" w:hint="default"/>
      </w:rPr>
    </w:lvl>
    <w:lvl w:ilvl="5" w:tplc="0018D7B6" w:tentative="1">
      <w:start w:val="1"/>
      <w:numFmt w:val="bullet"/>
      <w:lvlText w:val="•"/>
      <w:lvlJc w:val="left"/>
      <w:pPr>
        <w:tabs>
          <w:tab w:val="num" w:pos="4320"/>
        </w:tabs>
        <w:ind w:left="4320" w:hanging="360"/>
      </w:pPr>
      <w:rPr>
        <w:rFonts w:ascii="Arial" w:hAnsi="Arial" w:hint="default"/>
      </w:rPr>
    </w:lvl>
    <w:lvl w:ilvl="6" w:tplc="13420BCE" w:tentative="1">
      <w:start w:val="1"/>
      <w:numFmt w:val="bullet"/>
      <w:lvlText w:val="•"/>
      <w:lvlJc w:val="left"/>
      <w:pPr>
        <w:tabs>
          <w:tab w:val="num" w:pos="5040"/>
        </w:tabs>
        <w:ind w:left="5040" w:hanging="360"/>
      </w:pPr>
      <w:rPr>
        <w:rFonts w:ascii="Arial" w:hAnsi="Arial" w:hint="default"/>
      </w:rPr>
    </w:lvl>
    <w:lvl w:ilvl="7" w:tplc="5ABAEC66" w:tentative="1">
      <w:start w:val="1"/>
      <w:numFmt w:val="bullet"/>
      <w:lvlText w:val="•"/>
      <w:lvlJc w:val="left"/>
      <w:pPr>
        <w:tabs>
          <w:tab w:val="num" w:pos="5760"/>
        </w:tabs>
        <w:ind w:left="5760" w:hanging="360"/>
      </w:pPr>
      <w:rPr>
        <w:rFonts w:ascii="Arial" w:hAnsi="Arial" w:hint="default"/>
      </w:rPr>
    </w:lvl>
    <w:lvl w:ilvl="8" w:tplc="A7F039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E849BC"/>
    <w:multiLevelType w:val="hybridMultilevel"/>
    <w:tmpl w:val="F544EB02"/>
    <w:lvl w:ilvl="0" w:tplc="5AD65BA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FC2DB5"/>
    <w:multiLevelType w:val="hybridMultilevel"/>
    <w:tmpl w:val="55E6AABC"/>
    <w:lvl w:ilvl="0" w:tplc="4BB840CE">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F08A8"/>
    <w:multiLevelType w:val="hybridMultilevel"/>
    <w:tmpl w:val="59FA2DBC"/>
    <w:lvl w:ilvl="0" w:tplc="930E2BA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47607049"/>
    <w:multiLevelType w:val="hybridMultilevel"/>
    <w:tmpl w:val="D24C3E7E"/>
    <w:lvl w:ilvl="0" w:tplc="ED101606">
      <w:start w:val="1"/>
      <w:numFmt w:val="bullet"/>
      <w:lvlText w:val="•"/>
      <w:lvlJc w:val="left"/>
      <w:pPr>
        <w:tabs>
          <w:tab w:val="num" w:pos="720"/>
        </w:tabs>
        <w:ind w:left="720" w:hanging="360"/>
      </w:pPr>
      <w:rPr>
        <w:rFonts w:ascii="Arial" w:hAnsi="Arial" w:hint="default"/>
      </w:rPr>
    </w:lvl>
    <w:lvl w:ilvl="1" w:tplc="5C9EAF52">
      <w:start w:val="512"/>
      <w:numFmt w:val="bullet"/>
      <w:lvlText w:val="•"/>
      <w:lvlJc w:val="left"/>
      <w:pPr>
        <w:tabs>
          <w:tab w:val="num" w:pos="1440"/>
        </w:tabs>
        <w:ind w:left="1440" w:hanging="360"/>
      </w:pPr>
      <w:rPr>
        <w:rFonts w:ascii="Arial" w:hAnsi="Arial" w:hint="default"/>
      </w:rPr>
    </w:lvl>
    <w:lvl w:ilvl="2" w:tplc="4ECECF3C">
      <w:start w:val="512"/>
      <w:numFmt w:val="bullet"/>
      <w:lvlText w:val="•"/>
      <w:lvlJc w:val="left"/>
      <w:pPr>
        <w:tabs>
          <w:tab w:val="num" w:pos="2160"/>
        </w:tabs>
        <w:ind w:left="2160" w:hanging="360"/>
      </w:pPr>
      <w:rPr>
        <w:rFonts w:ascii="Arial" w:hAnsi="Arial" w:hint="default"/>
      </w:rPr>
    </w:lvl>
    <w:lvl w:ilvl="3" w:tplc="C2D628C6">
      <w:start w:val="512"/>
      <w:numFmt w:val="bullet"/>
      <w:lvlText w:val="•"/>
      <w:lvlJc w:val="left"/>
      <w:pPr>
        <w:tabs>
          <w:tab w:val="num" w:pos="2880"/>
        </w:tabs>
        <w:ind w:left="2880" w:hanging="360"/>
      </w:pPr>
      <w:rPr>
        <w:rFonts w:ascii="Arial" w:hAnsi="Arial" w:hint="default"/>
      </w:rPr>
    </w:lvl>
    <w:lvl w:ilvl="4" w:tplc="B9629E3A" w:tentative="1">
      <w:start w:val="1"/>
      <w:numFmt w:val="bullet"/>
      <w:lvlText w:val="•"/>
      <w:lvlJc w:val="left"/>
      <w:pPr>
        <w:tabs>
          <w:tab w:val="num" w:pos="3600"/>
        </w:tabs>
        <w:ind w:left="3600" w:hanging="360"/>
      </w:pPr>
      <w:rPr>
        <w:rFonts w:ascii="Arial" w:hAnsi="Arial" w:hint="default"/>
      </w:rPr>
    </w:lvl>
    <w:lvl w:ilvl="5" w:tplc="84621C0A" w:tentative="1">
      <w:start w:val="1"/>
      <w:numFmt w:val="bullet"/>
      <w:lvlText w:val="•"/>
      <w:lvlJc w:val="left"/>
      <w:pPr>
        <w:tabs>
          <w:tab w:val="num" w:pos="4320"/>
        </w:tabs>
        <w:ind w:left="4320" w:hanging="360"/>
      </w:pPr>
      <w:rPr>
        <w:rFonts w:ascii="Arial" w:hAnsi="Arial" w:hint="default"/>
      </w:rPr>
    </w:lvl>
    <w:lvl w:ilvl="6" w:tplc="F5CE6B18" w:tentative="1">
      <w:start w:val="1"/>
      <w:numFmt w:val="bullet"/>
      <w:lvlText w:val="•"/>
      <w:lvlJc w:val="left"/>
      <w:pPr>
        <w:tabs>
          <w:tab w:val="num" w:pos="5040"/>
        </w:tabs>
        <w:ind w:left="5040" w:hanging="360"/>
      </w:pPr>
      <w:rPr>
        <w:rFonts w:ascii="Arial" w:hAnsi="Arial" w:hint="default"/>
      </w:rPr>
    </w:lvl>
    <w:lvl w:ilvl="7" w:tplc="0360D3A2" w:tentative="1">
      <w:start w:val="1"/>
      <w:numFmt w:val="bullet"/>
      <w:lvlText w:val="•"/>
      <w:lvlJc w:val="left"/>
      <w:pPr>
        <w:tabs>
          <w:tab w:val="num" w:pos="5760"/>
        </w:tabs>
        <w:ind w:left="5760" w:hanging="360"/>
      </w:pPr>
      <w:rPr>
        <w:rFonts w:ascii="Arial" w:hAnsi="Arial" w:hint="default"/>
      </w:rPr>
    </w:lvl>
    <w:lvl w:ilvl="8" w:tplc="921CD7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736F70"/>
    <w:multiLevelType w:val="hybridMultilevel"/>
    <w:tmpl w:val="3E049110"/>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4700DE"/>
    <w:multiLevelType w:val="hybridMultilevel"/>
    <w:tmpl w:val="6BDAFA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11242"/>
    <w:multiLevelType w:val="hybridMultilevel"/>
    <w:tmpl w:val="33D00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CC77EC"/>
    <w:multiLevelType w:val="hybridMultilevel"/>
    <w:tmpl w:val="8EB649E6"/>
    <w:lvl w:ilvl="0" w:tplc="5BC629C4">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F4FCA"/>
    <w:multiLevelType w:val="hybridMultilevel"/>
    <w:tmpl w:val="695A385A"/>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7975C52"/>
    <w:multiLevelType w:val="hybridMultilevel"/>
    <w:tmpl w:val="E2846FD8"/>
    <w:lvl w:ilvl="0" w:tplc="0C3A7EF0">
      <w:start w:val="1"/>
      <w:numFmt w:val="bullet"/>
      <w:lvlText w:val="•"/>
      <w:lvlJc w:val="left"/>
      <w:pPr>
        <w:tabs>
          <w:tab w:val="num" w:pos="360"/>
        </w:tabs>
        <w:ind w:left="360" w:hanging="360"/>
      </w:pPr>
      <w:rPr>
        <w:rFonts w:ascii="Arial" w:hAnsi="Arial" w:hint="default"/>
      </w:rPr>
    </w:lvl>
    <w:lvl w:ilvl="1" w:tplc="5E9013BE">
      <w:numFmt w:val="bullet"/>
      <w:lvlText w:val="•"/>
      <w:lvlJc w:val="left"/>
      <w:pPr>
        <w:tabs>
          <w:tab w:val="num" w:pos="1080"/>
        </w:tabs>
        <w:ind w:left="1080" w:hanging="360"/>
      </w:pPr>
      <w:rPr>
        <w:rFonts w:ascii="Arial" w:hAnsi="Arial" w:hint="default"/>
      </w:rPr>
    </w:lvl>
    <w:lvl w:ilvl="2" w:tplc="B6D6A34C" w:tentative="1">
      <w:start w:val="1"/>
      <w:numFmt w:val="bullet"/>
      <w:lvlText w:val="•"/>
      <w:lvlJc w:val="left"/>
      <w:pPr>
        <w:tabs>
          <w:tab w:val="num" w:pos="1800"/>
        </w:tabs>
        <w:ind w:left="1800" w:hanging="360"/>
      </w:pPr>
      <w:rPr>
        <w:rFonts w:ascii="Arial" w:hAnsi="Arial" w:hint="default"/>
      </w:rPr>
    </w:lvl>
    <w:lvl w:ilvl="3" w:tplc="42DC7408" w:tentative="1">
      <w:start w:val="1"/>
      <w:numFmt w:val="bullet"/>
      <w:lvlText w:val="•"/>
      <w:lvlJc w:val="left"/>
      <w:pPr>
        <w:tabs>
          <w:tab w:val="num" w:pos="2520"/>
        </w:tabs>
        <w:ind w:left="2520" w:hanging="360"/>
      </w:pPr>
      <w:rPr>
        <w:rFonts w:ascii="Arial" w:hAnsi="Arial" w:hint="default"/>
      </w:rPr>
    </w:lvl>
    <w:lvl w:ilvl="4" w:tplc="E41A7B2E" w:tentative="1">
      <w:start w:val="1"/>
      <w:numFmt w:val="bullet"/>
      <w:lvlText w:val="•"/>
      <w:lvlJc w:val="left"/>
      <w:pPr>
        <w:tabs>
          <w:tab w:val="num" w:pos="3240"/>
        </w:tabs>
        <w:ind w:left="3240" w:hanging="360"/>
      </w:pPr>
      <w:rPr>
        <w:rFonts w:ascii="Arial" w:hAnsi="Arial" w:hint="default"/>
      </w:rPr>
    </w:lvl>
    <w:lvl w:ilvl="5" w:tplc="F5FE9668" w:tentative="1">
      <w:start w:val="1"/>
      <w:numFmt w:val="bullet"/>
      <w:lvlText w:val="•"/>
      <w:lvlJc w:val="left"/>
      <w:pPr>
        <w:tabs>
          <w:tab w:val="num" w:pos="3960"/>
        </w:tabs>
        <w:ind w:left="3960" w:hanging="360"/>
      </w:pPr>
      <w:rPr>
        <w:rFonts w:ascii="Arial" w:hAnsi="Arial" w:hint="default"/>
      </w:rPr>
    </w:lvl>
    <w:lvl w:ilvl="6" w:tplc="B0064782" w:tentative="1">
      <w:start w:val="1"/>
      <w:numFmt w:val="bullet"/>
      <w:lvlText w:val="•"/>
      <w:lvlJc w:val="left"/>
      <w:pPr>
        <w:tabs>
          <w:tab w:val="num" w:pos="4680"/>
        </w:tabs>
        <w:ind w:left="4680" w:hanging="360"/>
      </w:pPr>
      <w:rPr>
        <w:rFonts w:ascii="Arial" w:hAnsi="Arial" w:hint="default"/>
      </w:rPr>
    </w:lvl>
    <w:lvl w:ilvl="7" w:tplc="D212824E" w:tentative="1">
      <w:start w:val="1"/>
      <w:numFmt w:val="bullet"/>
      <w:lvlText w:val="•"/>
      <w:lvlJc w:val="left"/>
      <w:pPr>
        <w:tabs>
          <w:tab w:val="num" w:pos="5400"/>
        </w:tabs>
        <w:ind w:left="5400" w:hanging="360"/>
      </w:pPr>
      <w:rPr>
        <w:rFonts w:ascii="Arial" w:hAnsi="Arial" w:hint="default"/>
      </w:rPr>
    </w:lvl>
    <w:lvl w:ilvl="8" w:tplc="8206BB6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311359"/>
    <w:multiLevelType w:val="hybridMultilevel"/>
    <w:tmpl w:val="4EFEE92C"/>
    <w:lvl w:ilvl="0" w:tplc="E8BAA4E8">
      <w:start w:val="3"/>
      <w:numFmt w:val="decimal"/>
      <w:lvlText w:val="%1."/>
      <w:lvlJc w:val="left"/>
      <w:pPr>
        <w:ind w:left="360" w:hanging="360"/>
      </w:pPr>
      <w:rPr>
        <w:rFonts w:hint="default"/>
      </w:rPr>
    </w:lvl>
    <w:lvl w:ilvl="1" w:tplc="ED569C86">
      <w:start w:val="2"/>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1"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0"/>
  </w:num>
  <w:num w:numId="3">
    <w:abstractNumId w:val="24"/>
  </w:num>
  <w:num w:numId="4">
    <w:abstractNumId w:val="7"/>
  </w:num>
  <w:num w:numId="5">
    <w:abstractNumId w:val="29"/>
  </w:num>
  <w:num w:numId="6">
    <w:abstractNumId w:val="23"/>
  </w:num>
  <w:num w:numId="7">
    <w:abstractNumId w:val="7"/>
  </w:num>
  <w:num w:numId="8">
    <w:abstractNumId w:val="1"/>
  </w:num>
  <w:num w:numId="9">
    <w:abstractNumId w:val="30"/>
  </w:num>
  <w:num w:numId="10">
    <w:abstractNumId w:val="17"/>
  </w:num>
  <w:num w:numId="11">
    <w:abstractNumId w:val="20"/>
  </w:num>
  <w:num w:numId="12">
    <w:abstractNumId w:val="5"/>
  </w:num>
  <w:num w:numId="13">
    <w:abstractNumId w:val="2"/>
  </w:num>
  <w:num w:numId="14">
    <w:abstractNumId w:val="16"/>
  </w:num>
  <w:num w:numId="15">
    <w:abstractNumId w:val="12"/>
  </w:num>
  <w:num w:numId="16">
    <w:abstractNumId w:val="27"/>
  </w:num>
  <w:num w:numId="17">
    <w:abstractNumId w:val="11"/>
  </w:num>
  <w:num w:numId="18">
    <w:abstractNumId w:val="18"/>
  </w:num>
  <w:num w:numId="19">
    <w:abstractNumId w:val="8"/>
  </w:num>
  <w:num w:numId="20">
    <w:abstractNumId w:val="21"/>
  </w:num>
  <w:num w:numId="21">
    <w:abstractNumId w:val="14"/>
  </w:num>
  <w:num w:numId="22">
    <w:abstractNumId w:val="4"/>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25"/>
  </w:num>
  <w:num w:numId="28">
    <w:abstractNumId w:val="28"/>
  </w:num>
  <w:num w:numId="29">
    <w:abstractNumId w:val="0"/>
  </w:num>
  <w:num w:numId="30">
    <w:abstractNumId w:val="31"/>
  </w:num>
  <w:num w:numId="31">
    <w:abstractNumId w:val="3"/>
  </w:num>
  <w:num w:numId="32">
    <w:abstractNumId w:val="19"/>
  </w:num>
  <w:num w:numId="33">
    <w:abstractNumId w:val="22"/>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0D"/>
    <w:rsid w:val="0000143E"/>
    <w:rsid w:val="00001718"/>
    <w:rsid w:val="000020F6"/>
    <w:rsid w:val="00002893"/>
    <w:rsid w:val="0000326A"/>
    <w:rsid w:val="000033A3"/>
    <w:rsid w:val="00003605"/>
    <w:rsid w:val="00003B0B"/>
    <w:rsid w:val="00003C56"/>
    <w:rsid w:val="00003EC2"/>
    <w:rsid w:val="000040A9"/>
    <w:rsid w:val="00004201"/>
    <w:rsid w:val="0000451C"/>
    <w:rsid w:val="0000458E"/>
    <w:rsid w:val="0000492C"/>
    <w:rsid w:val="00004E70"/>
    <w:rsid w:val="00005E66"/>
    <w:rsid w:val="00005F2B"/>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35F"/>
    <w:rsid w:val="000224D1"/>
    <w:rsid w:val="000227D0"/>
    <w:rsid w:val="00022A52"/>
    <w:rsid w:val="00023388"/>
    <w:rsid w:val="00023425"/>
    <w:rsid w:val="00023685"/>
    <w:rsid w:val="00023E05"/>
    <w:rsid w:val="000241BE"/>
    <w:rsid w:val="000242F2"/>
    <w:rsid w:val="000247FA"/>
    <w:rsid w:val="000249E3"/>
    <w:rsid w:val="00026642"/>
    <w:rsid w:val="000267C3"/>
    <w:rsid w:val="00026875"/>
    <w:rsid w:val="00026C44"/>
    <w:rsid w:val="00026D4B"/>
    <w:rsid w:val="0002702E"/>
    <w:rsid w:val="000275C6"/>
    <w:rsid w:val="00027AD6"/>
    <w:rsid w:val="00027C82"/>
    <w:rsid w:val="0003024C"/>
    <w:rsid w:val="00030533"/>
    <w:rsid w:val="0003083D"/>
    <w:rsid w:val="00031ADB"/>
    <w:rsid w:val="00032056"/>
    <w:rsid w:val="000328CA"/>
    <w:rsid w:val="00032972"/>
    <w:rsid w:val="00032BA3"/>
    <w:rsid w:val="00032E40"/>
    <w:rsid w:val="0003376B"/>
    <w:rsid w:val="00034676"/>
    <w:rsid w:val="000346E6"/>
    <w:rsid w:val="00034E5C"/>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6F21"/>
    <w:rsid w:val="00047225"/>
    <w:rsid w:val="0004724D"/>
    <w:rsid w:val="00047B98"/>
    <w:rsid w:val="00047D21"/>
    <w:rsid w:val="00047D47"/>
    <w:rsid w:val="00047E60"/>
    <w:rsid w:val="00050D8A"/>
    <w:rsid w:val="000512E3"/>
    <w:rsid w:val="000516F0"/>
    <w:rsid w:val="00051D59"/>
    <w:rsid w:val="00052144"/>
    <w:rsid w:val="0005256F"/>
    <w:rsid w:val="000525A8"/>
    <w:rsid w:val="00052AD2"/>
    <w:rsid w:val="00052C56"/>
    <w:rsid w:val="00052FEE"/>
    <w:rsid w:val="000530DF"/>
    <w:rsid w:val="000543DD"/>
    <w:rsid w:val="00054BBB"/>
    <w:rsid w:val="00054E0C"/>
    <w:rsid w:val="0005541D"/>
    <w:rsid w:val="00055B33"/>
    <w:rsid w:val="00056400"/>
    <w:rsid w:val="000565C8"/>
    <w:rsid w:val="000567AD"/>
    <w:rsid w:val="00057DC8"/>
    <w:rsid w:val="00060AB2"/>
    <w:rsid w:val="000612E1"/>
    <w:rsid w:val="000614FE"/>
    <w:rsid w:val="0006295E"/>
    <w:rsid w:val="00062C37"/>
    <w:rsid w:val="00063C08"/>
    <w:rsid w:val="00064A09"/>
    <w:rsid w:val="00065C8C"/>
    <w:rsid w:val="00065D38"/>
    <w:rsid w:val="000661FE"/>
    <w:rsid w:val="0006694E"/>
    <w:rsid w:val="00066EF9"/>
    <w:rsid w:val="00067DD1"/>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6E54"/>
    <w:rsid w:val="000772F4"/>
    <w:rsid w:val="000776EB"/>
    <w:rsid w:val="00081899"/>
    <w:rsid w:val="000823B0"/>
    <w:rsid w:val="0008335B"/>
    <w:rsid w:val="00083379"/>
    <w:rsid w:val="00083587"/>
    <w:rsid w:val="00083838"/>
    <w:rsid w:val="00083B6A"/>
    <w:rsid w:val="00084DF2"/>
    <w:rsid w:val="000858D7"/>
    <w:rsid w:val="00085E04"/>
    <w:rsid w:val="00086763"/>
    <w:rsid w:val="00086800"/>
    <w:rsid w:val="00086AA0"/>
    <w:rsid w:val="00087913"/>
    <w:rsid w:val="000902DC"/>
    <w:rsid w:val="00090946"/>
    <w:rsid w:val="000911AE"/>
    <w:rsid w:val="000924AF"/>
    <w:rsid w:val="00092DF7"/>
    <w:rsid w:val="00093697"/>
    <w:rsid w:val="00093D42"/>
    <w:rsid w:val="00093DD0"/>
    <w:rsid w:val="00094A16"/>
    <w:rsid w:val="00094DE6"/>
    <w:rsid w:val="00095799"/>
    <w:rsid w:val="0009591B"/>
    <w:rsid w:val="00096356"/>
    <w:rsid w:val="00096372"/>
    <w:rsid w:val="0009798B"/>
    <w:rsid w:val="00097C40"/>
    <w:rsid w:val="00097C99"/>
    <w:rsid w:val="000A0B2A"/>
    <w:rsid w:val="000A0F14"/>
    <w:rsid w:val="000A1441"/>
    <w:rsid w:val="000A174A"/>
    <w:rsid w:val="000A1A06"/>
    <w:rsid w:val="000A1B60"/>
    <w:rsid w:val="000A21B4"/>
    <w:rsid w:val="000A21D2"/>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4E"/>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FF"/>
    <w:rsid w:val="000D1796"/>
    <w:rsid w:val="000D20EA"/>
    <w:rsid w:val="000D2220"/>
    <w:rsid w:val="000D22CC"/>
    <w:rsid w:val="000D2938"/>
    <w:rsid w:val="000D31C8"/>
    <w:rsid w:val="000D36AE"/>
    <w:rsid w:val="000D38A1"/>
    <w:rsid w:val="000D3C4B"/>
    <w:rsid w:val="000D43D3"/>
    <w:rsid w:val="000D4C4E"/>
    <w:rsid w:val="000D5077"/>
    <w:rsid w:val="000D51C3"/>
    <w:rsid w:val="000D5362"/>
    <w:rsid w:val="000D57F8"/>
    <w:rsid w:val="000D5851"/>
    <w:rsid w:val="000D5C60"/>
    <w:rsid w:val="000D694B"/>
    <w:rsid w:val="000D715A"/>
    <w:rsid w:val="000D71E2"/>
    <w:rsid w:val="000D73A5"/>
    <w:rsid w:val="000E07D6"/>
    <w:rsid w:val="000E1380"/>
    <w:rsid w:val="000E1588"/>
    <w:rsid w:val="000E18DF"/>
    <w:rsid w:val="000E1FE5"/>
    <w:rsid w:val="000E2BD7"/>
    <w:rsid w:val="000E3123"/>
    <w:rsid w:val="000E4761"/>
    <w:rsid w:val="000E48AF"/>
    <w:rsid w:val="000E59A0"/>
    <w:rsid w:val="000E7403"/>
    <w:rsid w:val="000E7A84"/>
    <w:rsid w:val="000F0079"/>
    <w:rsid w:val="000F0CC6"/>
    <w:rsid w:val="000F15BC"/>
    <w:rsid w:val="000F180A"/>
    <w:rsid w:val="000F1C92"/>
    <w:rsid w:val="000F1E81"/>
    <w:rsid w:val="000F2D25"/>
    <w:rsid w:val="000F2EEE"/>
    <w:rsid w:val="000F3238"/>
    <w:rsid w:val="000F3697"/>
    <w:rsid w:val="000F407D"/>
    <w:rsid w:val="000F5BC8"/>
    <w:rsid w:val="000F631C"/>
    <w:rsid w:val="000F637B"/>
    <w:rsid w:val="000F65A0"/>
    <w:rsid w:val="000F7326"/>
    <w:rsid w:val="000F756F"/>
    <w:rsid w:val="000F7F58"/>
    <w:rsid w:val="00100128"/>
    <w:rsid w:val="00100CDC"/>
    <w:rsid w:val="00100FF3"/>
    <w:rsid w:val="00101492"/>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AD"/>
    <w:rsid w:val="00112BE6"/>
    <w:rsid w:val="00112D22"/>
    <w:rsid w:val="00112FE5"/>
    <w:rsid w:val="00113C24"/>
    <w:rsid w:val="001141E3"/>
    <w:rsid w:val="001144DF"/>
    <w:rsid w:val="00114B18"/>
    <w:rsid w:val="00114BF1"/>
    <w:rsid w:val="001152B9"/>
    <w:rsid w:val="0011557B"/>
    <w:rsid w:val="00115B5D"/>
    <w:rsid w:val="001160C4"/>
    <w:rsid w:val="001161A4"/>
    <w:rsid w:val="00116585"/>
    <w:rsid w:val="00116643"/>
    <w:rsid w:val="001169EC"/>
    <w:rsid w:val="00117141"/>
    <w:rsid w:val="00117678"/>
    <w:rsid w:val="001179BC"/>
    <w:rsid w:val="00117C85"/>
    <w:rsid w:val="001203A0"/>
    <w:rsid w:val="00120B13"/>
    <w:rsid w:val="00121162"/>
    <w:rsid w:val="00121DF7"/>
    <w:rsid w:val="0012324C"/>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12"/>
    <w:rsid w:val="00134B88"/>
    <w:rsid w:val="00135A01"/>
    <w:rsid w:val="00136A23"/>
    <w:rsid w:val="00136B57"/>
    <w:rsid w:val="00136B99"/>
    <w:rsid w:val="0014063E"/>
    <w:rsid w:val="0014087D"/>
    <w:rsid w:val="00140F74"/>
    <w:rsid w:val="00141191"/>
    <w:rsid w:val="0014159C"/>
    <w:rsid w:val="00142665"/>
    <w:rsid w:val="00143079"/>
    <w:rsid w:val="00143123"/>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E2D"/>
    <w:rsid w:val="00160FD4"/>
    <w:rsid w:val="00161FE4"/>
    <w:rsid w:val="0016271E"/>
    <w:rsid w:val="00162D7A"/>
    <w:rsid w:val="00162DAB"/>
    <w:rsid w:val="001633C3"/>
    <w:rsid w:val="00163654"/>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1F59"/>
    <w:rsid w:val="00172864"/>
    <w:rsid w:val="00172B82"/>
    <w:rsid w:val="00172EFA"/>
    <w:rsid w:val="00173608"/>
    <w:rsid w:val="0017393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CCB"/>
    <w:rsid w:val="00187E43"/>
    <w:rsid w:val="001910FF"/>
    <w:rsid w:val="00191C91"/>
    <w:rsid w:val="00192DD9"/>
    <w:rsid w:val="001931F7"/>
    <w:rsid w:val="00193878"/>
    <w:rsid w:val="00194339"/>
    <w:rsid w:val="001946BF"/>
    <w:rsid w:val="00194848"/>
    <w:rsid w:val="00194BA9"/>
    <w:rsid w:val="00194F68"/>
    <w:rsid w:val="001958EA"/>
    <w:rsid w:val="00195E0E"/>
    <w:rsid w:val="00196F76"/>
    <w:rsid w:val="001A00FD"/>
    <w:rsid w:val="001A01A5"/>
    <w:rsid w:val="001A0617"/>
    <w:rsid w:val="001A0E0D"/>
    <w:rsid w:val="001A154C"/>
    <w:rsid w:val="001A180D"/>
    <w:rsid w:val="001A1BAC"/>
    <w:rsid w:val="001A23CE"/>
    <w:rsid w:val="001A2C89"/>
    <w:rsid w:val="001A3BB2"/>
    <w:rsid w:val="001A4752"/>
    <w:rsid w:val="001A488C"/>
    <w:rsid w:val="001A4965"/>
    <w:rsid w:val="001A57EE"/>
    <w:rsid w:val="001A5C71"/>
    <w:rsid w:val="001A673E"/>
    <w:rsid w:val="001A6C59"/>
    <w:rsid w:val="001A7763"/>
    <w:rsid w:val="001A783D"/>
    <w:rsid w:val="001A78C4"/>
    <w:rsid w:val="001A7CB3"/>
    <w:rsid w:val="001B0525"/>
    <w:rsid w:val="001B22F1"/>
    <w:rsid w:val="001B2439"/>
    <w:rsid w:val="001B27A5"/>
    <w:rsid w:val="001B31AD"/>
    <w:rsid w:val="001B31DB"/>
    <w:rsid w:val="001B34AB"/>
    <w:rsid w:val="001B3964"/>
    <w:rsid w:val="001B4452"/>
    <w:rsid w:val="001B463A"/>
    <w:rsid w:val="001B466C"/>
    <w:rsid w:val="001B4F34"/>
    <w:rsid w:val="001B52EC"/>
    <w:rsid w:val="001B554A"/>
    <w:rsid w:val="001B56A9"/>
    <w:rsid w:val="001B5804"/>
    <w:rsid w:val="001B64C4"/>
    <w:rsid w:val="001B6564"/>
    <w:rsid w:val="001B6583"/>
    <w:rsid w:val="001B691A"/>
    <w:rsid w:val="001B71BA"/>
    <w:rsid w:val="001B72E7"/>
    <w:rsid w:val="001B7436"/>
    <w:rsid w:val="001B7520"/>
    <w:rsid w:val="001B7D23"/>
    <w:rsid w:val="001C0072"/>
    <w:rsid w:val="001C02D8"/>
    <w:rsid w:val="001C0437"/>
    <w:rsid w:val="001C04E3"/>
    <w:rsid w:val="001C1D40"/>
    <w:rsid w:val="001C2378"/>
    <w:rsid w:val="001C3EE9"/>
    <w:rsid w:val="001C3FA4"/>
    <w:rsid w:val="001C40F9"/>
    <w:rsid w:val="001C40FC"/>
    <w:rsid w:val="001C41B6"/>
    <w:rsid w:val="001C458B"/>
    <w:rsid w:val="001C4759"/>
    <w:rsid w:val="001C50F9"/>
    <w:rsid w:val="001C542A"/>
    <w:rsid w:val="001C5D4F"/>
    <w:rsid w:val="001C64C0"/>
    <w:rsid w:val="001C69DA"/>
    <w:rsid w:val="001C6F06"/>
    <w:rsid w:val="001C75AF"/>
    <w:rsid w:val="001C7611"/>
    <w:rsid w:val="001D0442"/>
    <w:rsid w:val="001D0854"/>
    <w:rsid w:val="001D2360"/>
    <w:rsid w:val="001D2372"/>
    <w:rsid w:val="001D26E5"/>
    <w:rsid w:val="001D2CE6"/>
    <w:rsid w:val="001D3109"/>
    <w:rsid w:val="001D332E"/>
    <w:rsid w:val="001D3914"/>
    <w:rsid w:val="001D3F75"/>
    <w:rsid w:val="001D5033"/>
    <w:rsid w:val="001D5058"/>
    <w:rsid w:val="001D5C88"/>
    <w:rsid w:val="001D6567"/>
    <w:rsid w:val="001D695C"/>
    <w:rsid w:val="001D6FD9"/>
    <w:rsid w:val="001D780E"/>
    <w:rsid w:val="001D7A29"/>
    <w:rsid w:val="001E05C3"/>
    <w:rsid w:val="001E0AB0"/>
    <w:rsid w:val="001E0AD3"/>
    <w:rsid w:val="001E1E92"/>
    <w:rsid w:val="001E32C3"/>
    <w:rsid w:val="001E36E4"/>
    <w:rsid w:val="001E379D"/>
    <w:rsid w:val="001E3A3C"/>
    <w:rsid w:val="001E462D"/>
    <w:rsid w:val="001E5291"/>
    <w:rsid w:val="001E5570"/>
    <w:rsid w:val="001E5C23"/>
    <w:rsid w:val="001E6354"/>
    <w:rsid w:val="001E678D"/>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4DF9"/>
    <w:rsid w:val="001F5545"/>
    <w:rsid w:val="001F5777"/>
    <w:rsid w:val="001F5937"/>
    <w:rsid w:val="001F59E3"/>
    <w:rsid w:val="001F59ED"/>
    <w:rsid w:val="001F5A1B"/>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C63"/>
    <w:rsid w:val="00215DBC"/>
    <w:rsid w:val="00215E90"/>
    <w:rsid w:val="002164D8"/>
    <w:rsid w:val="00216C8D"/>
    <w:rsid w:val="00220894"/>
    <w:rsid w:val="0022095C"/>
    <w:rsid w:val="00221772"/>
    <w:rsid w:val="00223CEC"/>
    <w:rsid w:val="00224952"/>
    <w:rsid w:val="00224DD2"/>
    <w:rsid w:val="0022565B"/>
    <w:rsid w:val="00225905"/>
    <w:rsid w:val="00225A6A"/>
    <w:rsid w:val="00225AC7"/>
    <w:rsid w:val="00225ACC"/>
    <w:rsid w:val="002265F9"/>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15"/>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5E6"/>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BF4"/>
    <w:rsid w:val="00260003"/>
    <w:rsid w:val="00260236"/>
    <w:rsid w:val="0026035D"/>
    <w:rsid w:val="002606D6"/>
    <w:rsid w:val="00260F70"/>
    <w:rsid w:val="0026186F"/>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87"/>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A2"/>
    <w:rsid w:val="002822B5"/>
    <w:rsid w:val="0028344F"/>
    <w:rsid w:val="00283571"/>
    <w:rsid w:val="00283AD1"/>
    <w:rsid w:val="00283E5D"/>
    <w:rsid w:val="002846CE"/>
    <w:rsid w:val="00284B4D"/>
    <w:rsid w:val="00284BAE"/>
    <w:rsid w:val="002859AF"/>
    <w:rsid w:val="00285F67"/>
    <w:rsid w:val="002866AD"/>
    <w:rsid w:val="00286AE7"/>
    <w:rsid w:val="00287243"/>
    <w:rsid w:val="002874C6"/>
    <w:rsid w:val="00287552"/>
    <w:rsid w:val="00287F84"/>
    <w:rsid w:val="00290647"/>
    <w:rsid w:val="00291385"/>
    <w:rsid w:val="00291422"/>
    <w:rsid w:val="00291934"/>
    <w:rsid w:val="0029237F"/>
    <w:rsid w:val="00292715"/>
    <w:rsid w:val="00293CEA"/>
    <w:rsid w:val="00293E57"/>
    <w:rsid w:val="002947D1"/>
    <w:rsid w:val="002948DF"/>
    <w:rsid w:val="00294D90"/>
    <w:rsid w:val="0029546B"/>
    <w:rsid w:val="0029628D"/>
    <w:rsid w:val="002A0348"/>
    <w:rsid w:val="002A0749"/>
    <w:rsid w:val="002A0E29"/>
    <w:rsid w:val="002A1339"/>
    <w:rsid w:val="002A1E92"/>
    <w:rsid w:val="002A1E9C"/>
    <w:rsid w:val="002A204D"/>
    <w:rsid w:val="002A2616"/>
    <w:rsid w:val="002A26E1"/>
    <w:rsid w:val="002A2C30"/>
    <w:rsid w:val="002A2C8D"/>
    <w:rsid w:val="002A335E"/>
    <w:rsid w:val="002A368A"/>
    <w:rsid w:val="002A3D86"/>
    <w:rsid w:val="002A4065"/>
    <w:rsid w:val="002A4B4D"/>
    <w:rsid w:val="002A4E11"/>
    <w:rsid w:val="002A4F48"/>
    <w:rsid w:val="002A5619"/>
    <w:rsid w:val="002A59F0"/>
    <w:rsid w:val="002A5CDE"/>
    <w:rsid w:val="002A6432"/>
    <w:rsid w:val="002A6F25"/>
    <w:rsid w:val="002A6FD3"/>
    <w:rsid w:val="002B0A7D"/>
    <w:rsid w:val="002B0BC8"/>
    <w:rsid w:val="002B0F43"/>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3D1"/>
    <w:rsid w:val="002C04D7"/>
    <w:rsid w:val="002C099C"/>
    <w:rsid w:val="002C0B74"/>
    <w:rsid w:val="002C0C8B"/>
    <w:rsid w:val="002C0CBB"/>
    <w:rsid w:val="002C1201"/>
    <w:rsid w:val="002C1460"/>
    <w:rsid w:val="002C160D"/>
    <w:rsid w:val="002C20F2"/>
    <w:rsid w:val="002C2F8C"/>
    <w:rsid w:val="002C30EA"/>
    <w:rsid w:val="002C36A2"/>
    <w:rsid w:val="002C38B2"/>
    <w:rsid w:val="002C3DC2"/>
    <w:rsid w:val="002C3F54"/>
    <w:rsid w:val="002C3F9C"/>
    <w:rsid w:val="002C51A7"/>
    <w:rsid w:val="002C5466"/>
    <w:rsid w:val="002C5AFA"/>
    <w:rsid w:val="002C6CF6"/>
    <w:rsid w:val="002C73E3"/>
    <w:rsid w:val="002C7DF5"/>
    <w:rsid w:val="002D0439"/>
    <w:rsid w:val="002D11B7"/>
    <w:rsid w:val="002D26B4"/>
    <w:rsid w:val="002D2D24"/>
    <w:rsid w:val="002D3055"/>
    <w:rsid w:val="002D361F"/>
    <w:rsid w:val="002D36D3"/>
    <w:rsid w:val="002D3AF5"/>
    <w:rsid w:val="002D3BBC"/>
    <w:rsid w:val="002D3C29"/>
    <w:rsid w:val="002D4171"/>
    <w:rsid w:val="002D438A"/>
    <w:rsid w:val="002D48DA"/>
    <w:rsid w:val="002D50A0"/>
    <w:rsid w:val="002D5152"/>
    <w:rsid w:val="002D53C8"/>
    <w:rsid w:val="002D56E4"/>
    <w:rsid w:val="002D5738"/>
    <w:rsid w:val="002D5E53"/>
    <w:rsid w:val="002D63F9"/>
    <w:rsid w:val="002D7215"/>
    <w:rsid w:val="002D72CC"/>
    <w:rsid w:val="002E0038"/>
    <w:rsid w:val="002E0319"/>
    <w:rsid w:val="002E0A8E"/>
    <w:rsid w:val="002E1093"/>
    <w:rsid w:val="002E179B"/>
    <w:rsid w:val="002E1897"/>
    <w:rsid w:val="002E1A51"/>
    <w:rsid w:val="002E1C9E"/>
    <w:rsid w:val="002E1D9F"/>
    <w:rsid w:val="002E215A"/>
    <w:rsid w:val="002E257B"/>
    <w:rsid w:val="002E3C65"/>
    <w:rsid w:val="002E3F5B"/>
    <w:rsid w:val="002E4362"/>
    <w:rsid w:val="002E5B07"/>
    <w:rsid w:val="002E63D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3D80"/>
    <w:rsid w:val="00304D9B"/>
    <w:rsid w:val="00304E7F"/>
    <w:rsid w:val="00305C43"/>
    <w:rsid w:val="00305D2F"/>
    <w:rsid w:val="00305FF9"/>
    <w:rsid w:val="00306827"/>
    <w:rsid w:val="00306E6B"/>
    <w:rsid w:val="0030723C"/>
    <w:rsid w:val="003100C8"/>
    <w:rsid w:val="003107C2"/>
    <w:rsid w:val="003109FD"/>
    <w:rsid w:val="00311161"/>
    <w:rsid w:val="00312400"/>
    <w:rsid w:val="00312418"/>
    <w:rsid w:val="00312739"/>
    <w:rsid w:val="00312D10"/>
    <w:rsid w:val="00313221"/>
    <w:rsid w:val="00313BFF"/>
    <w:rsid w:val="00313C7D"/>
    <w:rsid w:val="00314A18"/>
    <w:rsid w:val="00315F10"/>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D5B"/>
    <w:rsid w:val="00326E13"/>
    <w:rsid w:val="00327792"/>
    <w:rsid w:val="00330D56"/>
    <w:rsid w:val="003311E9"/>
    <w:rsid w:val="00331426"/>
    <w:rsid w:val="0033165C"/>
    <w:rsid w:val="0033171D"/>
    <w:rsid w:val="00331949"/>
    <w:rsid w:val="00331EE8"/>
    <w:rsid w:val="00331F28"/>
    <w:rsid w:val="00331FC3"/>
    <w:rsid w:val="0033200E"/>
    <w:rsid w:val="0033243C"/>
    <w:rsid w:val="0033291A"/>
    <w:rsid w:val="00332E41"/>
    <w:rsid w:val="003336B3"/>
    <w:rsid w:val="003343EC"/>
    <w:rsid w:val="003349E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51C"/>
    <w:rsid w:val="00345C56"/>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35E"/>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81E"/>
    <w:rsid w:val="00365FA2"/>
    <w:rsid w:val="003664B0"/>
    <w:rsid w:val="00366C69"/>
    <w:rsid w:val="00367441"/>
    <w:rsid w:val="00367B1D"/>
    <w:rsid w:val="003707F6"/>
    <w:rsid w:val="00370E4F"/>
    <w:rsid w:val="00371215"/>
    <w:rsid w:val="00371CB1"/>
    <w:rsid w:val="00372630"/>
    <w:rsid w:val="00372CA6"/>
    <w:rsid w:val="00372F0D"/>
    <w:rsid w:val="00373B6B"/>
    <w:rsid w:val="00373D35"/>
    <w:rsid w:val="00374059"/>
    <w:rsid w:val="00374223"/>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19F7"/>
    <w:rsid w:val="003820E9"/>
    <w:rsid w:val="003829F2"/>
    <w:rsid w:val="00382A43"/>
    <w:rsid w:val="00382D60"/>
    <w:rsid w:val="00382F29"/>
    <w:rsid w:val="00383440"/>
    <w:rsid w:val="00383C8D"/>
    <w:rsid w:val="00384FA0"/>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265"/>
    <w:rsid w:val="003919F6"/>
    <w:rsid w:val="0039218D"/>
    <w:rsid w:val="00392B93"/>
    <w:rsid w:val="003940CE"/>
    <w:rsid w:val="00394739"/>
    <w:rsid w:val="00395826"/>
    <w:rsid w:val="00396D33"/>
    <w:rsid w:val="0039738B"/>
    <w:rsid w:val="00397C1D"/>
    <w:rsid w:val="00397D21"/>
    <w:rsid w:val="003A015A"/>
    <w:rsid w:val="003A048B"/>
    <w:rsid w:val="003A15BF"/>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875"/>
    <w:rsid w:val="003B5B02"/>
    <w:rsid w:val="003B5D97"/>
    <w:rsid w:val="003B5FD2"/>
    <w:rsid w:val="003B63A4"/>
    <w:rsid w:val="003B68FE"/>
    <w:rsid w:val="003B6D7D"/>
    <w:rsid w:val="003B790A"/>
    <w:rsid w:val="003B7D7E"/>
    <w:rsid w:val="003C04B9"/>
    <w:rsid w:val="003C1012"/>
    <w:rsid w:val="003C11C9"/>
    <w:rsid w:val="003C1229"/>
    <w:rsid w:val="003C149B"/>
    <w:rsid w:val="003C1FD4"/>
    <w:rsid w:val="003C213D"/>
    <w:rsid w:val="003C24FC"/>
    <w:rsid w:val="003C25AD"/>
    <w:rsid w:val="003C291D"/>
    <w:rsid w:val="003C2D21"/>
    <w:rsid w:val="003C4135"/>
    <w:rsid w:val="003C4376"/>
    <w:rsid w:val="003C4503"/>
    <w:rsid w:val="003C56F7"/>
    <w:rsid w:val="003C5E6B"/>
    <w:rsid w:val="003C5ED6"/>
    <w:rsid w:val="003C652F"/>
    <w:rsid w:val="003C6B81"/>
    <w:rsid w:val="003C7AD7"/>
    <w:rsid w:val="003D0992"/>
    <w:rsid w:val="003D0FC3"/>
    <w:rsid w:val="003D14DC"/>
    <w:rsid w:val="003D1902"/>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513"/>
    <w:rsid w:val="003E0767"/>
    <w:rsid w:val="003E07AE"/>
    <w:rsid w:val="003E14FC"/>
    <w:rsid w:val="003E289D"/>
    <w:rsid w:val="003E2976"/>
    <w:rsid w:val="003E2C50"/>
    <w:rsid w:val="003E33B8"/>
    <w:rsid w:val="003E349D"/>
    <w:rsid w:val="003E3B8E"/>
    <w:rsid w:val="003E4858"/>
    <w:rsid w:val="003E4D6A"/>
    <w:rsid w:val="003E557D"/>
    <w:rsid w:val="003E5998"/>
    <w:rsid w:val="003E5DBA"/>
    <w:rsid w:val="003E6316"/>
    <w:rsid w:val="003E6884"/>
    <w:rsid w:val="003E6AC5"/>
    <w:rsid w:val="003E6EDF"/>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32"/>
    <w:rsid w:val="003F3643"/>
    <w:rsid w:val="003F3D4E"/>
    <w:rsid w:val="003F4271"/>
    <w:rsid w:val="003F477E"/>
    <w:rsid w:val="003F4950"/>
    <w:rsid w:val="003F6CD2"/>
    <w:rsid w:val="003F788D"/>
    <w:rsid w:val="003F7936"/>
    <w:rsid w:val="004008FE"/>
    <w:rsid w:val="0040126E"/>
    <w:rsid w:val="00401B60"/>
    <w:rsid w:val="004020D4"/>
    <w:rsid w:val="004021B6"/>
    <w:rsid w:val="0040274F"/>
    <w:rsid w:val="00402E14"/>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5FC7"/>
    <w:rsid w:val="00426266"/>
    <w:rsid w:val="00426369"/>
    <w:rsid w:val="00426FFB"/>
    <w:rsid w:val="00427CE6"/>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4E"/>
    <w:rsid w:val="00436EAB"/>
    <w:rsid w:val="004376CE"/>
    <w:rsid w:val="004379C7"/>
    <w:rsid w:val="004413B0"/>
    <w:rsid w:val="004423FF"/>
    <w:rsid w:val="00442935"/>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1165"/>
    <w:rsid w:val="004618D5"/>
    <w:rsid w:val="00463690"/>
    <w:rsid w:val="00463C0A"/>
    <w:rsid w:val="004646B4"/>
    <w:rsid w:val="00464A88"/>
    <w:rsid w:val="00464B01"/>
    <w:rsid w:val="004651A0"/>
    <w:rsid w:val="004653A4"/>
    <w:rsid w:val="00465587"/>
    <w:rsid w:val="00465742"/>
    <w:rsid w:val="00466532"/>
    <w:rsid w:val="00467488"/>
    <w:rsid w:val="00467D12"/>
    <w:rsid w:val="0047083E"/>
    <w:rsid w:val="00470B8A"/>
    <w:rsid w:val="00470EB5"/>
    <w:rsid w:val="00471030"/>
    <w:rsid w:val="00472419"/>
    <w:rsid w:val="0047286B"/>
    <w:rsid w:val="00472E27"/>
    <w:rsid w:val="00472E55"/>
    <w:rsid w:val="00473356"/>
    <w:rsid w:val="00473812"/>
    <w:rsid w:val="004740FC"/>
    <w:rsid w:val="00474220"/>
    <w:rsid w:val="00474BA6"/>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58"/>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575"/>
    <w:rsid w:val="004866D0"/>
    <w:rsid w:val="00486936"/>
    <w:rsid w:val="00487B59"/>
    <w:rsid w:val="00490589"/>
    <w:rsid w:val="004909C7"/>
    <w:rsid w:val="0049162F"/>
    <w:rsid w:val="00491DD9"/>
    <w:rsid w:val="004920B8"/>
    <w:rsid w:val="0049257F"/>
    <w:rsid w:val="00492D44"/>
    <w:rsid w:val="00492DE4"/>
    <w:rsid w:val="00493895"/>
    <w:rsid w:val="00493C77"/>
    <w:rsid w:val="00494242"/>
    <w:rsid w:val="00494E8E"/>
    <w:rsid w:val="00494F26"/>
    <w:rsid w:val="004955BC"/>
    <w:rsid w:val="00495676"/>
    <w:rsid w:val="00495CB2"/>
    <w:rsid w:val="00495D63"/>
    <w:rsid w:val="0049629E"/>
    <w:rsid w:val="00496378"/>
    <w:rsid w:val="0049648F"/>
    <w:rsid w:val="00496606"/>
    <w:rsid w:val="004969E5"/>
    <w:rsid w:val="00496F05"/>
    <w:rsid w:val="00497370"/>
    <w:rsid w:val="004973D4"/>
    <w:rsid w:val="004974FA"/>
    <w:rsid w:val="004A0F39"/>
    <w:rsid w:val="004A152B"/>
    <w:rsid w:val="004A1D5F"/>
    <w:rsid w:val="004A251F"/>
    <w:rsid w:val="004A2C8C"/>
    <w:rsid w:val="004A3329"/>
    <w:rsid w:val="004A36AD"/>
    <w:rsid w:val="004A3874"/>
    <w:rsid w:val="004A3BF1"/>
    <w:rsid w:val="004A3D4B"/>
    <w:rsid w:val="004A3E42"/>
    <w:rsid w:val="004A4045"/>
    <w:rsid w:val="004A436E"/>
    <w:rsid w:val="004A46EB"/>
    <w:rsid w:val="004A4715"/>
    <w:rsid w:val="004A5046"/>
    <w:rsid w:val="004A565E"/>
    <w:rsid w:val="004A5D55"/>
    <w:rsid w:val="004A5D73"/>
    <w:rsid w:val="004A5DF3"/>
    <w:rsid w:val="004A6134"/>
    <w:rsid w:val="004A7092"/>
    <w:rsid w:val="004A7427"/>
    <w:rsid w:val="004A7437"/>
    <w:rsid w:val="004A74BE"/>
    <w:rsid w:val="004A776F"/>
    <w:rsid w:val="004A79B4"/>
    <w:rsid w:val="004A7BE4"/>
    <w:rsid w:val="004B0808"/>
    <w:rsid w:val="004B1C92"/>
    <w:rsid w:val="004B2270"/>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99D"/>
    <w:rsid w:val="004D40AE"/>
    <w:rsid w:val="004D41C6"/>
    <w:rsid w:val="004D4851"/>
    <w:rsid w:val="004D4924"/>
    <w:rsid w:val="004D4D31"/>
    <w:rsid w:val="004D6F4D"/>
    <w:rsid w:val="004D6F95"/>
    <w:rsid w:val="004D70CF"/>
    <w:rsid w:val="004D72FE"/>
    <w:rsid w:val="004D7358"/>
    <w:rsid w:val="004D77A8"/>
    <w:rsid w:val="004D7E91"/>
    <w:rsid w:val="004D7EFF"/>
    <w:rsid w:val="004E003A"/>
    <w:rsid w:val="004E0664"/>
    <w:rsid w:val="004E06E7"/>
    <w:rsid w:val="004E0768"/>
    <w:rsid w:val="004E0D06"/>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3B2E"/>
    <w:rsid w:val="004F407E"/>
    <w:rsid w:val="004F41E5"/>
    <w:rsid w:val="004F517A"/>
    <w:rsid w:val="004F5479"/>
    <w:rsid w:val="004F6426"/>
    <w:rsid w:val="004F6C73"/>
    <w:rsid w:val="004F7528"/>
    <w:rsid w:val="004F755F"/>
    <w:rsid w:val="004F7BCA"/>
    <w:rsid w:val="004F7D89"/>
    <w:rsid w:val="00501981"/>
    <w:rsid w:val="00501A85"/>
    <w:rsid w:val="00501BB3"/>
    <w:rsid w:val="005021DD"/>
    <w:rsid w:val="005026CA"/>
    <w:rsid w:val="00502B72"/>
    <w:rsid w:val="00502D50"/>
    <w:rsid w:val="00502FB1"/>
    <w:rsid w:val="0050376D"/>
    <w:rsid w:val="00504009"/>
    <w:rsid w:val="0050475C"/>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5E79"/>
    <w:rsid w:val="0051685C"/>
    <w:rsid w:val="00516951"/>
    <w:rsid w:val="00516A3C"/>
    <w:rsid w:val="005173A7"/>
    <w:rsid w:val="005176D7"/>
    <w:rsid w:val="00517742"/>
    <w:rsid w:val="005177E1"/>
    <w:rsid w:val="00517B3E"/>
    <w:rsid w:val="00520C0A"/>
    <w:rsid w:val="005215C2"/>
    <w:rsid w:val="005218B6"/>
    <w:rsid w:val="005219AF"/>
    <w:rsid w:val="00521C33"/>
    <w:rsid w:val="00522589"/>
    <w:rsid w:val="00522835"/>
    <w:rsid w:val="0052283C"/>
    <w:rsid w:val="00523136"/>
    <w:rsid w:val="0052361E"/>
    <w:rsid w:val="00524204"/>
    <w:rsid w:val="00524489"/>
    <w:rsid w:val="00524545"/>
    <w:rsid w:val="00524937"/>
    <w:rsid w:val="005255BF"/>
    <w:rsid w:val="00525769"/>
    <w:rsid w:val="005257DE"/>
    <w:rsid w:val="00526C15"/>
    <w:rsid w:val="00527200"/>
    <w:rsid w:val="00527802"/>
    <w:rsid w:val="00530157"/>
    <w:rsid w:val="005303DC"/>
    <w:rsid w:val="0053069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2B62"/>
    <w:rsid w:val="00543424"/>
    <w:rsid w:val="0054343A"/>
    <w:rsid w:val="005437F3"/>
    <w:rsid w:val="00543974"/>
    <w:rsid w:val="005439A6"/>
    <w:rsid w:val="00543EBF"/>
    <w:rsid w:val="0054422C"/>
    <w:rsid w:val="00544672"/>
    <w:rsid w:val="00544939"/>
    <w:rsid w:val="00544ABA"/>
    <w:rsid w:val="005457C8"/>
    <w:rsid w:val="0054593A"/>
    <w:rsid w:val="0054615C"/>
    <w:rsid w:val="0054622F"/>
    <w:rsid w:val="005467FB"/>
    <w:rsid w:val="00546AE9"/>
    <w:rsid w:val="00546CA8"/>
    <w:rsid w:val="00547588"/>
    <w:rsid w:val="00547775"/>
    <w:rsid w:val="00547989"/>
    <w:rsid w:val="00550975"/>
    <w:rsid w:val="00551320"/>
    <w:rsid w:val="005518A4"/>
    <w:rsid w:val="005526B2"/>
    <w:rsid w:val="00552768"/>
    <w:rsid w:val="00552935"/>
    <w:rsid w:val="00552A30"/>
    <w:rsid w:val="00553127"/>
    <w:rsid w:val="005537D5"/>
    <w:rsid w:val="0055407C"/>
    <w:rsid w:val="0055475E"/>
    <w:rsid w:val="005547C5"/>
    <w:rsid w:val="00554973"/>
    <w:rsid w:val="00554BE7"/>
    <w:rsid w:val="005556F9"/>
    <w:rsid w:val="00555DBC"/>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3EEE"/>
    <w:rsid w:val="005643CA"/>
    <w:rsid w:val="00565587"/>
    <w:rsid w:val="005656ED"/>
    <w:rsid w:val="00565C9E"/>
    <w:rsid w:val="00565D02"/>
    <w:rsid w:val="0056653E"/>
    <w:rsid w:val="00566544"/>
    <w:rsid w:val="00566608"/>
    <w:rsid w:val="00566C83"/>
    <w:rsid w:val="00567639"/>
    <w:rsid w:val="005700FE"/>
    <w:rsid w:val="00570E24"/>
    <w:rsid w:val="00570FF8"/>
    <w:rsid w:val="00571BF7"/>
    <w:rsid w:val="00572176"/>
    <w:rsid w:val="00572760"/>
    <w:rsid w:val="00572B31"/>
    <w:rsid w:val="0057320B"/>
    <w:rsid w:val="005743DE"/>
    <w:rsid w:val="00574F3F"/>
    <w:rsid w:val="0057562C"/>
    <w:rsid w:val="005759F6"/>
    <w:rsid w:val="00575E3E"/>
    <w:rsid w:val="00575FE7"/>
    <w:rsid w:val="005763B2"/>
    <w:rsid w:val="005765F5"/>
    <w:rsid w:val="00576D6C"/>
    <w:rsid w:val="0057748A"/>
    <w:rsid w:val="0057748B"/>
    <w:rsid w:val="0057790E"/>
    <w:rsid w:val="00577986"/>
    <w:rsid w:val="00577A2E"/>
    <w:rsid w:val="00577B23"/>
    <w:rsid w:val="00580E48"/>
    <w:rsid w:val="00580F0A"/>
    <w:rsid w:val="00581246"/>
    <w:rsid w:val="00581E89"/>
    <w:rsid w:val="00582252"/>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043"/>
    <w:rsid w:val="00587FC0"/>
    <w:rsid w:val="005906AD"/>
    <w:rsid w:val="00590985"/>
    <w:rsid w:val="00590DA6"/>
    <w:rsid w:val="00590FF4"/>
    <w:rsid w:val="00591C7D"/>
    <w:rsid w:val="0059239D"/>
    <w:rsid w:val="00592623"/>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9C3"/>
    <w:rsid w:val="00596B9C"/>
    <w:rsid w:val="005A04BA"/>
    <w:rsid w:val="005A054D"/>
    <w:rsid w:val="005A0A46"/>
    <w:rsid w:val="005A0BD2"/>
    <w:rsid w:val="005A10B9"/>
    <w:rsid w:val="005A11EA"/>
    <w:rsid w:val="005A1945"/>
    <w:rsid w:val="005A1BBF"/>
    <w:rsid w:val="005A1BF0"/>
    <w:rsid w:val="005A269F"/>
    <w:rsid w:val="005A305E"/>
    <w:rsid w:val="005A30BB"/>
    <w:rsid w:val="005A3887"/>
    <w:rsid w:val="005A3E23"/>
    <w:rsid w:val="005A57EA"/>
    <w:rsid w:val="005A5E23"/>
    <w:rsid w:val="005A6410"/>
    <w:rsid w:val="005A6D54"/>
    <w:rsid w:val="005A7680"/>
    <w:rsid w:val="005B0542"/>
    <w:rsid w:val="005B1C65"/>
    <w:rsid w:val="005B1FD1"/>
    <w:rsid w:val="005B2225"/>
    <w:rsid w:val="005B2799"/>
    <w:rsid w:val="005B2B77"/>
    <w:rsid w:val="005B3330"/>
    <w:rsid w:val="005B39F0"/>
    <w:rsid w:val="005B3D4A"/>
    <w:rsid w:val="005B4D87"/>
    <w:rsid w:val="005B519B"/>
    <w:rsid w:val="005B54CD"/>
    <w:rsid w:val="005B6111"/>
    <w:rsid w:val="005B6E65"/>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4A4"/>
    <w:rsid w:val="005D4578"/>
    <w:rsid w:val="005D4EFA"/>
    <w:rsid w:val="005D4F01"/>
    <w:rsid w:val="005D5455"/>
    <w:rsid w:val="005D55BA"/>
    <w:rsid w:val="005D573B"/>
    <w:rsid w:val="005D5ADB"/>
    <w:rsid w:val="005D63CC"/>
    <w:rsid w:val="005D648A"/>
    <w:rsid w:val="005D706C"/>
    <w:rsid w:val="005D7E0D"/>
    <w:rsid w:val="005E0355"/>
    <w:rsid w:val="005E0B3F"/>
    <w:rsid w:val="005E1FBC"/>
    <w:rsid w:val="005E234A"/>
    <w:rsid w:val="005E2867"/>
    <w:rsid w:val="005E3451"/>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4F5D"/>
    <w:rsid w:val="005F50D8"/>
    <w:rsid w:val="005F53A1"/>
    <w:rsid w:val="005F5879"/>
    <w:rsid w:val="005F6B77"/>
    <w:rsid w:val="005F7487"/>
    <w:rsid w:val="005F7625"/>
    <w:rsid w:val="006002C7"/>
    <w:rsid w:val="00600F95"/>
    <w:rsid w:val="0060172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07F77"/>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DD3"/>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13D"/>
    <w:rsid w:val="006272A4"/>
    <w:rsid w:val="006278D5"/>
    <w:rsid w:val="00627A58"/>
    <w:rsid w:val="006300E9"/>
    <w:rsid w:val="0063044F"/>
    <w:rsid w:val="006304BC"/>
    <w:rsid w:val="00630DCE"/>
    <w:rsid w:val="0063120A"/>
    <w:rsid w:val="0063150B"/>
    <w:rsid w:val="00631585"/>
    <w:rsid w:val="00632303"/>
    <w:rsid w:val="00634ACF"/>
    <w:rsid w:val="00635035"/>
    <w:rsid w:val="0063580D"/>
    <w:rsid w:val="00635BF9"/>
    <w:rsid w:val="00635CAE"/>
    <w:rsid w:val="00637240"/>
    <w:rsid w:val="00641457"/>
    <w:rsid w:val="00641BC1"/>
    <w:rsid w:val="00643607"/>
    <w:rsid w:val="00643660"/>
    <w:rsid w:val="00644039"/>
    <w:rsid w:val="006447DC"/>
    <w:rsid w:val="00644C95"/>
    <w:rsid w:val="006450EE"/>
    <w:rsid w:val="00645361"/>
    <w:rsid w:val="00645817"/>
    <w:rsid w:val="00646711"/>
    <w:rsid w:val="006475AB"/>
    <w:rsid w:val="00647CBC"/>
    <w:rsid w:val="00650139"/>
    <w:rsid w:val="006504F1"/>
    <w:rsid w:val="00651704"/>
    <w:rsid w:val="0065185B"/>
    <w:rsid w:val="0065198B"/>
    <w:rsid w:val="00652756"/>
    <w:rsid w:val="00652AD8"/>
    <w:rsid w:val="00652B79"/>
    <w:rsid w:val="006533C3"/>
    <w:rsid w:val="00654068"/>
    <w:rsid w:val="00654285"/>
    <w:rsid w:val="0065479C"/>
    <w:rsid w:val="00654B38"/>
    <w:rsid w:val="00654B83"/>
    <w:rsid w:val="00655061"/>
    <w:rsid w:val="0065510C"/>
    <w:rsid w:val="0065565F"/>
    <w:rsid w:val="0065589D"/>
    <w:rsid w:val="00655B63"/>
    <w:rsid w:val="006571F6"/>
    <w:rsid w:val="0066131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050"/>
    <w:rsid w:val="006716DA"/>
    <w:rsid w:val="00672893"/>
    <w:rsid w:val="006728ED"/>
    <w:rsid w:val="006732B1"/>
    <w:rsid w:val="00673980"/>
    <w:rsid w:val="006742D9"/>
    <w:rsid w:val="006742E1"/>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93D"/>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FD4"/>
    <w:rsid w:val="006860A2"/>
    <w:rsid w:val="00686612"/>
    <w:rsid w:val="0068661E"/>
    <w:rsid w:val="006874F0"/>
    <w:rsid w:val="00690A49"/>
    <w:rsid w:val="00690BB6"/>
    <w:rsid w:val="0069135B"/>
    <w:rsid w:val="00691610"/>
    <w:rsid w:val="00691B30"/>
    <w:rsid w:val="00692012"/>
    <w:rsid w:val="00692CA4"/>
    <w:rsid w:val="00692D86"/>
    <w:rsid w:val="00693E1F"/>
    <w:rsid w:val="00693ECB"/>
    <w:rsid w:val="00694097"/>
    <w:rsid w:val="00694482"/>
    <w:rsid w:val="00694797"/>
    <w:rsid w:val="00694F2D"/>
    <w:rsid w:val="00695246"/>
    <w:rsid w:val="00695257"/>
    <w:rsid w:val="00695887"/>
    <w:rsid w:val="00695C40"/>
    <w:rsid w:val="00695F6D"/>
    <w:rsid w:val="0069772F"/>
    <w:rsid w:val="00697733"/>
    <w:rsid w:val="006A0A85"/>
    <w:rsid w:val="006A254E"/>
    <w:rsid w:val="006A2843"/>
    <w:rsid w:val="006A285F"/>
    <w:rsid w:val="006A2B47"/>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26B"/>
    <w:rsid w:val="006B24D6"/>
    <w:rsid w:val="006B2CF2"/>
    <w:rsid w:val="006B2F57"/>
    <w:rsid w:val="006B3B9C"/>
    <w:rsid w:val="006B475C"/>
    <w:rsid w:val="006B4EF8"/>
    <w:rsid w:val="006B506C"/>
    <w:rsid w:val="006B555A"/>
    <w:rsid w:val="006B5BD6"/>
    <w:rsid w:val="006B600A"/>
    <w:rsid w:val="006B656B"/>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B20"/>
    <w:rsid w:val="006C5393"/>
    <w:rsid w:val="006C5958"/>
    <w:rsid w:val="006C5B4F"/>
    <w:rsid w:val="006C5D4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81A"/>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2FD5"/>
    <w:rsid w:val="006E3343"/>
    <w:rsid w:val="006E3DA8"/>
    <w:rsid w:val="006E4156"/>
    <w:rsid w:val="006E432F"/>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4FC"/>
    <w:rsid w:val="006F56B5"/>
    <w:rsid w:val="006F6066"/>
    <w:rsid w:val="006F615E"/>
    <w:rsid w:val="006F6850"/>
    <w:rsid w:val="006F6930"/>
    <w:rsid w:val="006F6CAF"/>
    <w:rsid w:val="006F707E"/>
    <w:rsid w:val="006F765B"/>
    <w:rsid w:val="007001DC"/>
    <w:rsid w:val="007003D1"/>
    <w:rsid w:val="007015D6"/>
    <w:rsid w:val="007025CB"/>
    <w:rsid w:val="00702868"/>
    <w:rsid w:val="007034AA"/>
    <w:rsid w:val="007038CC"/>
    <w:rsid w:val="00703C5D"/>
    <w:rsid w:val="00703C9D"/>
    <w:rsid w:val="0070490C"/>
    <w:rsid w:val="0070498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460"/>
    <w:rsid w:val="00721D9B"/>
    <w:rsid w:val="00721E63"/>
    <w:rsid w:val="00722121"/>
    <w:rsid w:val="007224B9"/>
    <w:rsid w:val="00722A3C"/>
    <w:rsid w:val="00722F94"/>
    <w:rsid w:val="007237EC"/>
    <w:rsid w:val="00723AA7"/>
    <w:rsid w:val="0072432E"/>
    <w:rsid w:val="00724388"/>
    <w:rsid w:val="007246C6"/>
    <w:rsid w:val="0072530E"/>
    <w:rsid w:val="00725C99"/>
    <w:rsid w:val="00726036"/>
    <w:rsid w:val="00726279"/>
    <w:rsid w:val="007268E1"/>
    <w:rsid w:val="0072692D"/>
    <w:rsid w:val="00726A9B"/>
    <w:rsid w:val="00726D75"/>
    <w:rsid w:val="00727530"/>
    <w:rsid w:val="0072757A"/>
    <w:rsid w:val="007275F1"/>
    <w:rsid w:val="00727FE0"/>
    <w:rsid w:val="007304F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CC"/>
    <w:rsid w:val="0074704F"/>
    <w:rsid w:val="0074787C"/>
    <w:rsid w:val="00747F48"/>
    <w:rsid w:val="00747F4C"/>
    <w:rsid w:val="00750721"/>
    <w:rsid w:val="00751091"/>
    <w:rsid w:val="00751B83"/>
    <w:rsid w:val="0075268B"/>
    <w:rsid w:val="00753191"/>
    <w:rsid w:val="00754359"/>
    <w:rsid w:val="00754411"/>
    <w:rsid w:val="00754666"/>
    <w:rsid w:val="00754BD9"/>
    <w:rsid w:val="00754E7A"/>
    <w:rsid w:val="0075540C"/>
    <w:rsid w:val="00755DB1"/>
    <w:rsid w:val="00756376"/>
    <w:rsid w:val="007574FC"/>
    <w:rsid w:val="007603F1"/>
    <w:rsid w:val="00760975"/>
    <w:rsid w:val="00761A5B"/>
    <w:rsid w:val="00761E64"/>
    <w:rsid w:val="00761FDA"/>
    <w:rsid w:val="007621FF"/>
    <w:rsid w:val="007634E3"/>
    <w:rsid w:val="00764194"/>
    <w:rsid w:val="0076443E"/>
    <w:rsid w:val="00765ABD"/>
    <w:rsid w:val="00765ED3"/>
    <w:rsid w:val="00766160"/>
    <w:rsid w:val="0076681D"/>
    <w:rsid w:val="00766A65"/>
    <w:rsid w:val="007670BB"/>
    <w:rsid w:val="007671F5"/>
    <w:rsid w:val="007676B8"/>
    <w:rsid w:val="00770545"/>
    <w:rsid w:val="00770D5E"/>
    <w:rsid w:val="0077175C"/>
    <w:rsid w:val="00771870"/>
    <w:rsid w:val="00771BF9"/>
    <w:rsid w:val="0077212A"/>
    <w:rsid w:val="00772F8A"/>
    <w:rsid w:val="0077305E"/>
    <w:rsid w:val="00773641"/>
    <w:rsid w:val="007739C6"/>
    <w:rsid w:val="00773DB7"/>
    <w:rsid w:val="00774889"/>
    <w:rsid w:val="00774FF5"/>
    <w:rsid w:val="007750B3"/>
    <w:rsid w:val="00775F76"/>
    <w:rsid w:val="007768C6"/>
    <w:rsid w:val="00776983"/>
    <w:rsid w:val="00776AEA"/>
    <w:rsid w:val="00776D25"/>
    <w:rsid w:val="00777BA0"/>
    <w:rsid w:val="007803BD"/>
    <w:rsid w:val="007803E9"/>
    <w:rsid w:val="00780507"/>
    <w:rsid w:val="007811DC"/>
    <w:rsid w:val="007814EF"/>
    <w:rsid w:val="00781C62"/>
    <w:rsid w:val="007820FA"/>
    <w:rsid w:val="00782371"/>
    <w:rsid w:val="0078285F"/>
    <w:rsid w:val="00783207"/>
    <w:rsid w:val="0078346F"/>
    <w:rsid w:val="00783896"/>
    <w:rsid w:val="00783E1D"/>
    <w:rsid w:val="007846A9"/>
    <w:rsid w:val="0078483B"/>
    <w:rsid w:val="00784C52"/>
    <w:rsid w:val="00784EED"/>
    <w:rsid w:val="007851E8"/>
    <w:rsid w:val="00785900"/>
    <w:rsid w:val="00785D3A"/>
    <w:rsid w:val="00786810"/>
    <w:rsid w:val="00786958"/>
    <w:rsid w:val="00786A97"/>
    <w:rsid w:val="00786DD3"/>
    <w:rsid w:val="00786E71"/>
    <w:rsid w:val="0078772F"/>
    <w:rsid w:val="007908F8"/>
    <w:rsid w:val="0079162F"/>
    <w:rsid w:val="00793B64"/>
    <w:rsid w:val="00794924"/>
    <w:rsid w:val="0079506E"/>
    <w:rsid w:val="007963FD"/>
    <w:rsid w:val="007A0BC2"/>
    <w:rsid w:val="007A1F44"/>
    <w:rsid w:val="007A2115"/>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043"/>
    <w:rsid w:val="007C0718"/>
    <w:rsid w:val="007C19AD"/>
    <w:rsid w:val="007C1F83"/>
    <w:rsid w:val="007C27C8"/>
    <w:rsid w:val="007C2977"/>
    <w:rsid w:val="007C2A16"/>
    <w:rsid w:val="007C2ABC"/>
    <w:rsid w:val="007C3598"/>
    <w:rsid w:val="007C3D6D"/>
    <w:rsid w:val="007C3FA8"/>
    <w:rsid w:val="007C417E"/>
    <w:rsid w:val="007C4735"/>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7CA"/>
    <w:rsid w:val="007E585E"/>
    <w:rsid w:val="007E5FD9"/>
    <w:rsid w:val="007E6151"/>
    <w:rsid w:val="007E635F"/>
    <w:rsid w:val="007E6E00"/>
    <w:rsid w:val="007E7223"/>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4D22"/>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1C7"/>
    <w:rsid w:val="008064D0"/>
    <w:rsid w:val="00806565"/>
    <w:rsid w:val="00806AAF"/>
    <w:rsid w:val="008070AC"/>
    <w:rsid w:val="008074A5"/>
    <w:rsid w:val="008074C6"/>
    <w:rsid w:val="00807D99"/>
    <w:rsid w:val="008101FD"/>
    <w:rsid w:val="00810D8D"/>
    <w:rsid w:val="00811835"/>
    <w:rsid w:val="00811EE5"/>
    <w:rsid w:val="00812765"/>
    <w:rsid w:val="008128B1"/>
    <w:rsid w:val="00812FCD"/>
    <w:rsid w:val="00813FD5"/>
    <w:rsid w:val="0081452D"/>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113E"/>
    <w:rsid w:val="008211CF"/>
    <w:rsid w:val="008221B3"/>
    <w:rsid w:val="0082232D"/>
    <w:rsid w:val="0082248E"/>
    <w:rsid w:val="008224EA"/>
    <w:rsid w:val="008228D4"/>
    <w:rsid w:val="00822944"/>
    <w:rsid w:val="00822E2E"/>
    <w:rsid w:val="00823FB6"/>
    <w:rsid w:val="00824B6F"/>
    <w:rsid w:val="00824E0E"/>
    <w:rsid w:val="00824FDF"/>
    <w:rsid w:val="00825125"/>
    <w:rsid w:val="00825749"/>
    <w:rsid w:val="008257CC"/>
    <w:rsid w:val="00825F5C"/>
    <w:rsid w:val="00826345"/>
    <w:rsid w:val="00826609"/>
    <w:rsid w:val="0082696E"/>
    <w:rsid w:val="00826ACF"/>
    <w:rsid w:val="008274BF"/>
    <w:rsid w:val="00830DC3"/>
    <w:rsid w:val="00831555"/>
    <w:rsid w:val="00831F52"/>
    <w:rsid w:val="00832154"/>
    <w:rsid w:val="008322AF"/>
    <w:rsid w:val="00832F5C"/>
    <w:rsid w:val="00834046"/>
    <w:rsid w:val="00834489"/>
    <w:rsid w:val="00834DE6"/>
    <w:rsid w:val="00834ECD"/>
    <w:rsid w:val="008359E0"/>
    <w:rsid w:val="0083689A"/>
    <w:rsid w:val="008376F6"/>
    <w:rsid w:val="00837840"/>
    <w:rsid w:val="00837D5B"/>
    <w:rsid w:val="00840607"/>
    <w:rsid w:val="00840A16"/>
    <w:rsid w:val="008412DD"/>
    <w:rsid w:val="00841CD2"/>
    <w:rsid w:val="00842666"/>
    <w:rsid w:val="00842899"/>
    <w:rsid w:val="00842B77"/>
    <w:rsid w:val="00842B92"/>
    <w:rsid w:val="0084309F"/>
    <w:rsid w:val="008435CF"/>
    <w:rsid w:val="0084556E"/>
    <w:rsid w:val="00845B5C"/>
    <w:rsid w:val="00845C12"/>
    <w:rsid w:val="00846716"/>
    <w:rsid w:val="00846791"/>
    <w:rsid w:val="00846918"/>
    <w:rsid w:val="008469D9"/>
    <w:rsid w:val="00846DC0"/>
    <w:rsid w:val="008474A7"/>
    <w:rsid w:val="008506B6"/>
    <w:rsid w:val="00850AE0"/>
    <w:rsid w:val="00850EB2"/>
    <w:rsid w:val="0085140C"/>
    <w:rsid w:val="008524D2"/>
    <w:rsid w:val="00852E19"/>
    <w:rsid w:val="008551A3"/>
    <w:rsid w:val="00855B38"/>
    <w:rsid w:val="00855EFE"/>
    <w:rsid w:val="008560CC"/>
    <w:rsid w:val="00856441"/>
    <w:rsid w:val="00856833"/>
    <w:rsid w:val="00856840"/>
    <w:rsid w:val="0086087C"/>
    <w:rsid w:val="0086099F"/>
    <w:rsid w:val="00860D8E"/>
    <w:rsid w:val="00861562"/>
    <w:rsid w:val="00861D51"/>
    <w:rsid w:val="0086275E"/>
    <w:rsid w:val="00864384"/>
    <w:rsid w:val="00864440"/>
    <w:rsid w:val="008645BC"/>
    <w:rsid w:val="00864D76"/>
    <w:rsid w:val="008650FC"/>
    <w:rsid w:val="00866E61"/>
    <w:rsid w:val="00866EB3"/>
    <w:rsid w:val="0086701A"/>
    <w:rsid w:val="00867BD2"/>
    <w:rsid w:val="00867DDF"/>
    <w:rsid w:val="00870619"/>
    <w:rsid w:val="008707F7"/>
    <w:rsid w:val="008712FD"/>
    <w:rsid w:val="00871335"/>
    <w:rsid w:val="008716A1"/>
    <w:rsid w:val="00872AA7"/>
    <w:rsid w:val="00872D3F"/>
    <w:rsid w:val="00872F59"/>
    <w:rsid w:val="008733AA"/>
    <w:rsid w:val="008733E4"/>
    <w:rsid w:val="00873F15"/>
    <w:rsid w:val="00874096"/>
    <w:rsid w:val="008756A4"/>
    <w:rsid w:val="00875793"/>
    <w:rsid w:val="00875F73"/>
    <w:rsid w:val="008766AC"/>
    <w:rsid w:val="00877049"/>
    <w:rsid w:val="00877F0E"/>
    <w:rsid w:val="00877F56"/>
    <w:rsid w:val="00880389"/>
    <w:rsid w:val="00880933"/>
    <w:rsid w:val="00880D53"/>
    <w:rsid w:val="00880F30"/>
    <w:rsid w:val="00881708"/>
    <w:rsid w:val="00882238"/>
    <w:rsid w:val="008833E8"/>
    <w:rsid w:val="00885457"/>
    <w:rsid w:val="00886333"/>
    <w:rsid w:val="008865C8"/>
    <w:rsid w:val="0088759F"/>
    <w:rsid w:val="00887746"/>
    <w:rsid w:val="0088796E"/>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B7C"/>
    <w:rsid w:val="008A4FEB"/>
    <w:rsid w:val="008A583D"/>
    <w:rsid w:val="008A5940"/>
    <w:rsid w:val="008A732B"/>
    <w:rsid w:val="008A73B2"/>
    <w:rsid w:val="008A7425"/>
    <w:rsid w:val="008B034B"/>
    <w:rsid w:val="008B043F"/>
    <w:rsid w:val="008B0808"/>
    <w:rsid w:val="008B0AEC"/>
    <w:rsid w:val="008B0DFB"/>
    <w:rsid w:val="008B0FB4"/>
    <w:rsid w:val="008B1828"/>
    <w:rsid w:val="008B1E53"/>
    <w:rsid w:val="008B1E5B"/>
    <w:rsid w:val="008B24DC"/>
    <w:rsid w:val="008B2C7D"/>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684"/>
    <w:rsid w:val="008B7B08"/>
    <w:rsid w:val="008C068D"/>
    <w:rsid w:val="008C0724"/>
    <w:rsid w:val="008C0890"/>
    <w:rsid w:val="008C13F0"/>
    <w:rsid w:val="008C1F26"/>
    <w:rsid w:val="008C1F57"/>
    <w:rsid w:val="008C2A3A"/>
    <w:rsid w:val="008C2F69"/>
    <w:rsid w:val="008C376C"/>
    <w:rsid w:val="008C3D8B"/>
    <w:rsid w:val="008C4329"/>
    <w:rsid w:val="008C44D1"/>
    <w:rsid w:val="008C47A0"/>
    <w:rsid w:val="008C4C7E"/>
    <w:rsid w:val="008C5C46"/>
    <w:rsid w:val="008C6184"/>
    <w:rsid w:val="008C6865"/>
    <w:rsid w:val="008C7008"/>
    <w:rsid w:val="008C72BC"/>
    <w:rsid w:val="008C785E"/>
    <w:rsid w:val="008C7DD4"/>
    <w:rsid w:val="008D0863"/>
    <w:rsid w:val="008D0AFB"/>
    <w:rsid w:val="008D1470"/>
    <w:rsid w:val="008D1511"/>
    <w:rsid w:val="008D17D9"/>
    <w:rsid w:val="008D184F"/>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1F5"/>
    <w:rsid w:val="008E0430"/>
    <w:rsid w:val="008E04DE"/>
    <w:rsid w:val="008E0EB8"/>
    <w:rsid w:val="008E10A6"/>
    <w:rsid w:val="008E1271"/>
    <w:rsid w:val="008E1A5B"/>
    <w:rsid w:val="008E205D"/>
    <w:rsid w:val="008E2251"/>
    <w:rsid w:val="008E24B3"/>
    <w:rsid w:val="008E24CA"/>
    <w:rsid w:val="008E2F6E"/>
    <w:rsid w:val="008E3359"/>
    <w:rsid w:val="008E38AD"/>
    <w:rsid w:val="008E3EEC"/>
    <w:rsid w:val="008E46AE"/>
    <w:rsid w:val="008E4BB8"/>
    <w:rsid w:val="008E50AB"/>
    <w:rsid w:val="008E5BF2"/>
    <w:rsid w:val="008E5C81"/>
    <w:rsid w:val="008E613D"/>
    <w:rsid w:val="008E61F9"/>
    <w:rsid w:val="008E6A9D"/>
    <w:rsid w:val="008E6B99"/>
    <w:rsid w:val="008F0A38"/>
    <w:rsid w:val="008F0A5A"/>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0FCB"/>
    <w:rsid w:val="00902232"/>
    <w:rsid w:val="00902341"/>
    <w:rsid w:val="009027C8"/>
    <w:rsid w:val="00902D33"/>
    <w:rsid w:val="00903802"/>
    <w:rsid w:val="00904584"/>
    <w:rsid w:val="00904640"/>
    <w:rsid w:val="00904748"/>
    <w:rsid w:val="009054E2"/>
    <w:rsid w:val="00905A8D"/>
    <w:rsid w:val="00905BCE"/>
    <w:rsid w:val="00905F2A"/>
    <w:rsid w:val="00906118"/>
    <w:rsid w:val="0090696D"/>
    <w:rsid w:val="00906CD6"/>
    <w:rsid w:val="00906E4D"/>
    <w:rsid w:val="00906F31"/>
    <w:rsid w:val="0090729B"/>
    <w:rsid w:val="00907576"/>
    <w:rsid w:val="009078B3"/>
    <w:rsid w:val="00907A4F"/>
    <w:rsid w:val="00907A77"/>
    <w:rsid w:val="00907B21"/>
    <w:rsid w:val="00907C68"/>
    <w:rsid w:val="00907E00"/>
    <w:rsid w:val="00910606"/>
    <w:rsid w:val="0091088D"/>
    <w:rsid w:val="00910BE1"/>
    <w:rsid w:val="00910FC9"/>
    <w:rsid w:val="009122A6"/>
    <w:rsid w:val="0091291A"/>
    <w:rsid w:val="00912953"/>
    <w:rsid w:val="00912988"/>
    <w:rsid w:val="009133A6"/>
    <w:rsid w:val="00913612"/>
    <w:rsid w:val="0091366A"/>
    <w:rsid w:val="00913824"/>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6C8"/>
    <w:rsid w:val="00926DA7"/>
    <w:rsid w:val="009277E1"/>
    <w:rsid w:val="00927F41"/>
    <w:rsid w:val="00927F8B"/>
    <w:rsid w:val="009300E4"/>
    <w:rsid w:val="009303AF"/>
    <w:rsid w:val="0093094D"/>
    <w:rsid w:val="00930D5D"/>
    <w:rsid w:val="009312BE"/>
    <w:rsid w:val="009328C7"/>
    <w:rsid w:val="00932E11"/>
    <w:rsid w:val="00932ECB"/>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2CB8"/>
    <w:rsid w:val="0095380C"/>
    <w:rsid w:val="009540C0"/>
    <w:rsid w:val="00954353"/>
    <w:rsid w:val="00954ADF"/>
    <w:rsid w:val="00955C0A"/>
    <w:rsid w:val="00955C4F"/>
    <w:rsid w:val="00956109"/>
    <w:rsid w:val="00956BBB"/>
    <w:rsid w:val="009575AA"/>
    <w:rsid w:val="00957945"/>
    <w:rsid w:val="00960980"/>
    <w:rsid w:val="00960CE7"/>
    <w:rsid w:val="00961A13"/>
    <w:rsid w:val="00962EB2"/>
    <w:rsid w:val="00963B86"/>
    <w:rsid w:val="00964777"/>
    <w:rsid w:val="009657F1"/>
    <w:rsid w:val="00965C8A"/>
    <w:rsid w:val="0096625D"/>
    <w:rsid w:val="0096648B"/>
    <w:rsid w:val="009664F5"/>
    <w:rsid w:val="00966A93"/>
    <w:rsid w:val="009677AE"/>
    <w:rsid w:val="009705D8"/>
    <w:rsid w:val="009709F8"/>
    <w:rsid w:val="00970BD4"/>
    <w:rsid w:val="00971C9C"/>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8B"/>
    <w:rsid w:val="00990BD5"/>
    <w:rsid w:val="0099196F"/>
    <w:rsid w:val="00991CD6"/>
    <w:rsid w:val="00992B98"/>
    <w:rsid w:val="00993417"/>
    <w:rsid w:val="0099359F"/>
    <w:rsid w:val="00994505"/>
    <w:rsid w:val="0099481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73D"/>
    <w:rsid w:val="009A1CC9"/>
    <w:rsid w:val="009A29DB"/>
    <w:rsid w:val="009A2DF9"/>
    <w:rsid w:val="009A373B"/>
    <w:rsid w:val="009A3A86"/>
    <w:rsid w:val="009A3CEB"/>
    <w:rsid w:val="009A3DB8"/>
    <w:rsid w:val="009A4282"/>
    <w:rsid w:val="009A4869"/>
    <w:rsid w:val="009A5091"/>
    <w:rsid w:val="009A63E0"/>
    <w:rsid w:val="009A6A6B"/>
    <w:rsid w:val="009A7929"/>
    <w:rsid w:val="009A7DAA"/>
    <w:rsid w:val="009B0270"/>
    <w:rsid w:val="009B03F6"/>
    <w:rsid w:val="009B1EF9"/>
    <w:rsid w:val="009B24E0"/>
    <w:rsid w:val="009B26AC"/>
    <w:rsid w:val="009B3201"/>
    <w:rsid w:val="009B37E2"/>
    <w:rsid w:val="009B4519"/>
    <w:rsid w:val="009B46F7"/>
    <w:rsid w:val="009B506B"/>
    <w:rsid w:val="009B534B"/>
    <w:rsid w:val="009B56EA"/>
    <w:rsid w:val="009B57EF"/>
    <w:rsid w:val="009B5B67"/>
    <w:rsid w:val="009B5B85"/>
    <w:rsid w:val="009B611B"/>
    <w:rsid w:val="009B6141"/>
    <w:rsid w:val="009B62D3"/>
    <w:rsid w:val="009B650C"/>
    <w:rsid w:val="009B66AF"/>
    <w:rsid w:val="009B6C34"/>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3D9A"/>
    <w:rsid w:val="009D4C59"/>
    <w:rsid w:val="009D4CBF"/>
    <w:rsid w:val="009D4D26"/>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233"/>
    <w:rsid w:val="009E4A12"/>
    <w:rsid w:val="009E4B16"/>
    <w:rsid w:val="009E4F07"/>
    <w:rsid w:val="009E5ACF"/>
    <w:rsid w:val="009E5C60"/>
    <w:rsid w:val="009E64DB"/>
    <w:rsid w:val="009E65E2"/>
    <w:rsid w:val="009E664F"/>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3A1"/>
    <w:rsid w:val="00A032F3"/>
    <w:rsid w:val="00A037D6"/>
    <w:rsid w:val="00A03A22"/>
    <w:rsid w:val="00A03E46"/>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80F"/>
    <w:rsid w:val="00A11C08"/>
    <w:rsid w:val="00A11F8C"/>
    <w:rsid w:val="00A1200D"/>
    <w:rsid w:val="00A13415"/>
    <w:rsid w:val="00A13610"/>
    <w:rsid w:val="00A137E4"/>
    <w:rsid w:val="00A1396C"/>
    <w:rsid w:val="00A13DDD"/>
    <w:rsid w:val="00A14008"/>
    <w:rsid w:val="00A145A4"/>
    <w:rsid w:val="00A14813"/>
    <w:rsid w:val="00A150B2"/>
    <w:rsid w:val="00A154A5"/>
    <w:rsid w:val="00A1566A"/>
    <w:rsid w:val="00A164A8"/>
    <w:rsid w:val="00A165BF"/>
    <w:rsid w:val="00A16D53"/>
    <w:rsid w:val="00A16E83"/>
    <w:rsid w:val="00A172E8"/>
    <w:rsid w:val="00A17705"/>
    <w:rsid w:val="00A179FF"/>
    <w:rsid w:val="00A20BCE"/>
    <w:rsid w:val="00A217F2"/>
    <w:rsid w:val="00A21A36"/>
    <w:rsid w:val="00A21DF7"/>
    <w:rsid w:val="00A22401"/>
    <w:rsid w:val="00A2275C"/>
    <w:rsid w:val="00A22A44"/>
    <w:rsid w:val="00A22CC8"/>
    <w:rsid w:val="00A22E60"/>
    <w:rsid w:val="00A23C0B"/>
    <w:rsid w:val="00A241F4"/>
    <w:rsid w:val="00A24839"/>
    <w:rsid w:val="00A24B9F"/>
    <w:rsid w:val="00A25294"/>
    <w:rsid w:val="00A254EE"/>
    <w:rsid w:val="00A25BE7"/>
    <w:rsid w:val="00A26475"/>
    <w:rsid w:val="00A26627"/>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4E8"/>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15C"/>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87C3A"/>
    <w:rsid w:val="00A90165"/>
    <w:rsid w:val="00A90E72"/>
    <w:rsid w:val="00A90FE9"/>
    <w:rsid w:val="00A92286"/>
    <w:rsid w:val="00A922A2"/>
    <w:rsid w:val="00A93050"/>
    <w:rsid w:val="00A931F9"/>
    <w:rsid w:val="00A9327B"/>
    <w:rsid w:val="00A9361B"/>
    <w:rsid w:val="00A93B69"/>
    <w:rsid w:val="00A942D1"/>
    <w:rsid w:val="00A94335"/>
    <w:rsid w:val="00A95C8A"/>
    <w:rsid w:val="00A963C7"/>
    <w:rsid w:val="00A96C23"/>
    <w:rsid w:val="00AA07A5"/>
    <w:rsid w:val="00AA080D"/>
    <w:rsid w:val="00AA0A41"/>
    <w:rsid w:val="00AA0AF1"/>
    <w:rsid w:val="00AA0BF5"/>
    <w:rsid w:val="00AA1626"/>
    <w:rsid w:val="00AA1C25"/>
    <w:rsid w:val="00AA1C7A"/>
    <w:rsid w:val="00AA2133"/>
    <w:rsid w:val="00AA323E"/>
    <w:rsid w:val="00AA3DB7"/>
    <w:rsid w:val="00AA4073"/>
    <w:rsid w:val="00AA4358"/>
    <w:rsid w:val="00AA45A6"/>
    <w:rsid w:val="00AA50EB"/>
    <w:rsid w:val="00AA51F5"/>
    <w:rsid w:val="00AA5924"/>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2F03"/>
    <w:rsid w:val="00AD3488"/>
    <w:rsid w:val="00AD364B"/>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280"/>
    <w:rsid w:val="00AE53F9"/>
    <w:rsid w:val="00AE59EC"/>
    <w:rsid w:val="00AE67B3"/>
    <w:rsid w:val="00AE704D"/>
    <w:rsid w:val="00AE7864"/>
    <w:rsid w:val="00AE7933"/>
    <w:rsid w:val="00AE7949"/>
    <w:rsid w:val="00AF0B68"/>
    <w:rsid w:val="00AF0CBA"/>
    <w:rsid w:val="00AF1C6C"/>
    <w:rsid w:val="00AF25D5"/>
    <w:rsid w:val="00AF26F1"/>
    <w:rsid w:val="00AF3DBB"/>
    <w:rsid w:val="00AF4424"/>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6010"/>
    <w:rsid w:val="00B069D8"/>
    <w:rsid w:val="00B07150"/>
    <w:rsid w:val="00B072D4"/>
    <w:rsid w:val="00B07A86"/>
    <w:rsid w:val="00B10558"/>
    <w:rsid w:val="00B11B28"/>
    <w:rsid w:val="00B1259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1722"/>
    <w:rsid w:val="00B226C7"/>
    <w:rsid w:val="00B22743"/>
    <w:rsid w:val="00B22C0D"/>
    <w:rsid w:val="00B22FB9"/>
    <w:rsid w:val="00B2334E"/>
    <w:rsid w:val="00B23AF4"/>
    <w:rsid w:val="00B23C15"/>
    <w:rsid w:val="00B243F2"/>
    <w:rsid w:val="00B25762"/>
    <w:rsid w:val="00B25860"/>
    <w:rsid w:val="00B25981"/>
    <w:rsid w:val="00B25B40"/>
    <w:rsid w:val="00B25FDE"/>
    <w:rsid w:val="00B26AB0"/>
    <w:rsid w:val="00B26AD2"/>
    <w:rsid w:val="00B26CA2"/>
    <w:rsid w:val="00B27947"/>
    <w:rsid w:val="00B27A9B"/>
    <w:rsid w:val="00B30B4E"/>
    <w:rsid w:val="00B31246"/>
    <w:rsid w:val="00B315E3"/>
    <w:rsid w:val="00B31D6D"/>
    <w:rsid w:val="00B3214A"/>
    <w:rsid w:val="00B32347"/>
    <w:rsid w:val="00B326FF"/>
    <w:rsid w:val="00B32864"/>
    <w:rsid w:val="00B32AA1"/>
    <w:rsid w:val="00B33157"/>
    <w:rsid w:val="00B3378D"/>
    <w:rsid w:val="00B33BA7"/>
    <w:rsid w:val="00B340AA"/>
    <w:rsid w:val="00B34A9F"/>
    <w:rsid w:val="00B34B80"/>
    <w:rsid w:val="00B3501B"/>
    <w:rsid w:val="00B354B5"/>
    <w:rsid w:val="00B35CDA"/>
    <w:rsid w:val="00B37047"/>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E60"/>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AD8"/>
    <w:rsid w:val="00B61BE2"/>
    <w:rsid w:val="00B6266F"/>
    <w:rsid w:val="00B62907"/>
    <w:rsid w:val="00B62E0B"/>
    <w:rsid w:val="00B63430"/>
    <w:rsid w:val="00B63C32"/>
    <w:rsid w:val="00B64434"/>
    <w:rsid w:val="00B654BD"/>
    <w:rsid w:val="00B657E1"/>
    <w:rsid w:val="00B659C5"/>
    <w:rsid w:val="00B66559"/>
    <w:rsid w:val="00B66E1B"/>
    <w:rsid w:val="00B70260"/>
    <w:rsid w:val="00B703C0"/>
    <w:rsid w:val="00B70D58"/>
    <w:rsid w:val="00B711CE"/>
    <w:rsid w:val="00B71CA8"/>
    <w:rsid w:val="00B71DC8"/>
    <w:rsid w:val="00B722A4"/>
    <w:rsid w:val="00B736D1"/>
    <w:rsid w:val="00B73A6A"/>
    <w:rsid w:val="00B746C6"/>
    <w:rsid w:val="00B74B5B"/>
    <w:rsid w:val="00B75A16"/>
    <w:rsid w:val="00B75AA0"/>
    <w:rsid w:val="00B75E6A"/>
    <w:rsid w:val="00B7604C"/>
    <w:rsid w:val="00B7652C"/>
    <w:rsid w:val="00B76639"/>
    <w:rsid w:val="00B766BF"/>
    <w:rsid w:val="00B76FA6"/>
    <w:rsid w:val="00B774B7"/>
    <w:rsid w:val="00B77644"/>
    <w:rsid w:val="00B77F08"/>
    <w:rsid w:val="00B80086"/>
    <w:rsid w:val="00B8037A"/>
    <w:rsid w:val="00B8072F"/>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618E"/>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9"/>
    <w:rsid w:val="00B957FE"/>
    <w:rsid w:val="00B958CD"/>
    <w:rsid w:val="00B95F02"/>
    <w:rsid w:val="00B9641D"/>
    <w:rsid w:val="00B96BEF"/>
    <w:rsid w:val="00B96D20"/>
    <w:rsid w:val="00B96FC0"/>
    <w:rsid w:val="00B97260"/>
    <w:rsid w:val="00B974E0"/>
    <w:rsid w:val="00B97A69"/>
    <w:rsid w:val="00BA004E"/>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7E4E"/>
    <w:rsid w:val="00BA7E92"/>
    <w:rsid w:val="00BB001A"/>
    <w:rsid w:val="00BB0149"/>
    <w:rsid w:val="00BB0A97"/>
    <w:rsid w:val="00BB1548"/>
    <w:rsid w:val="00BB18A9"/>
    <w:rsid w:val="00BB1B84"/>
    <w:rsid w:val="00BB1CC4"/>
    <w:rsid w:val="00BB1CE7"/>
    <w:rsid w:val="00BB2FD3"/>
    <w:rsid w:val="00BB2FDF"/>
    <w:rsid w:val="00BB2FFF"/>
    <w:rsid w:val="00BB3BB3"/>
    <w:rsid w:val="00BB4196"/>
    <w:rsid w:val="00BB5FCB"/>
    <w:rsid w:val="00BB604B"/>
    <w:rsid w:val="00BB6681"/>
    <w:rsid w:val="00BC00EC"/>
    <w:rsid w:val="00BC01DD"/>
    <w:rsid w:val="00BC04E1"/>
    <w:rsid w:val="00BC08C5"/>
    <w:rsid w:val="00BC0EE7"/>
    <w:rsid w:val="00BC1181"/>
    <w:rsid w:val="00BC12FB"/>
    <w:rsid w:val="00BC13BA"/>
    <w:rsid w:val="00BC160A"/>
    <w:rsid w:val="00BC1C3C"/>
    <w:rsid w:val="00BC28A5"/>
    <w:rsid w:val="00BC2D1B"/>
    <w:rsid w:val="00BC307F"/>
    <w:rsid w:val="00BC3159"/>
    <w:rsid w:val="00BC31A1"/>
    <w:rsid w:val="00BC3257"/>
    <w:rsid w:val="00BC3949"/>
    <w:rsid w:val="00BC39DB"/>
    <w:rsid w:val="00BC3A32"/>
    <w:rsid w:val="00BC3B07"/>
    <w:rsid w:val="00BC4343"/>
    <w:rsid w:val="00BC442C"/>
    <w:rsid w:val="00BC46EF"/>
    <w:rsid w:val="00BC4A0D"/>
    <w:rsid w:val="00BC6BC1"/>
    <w:rsid w:val="00BC6EC6"/>
    <w:rsid w:val="00BC6FD6"/>
    <w:rsid w:val="00BC793D"/>
    <w:rsid w:val="00BD008E"/>
    <w:rsid w:val="00BD0444"/>
    <w:rsid w:val="00BD051B"/>
    <w:rsid w:val="00BD0F02"/>
    <w:rsid w:val="00BD14A7"/>
    <w:rsid w:val="00BD2F3B"/>
    <w:rsid w:val="00BD3038"/>
    <w:rsid w:val="00BD3372"/>
    <w:rsid w:val="00BD4708"/>
    <w:rsid w:val="00BD50AA"/>
    <w:rsid w:val="00BD5135"/>
    <w:rsid w:val="00BD5373"/>
    <w:rsid w:val="00BD596B"/>
    <w:rsid w:val="00BD5F76"/>
    <w:rsid w:val="00BD7182"/>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A88"/>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BDD"/>
    <w:rsid w:val="00C06E7D"/>
    <w:rsid w:val="00C074DC"/>
    <w:rsid w:val="00C07738"/>
    <w:rsid w:val="00C102A2"/>
    <w:rsid w:val="00C10561"/>
    <w:rsid w:val="00C10594"/>
    <w:rsid w:val="00C106DD"/>
    <w:rsid w:val="00C1112B"/>
    <w:rsid w:val="00C11933"/>
    <w:rsid w:val="00C11A88"/>
    <w:rsid w:val="00C11A93"/>
    <w:rsid w:val="00C11BED"/>
    <w:rsid w:val="00C12012"/>
    <w:rsid w:val="00C12874"/>
    <w:rsid w:val="00C12990"/>
    <w:rsid w:val="00C12BC1"/>
    <w:rsid w:val="00C13BDA"/>
    <w:rsid w:val="00C13FFD"/>
    <w:rsid w:val="00C14632"/>
    <w:rsid w:val="00C147BE"/>
    <w:rsid w:val="00C149B7"/>
    <w:rsid w:val="00C167DB"/>
    <w:rsid w:val="00C16C30"/>
    <w:rsid w:val="00C17952"/>
    <w:rsid w:val="00C20A00"/>
    <w:rsid w:val="00C20BA6"/>
    <w:rsid w:val="00C21673"/>
    <w:rsid w:val="00C21C7A"/>
    <w:rsid w:val="00C23130"/>
    <w:rsid w:val="00C233EA"/>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254F"/>
    <w:rsid w:val="00C3400F"/>
    <w:rsid w:val="00C344A0"/>
    <w:rsid w:val="00C34B64"/>
    <w:rsid w:val="00C34C36"/>
    <w:rsid w:val="00C352B3"/>
    <w:rsid w:val="00C3654C"/>
    <w:rsid w:val="00C36BF5"/>
    <w:rsid w:val="00C36DBC"/>
    <w:rsid w:val="00C3711A"/>
    <w:rsid w:val="00C376BA"/>
    <w:rsid w:val="00C3787F"/>
    <w:rsid w:val="00C378F8"/>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22"/>
    <w:rsid w:val="00C51CAB"/>
    <w:rsid w:val="00C51E83"/>
    <w:rsid w:val="00C52468"/>
    <w:rsid w:val="00C52654"/>
    <w:rsid w:val="00C52744"/>
    <w:rsid w:val="00C52C78"/>
    <w:rsid w:val="00C5334B"/>
    <w:rsid w:val="00C539D2"/>
    <w:rsid w:val="00C53EB3"/>
    <w:rsid w:val="00C542D4"/>
    <w:rsid w:val="00C54D71"/>
    <w:rsid w:val="00C54F8B"/>
    <w:rsid w:val="00C55178"/>
    <w:rsid w:val="00C55751"/>
    <w:rsid w:val="00C55E7C"/>
    <w:rsid w:val="00C563F5"/>
    <w:rsid w:val="00C570F7"/>
    <w:rsid w:val="00C574BB"/>
    <w:rsid w:val="00C6050F"/>
    <w:rsid w:val="00C61C91"/>
    <w:rsid w:val="00C61E91"/>
    <w:rsid w:val="00C62254"/>
    <w:rsid w:val="00C62CD5"/>
    <w:rsid w:val="00C636E6"/>
    <w:rsid w:val="00C639D6"/>
    <w:rsid w:val="00C63F8E"/>
    <w:rsid w:val="00C647FB"/>
    <w:rsid w:val="00C6544B"/>
    <w:rsid w:val="00C654E0"/>
    <w:rsid w:val="00C657E6"/>
    <w:rsid w:val="00C67719"/>
    <w:rsid w:val="00C67EAB"/>
    <w:rsid w:val="00C7088B"/>
    <w:rsid w:val="00C70DFF"/>
    <w:rsid w:val="00C72D64"/>
    <w:rsid w:val="00C743CF"/>
    <w:rsid w:val="00C745E6"/>
    <w:rsid w:val="00C74FEE"/>
    <w:rsid w:val="00C75351"/>
    <w:rsid w:val="00C75A6B"/>
    <w:rsid w:val="00C763B6"/>
    <w:rsid w:val="00C7644F"/>
    <w:rsid w:val="00C768F6"/>
    <w:rsid w:val="00C76FF3"/>
    <w:rsid w:val="00C80073"/>
    <w:rsid w:val="00C805E7"/>
    <w:rsid w:val="00C80DEA"/>
    <w:rsid w:val="00C80ED7"/>
    <w:rsid w:val="00C81664"/>
    <w:rsid w:val="00C81C79"/>
    <w:rsid w:val="00C82EAA"/>
    <w:rsid w:val="00C832DC"/>
    <w:rsid w:val="00C8377F"/>
    <w:rsid w:val="00C83D54"/>
    <w:rsid w:val="00C8426A"/>
    <w:rsid w:val="00C84D02"/>
    <w:rsid w:val="00C852A9"/>
    <w:rsid w:val="00C8646D"/>
    <w:rsid w:val="00C864DD"/>
    <w:rsid w:val="00C875D5"/>
    <w:rsid w:val="00C876BC"/>
    <w:rsid w:val="00C91D21"/>
    <w:rsid w:val="00C91DE3"/>
    <w:rsid w:val="00C92C7F"/>
    <w:rsid w:val="00C9369D"/>
    <w:rsid w:val="00C9383D"/>
    <w:rsid w:val="00C9407D"/>
    <w:rsid w:val="00C942E9"/>
    <w:rsid w:val="00C944FA"/>
    <w:rsid w:val="00C94652"/>
    <w:rsid w:val="00C95854"/>
    <w:rsid w:val="00C959FD"/>
    <w:rsid w:val="00C95D24"/>
    <w:rsid w:val="00C95EFF"/>
    <w:rsid w:val="00C96AE7"/>
    <w:rsid w:val="00C96E6F"/>
    <w:rsid w:val="00C97872"/>
    <w:rsid w:val="00CA0532"/>
    <w:rsid w:val="00CA0B4C"/>
    <w:rsid w:val="00CA17DE"/>
    <w:rsid w:val="00CA221D"/>
    <w:rsid w:val="00CA2241"/>
    <w:rsid w:val="00CA28EE"/>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1B1"/>
    <w:rsid w:val="00CC3A23"/>
    <w:rsid w:val="00CC3BD5"/>
    <w:rsid w:val="00CC3CD6"/>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5C84"/>
    <w:rsid w:val="00CD6A95"/>
    <w:rsid w:val="00CD6B7C"/>
    <w:rsid w:val="00CD6E3D"/>
    <w:rsid w:val="00CD71AB"/>
    <w:rsid w:val="00CD7766"/>
    <w:rsid w:val="00CD7958"/>
    <w:rsid w:val="00CD7CB1"/>
    <w:rsid w:val="00CE0109"/>
    <w:rsid w:val="00CE1446"/>
    <w:rsid w:val="00CE1FC5"/>
    <w:rsid w:val="00CE46E5"/>
    <w:rsid w:val="00CE485A"/>
    <w:rsid w:val="00CE5279"/>
    <w:rsid w:val="00CE5528"/>
    <w:rsid w:val="00CE5A78"/>
    <w:rsid w:val="00CE6972"/>
    <w:rsid w:val="00CE6D31"/>
    <w:rsid w:val="00CE78AE"/>
    <w:rsid w:val="00CE7E62"/>
    <w:rsid w:val="00CF195E"/>
    <w:rsid w:val="00CF19DA"/>
    <w:rsid w:val="00CF1C7F"/>
    <w:rsid w:val="00CF1CC0"/>
    <w:rsid w:val="00CF24F8"/>
    <w:rsid w:val="00CF2653"/>
    <w:rsid w:val="00CF2E6A"/>
    <w:rsid w:val="00CF3723"/>
    <w:rsid w:val="00CF3CD3"/>
    <w:rsid w:val="00CF3D5A"/>
    <w:rsid w:val="00CF4247"/>
    <w:rsid w:val="00CF5239"/>
    <w:rsid w:val="00CF5263"/>
    <w:rsid w:val="00CF5418"/>
    <w:rsid w:val="00CF5A56"/>
    <w:rsid w:val="00CF5E61"/>
    <w:rsid w:val="00CF60B5"/>
    <w:rsid w:val="00CF6B78"/>
    <w:rsid w:val="00CF721A"/>
    <w:rsid w:val="00D004FA"/>
    <w:rsid w:val="00D01B21"/>
    <w:rsid w:val="00D01E2F"/>
    <w:rsid w:val="00D02FAF"/>
    <w:rsid w:val="00D030B7"/>
    <w:rsid w:val="00D03102"/>
    <w:rsid w:val="00D03420"/>
    <w:rsid w:val="00D03727"/>
    <w:rsid w:val="00D0378A"/>
    <w:rsid w:val="00D03D32"/>
    <w:rsid w:val="00D04289"/>
    <w:rsid w:val="00D04E17"/>
    <w:rsid w:val="00D05132"/>
    <w:rsid w:val="00D0545E"/>
    <w:rsid w:val="00D05479"/>
    <w:rsid w:val="00D05EA9"/>
    <w:rsid w:val="00D05F0A"/>
    <w:rsid w:val="00D065DD"/>
    <w:rsid w:val="00D071F8"/>
    <w:rsid w:val="00D07252"/>
    <w:rsid w:val="00D074F4"/>
    <w:rsid w:val="00D07A3B"/>
    <w:rsid w:val="00D07CE1"/>
    <w:rsid w:val="00D1026A"/>
    <w:rsid w:val="00D1073A"/>
    <w:rsid w:val="00D107CF"/>
    <w:rsid w:val="00D10893"/>
    <w:rsid w:val="00D10E56"/>
    <w:rsid w:val="00D111C8"/>
    <w:rsid w:val="00D11B0B"/>
    <w:rsid w:val="00D11FC2"/>
    <w:rsid w:val="00D12075"/>
    <w:rsid w:val="00D12293"/>
    <w:rsid w:val="00D13A98"/>
    <w:rsid w:val="00D1415C"/>
    <w:rsid w:val="00D1418A"/>
    <w:rsid w:val="00D14236"/>
    <w:rsid w:val="00D14553"/>
    <w:rsid w:val="00D1465E"/>
    <w:rsid w:val="00D14DB1"/>
    <w:rsid w:val="00D15263"/>
    <w:rsid w:val="00D15327"/>
    <w:rsid w:val="00D15F43"/>
    <w:rsid w:val="00D16326"/>
    <w:rsid w:val="00D16E87"/>
    <w:rsid w:val="00D17C6A"/>
    <w:rsid w:val="00D20B8B"/>
    <w:rsid w:val="00D2162C"/>
    <w:rsid w:val="00D21A3C"/>
    <w:rsid w:val="00D233F1"/>
    <w:rsid w:val="00D241D2"/>
    <w:rsid w:val="00D24765"/>
    <w:rsid w:val="00D2485B"/>
    <w:rsid w:val="00D248D3"/>
    <w:rsid w:val="00D256F8"/>
    <w:rsid w:val="00D259EB"/>
    <w:rsid w:val="00D25AA0"/>
    <w:rsid w:val="00D2644C"/>
    <w:rsid w:val="00D2685C"/>
    <w:rsid w:val="00D26A3B"/>
    <w:rsid w:val="00D26D2A"/>
    <w:rsid w:val="00D301BF"/>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365AB"/>
    <w:rsid w:val="00D41005"/>
    <w:rsid w:val="00D41C80"/>
    <w:rsid w:val="00D41CC4"/>
    <w:rsid w:val="00D4229C"/>
    <w:rsid w:val="00D42B94"/>
    <w:rsid w:val="00D437D8"/>
    <w:rsid w:val="00D44994"/>
    <w:rsid w:val="00D44E40"/>
    <w:rsid w:val="00D45C8D"/>
    <w:rsid w:val="00D45DF3"/>
    <w:rsid w:val="00D46174"/>
    <w:rsid w:val="00D46497"/>
    <w:rsid w:val="00D47DD0"/>
    <w:rsid w:val="00D50183"/>
    <w:rsid w:val="00D51D12"/>
    <w:rsid w:val="00D521B2"/>
    <w:rsid w:val="00D52F94"/>
    <w:rsid w:val="00D5362B"/>
    <w:rsid w:val="00D547F8"/>
    <w:rsid w:val="00D547FE"/>
    <w:rsid w:val="00D55072"/>
    <w:rsid w:val="00D551B5"/>
    <w:rsid w:val="00D55B62"/>
    <w:rsid w:val="00D569FB"/>
    <w:rsid w:val="00D56AF5"/>
    <w:rsid w:val="00D56DB2"/>
    <w:rsid w:val="00D5747F"/>
    <w:rsid w:val="00D57495"/>
    <w:rsid w:val="00D574FA"/>
    <w:rsid w:val="00D57A0E"/>
    <w:rsid w:val="00D57AB5"/>
    <w:rsid w:val="00D60779"/>
    <w:rsid w:val="00D60C8D"/>
    <w:rsid w:val="00D61374"/>
    <w:rsid w:val="00D6168A"/>
    <w:rsid w:val="00D616A5"/>
    <w:rsid w:val="00D61FE0"/>
    <w:rsid w:val="00D61FF0"/>
    <w:rsid w:val="00D62106"/>
    <w:rsid w:val="00D6211D"/>
    <w:rsid w:val="00D623A7"/>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67F56"/>
    <w:rsid w:val="00D70A36"/>
    <w:rsid w:val="00D72DE1"/>
    <w:rsid w:val="00D73469"/>
    <w:rsid w:val="00D7356F"/>
    <w:rsid w:val="00D73587"/>
    <w:rsid w:val="00D73A25"/>
    <w:rsid w:val="00D73B73"/>
    <w:rsid w:val="00D73EBB"/>
    <w:rsid w:val="00D73F90"/>
    <w:rsid w:val="00D74B92"/>
    <w:rsid w:val="00D751BE"/>
    <w:rsid w:val="00D751FB"/>
    <w:rsid w:val="00D754D6"/>
    <w:rsid w:val="00D75B44"/>
    <w:rsid w:val="00D761AA"/>
    <w:rsid w:val="00D76896"/>
    <w:rsid w:val="00D76CC6"/>
    <w:rsid w:val="00D76FAE"/>
    <w:rsid w:val="00D77040"/>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6F2"/>
    <w:rsid w:val="00D84C46"/>
    <w:rsid w:val="00D857B8"/>
    <w:rsid w:val="00D85D1F"/>
    <w:rsid w:val="00D87175"/>
    <w:rsid w:val="00D87ABF"/>
    <w:rsid w:val="00D87C75"/>
    <w:rsid w:val="00D9004A"/>
    <w:rsid w:val="00D90CD3"/>
    <w:rsid w:val="00D90E2C"/>
    <w:rsid w:val="00D919E6"/>
    <w:rsid w:val="00D91BE1"/>
    <w:rsid w:val="00D91F8B"/>
    <w:rsid w:val="00D92B24"/>
    <w:rsid w:val="00D92C29"/>
    <w:rsid w:val="00D92EF9"/>
    <w:rsid w:val="00D93252"/>
    <w:rsid w:val="00D936E2"/>
    <w:rsid w:val="00D945B3"/>
    <w:rsid w:val="00D9503C"/>
    <w:rsid w:val="00D95104"/>
    <w:rsid w:val="00D95299"/>
    <w:rsid w:val="00D95600"/>
    <w:rsid w:val="00D957D8"/>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768"/>
    <w:rsid w:val="00DA3E7A"/>
    <w:rsid w:val="00DA3EF7"/>
    <w:rsid w:val="00DA3F5B"/>
    <w:rsid w:val="00DA430C"/>
    <w:rsid w:val="00DA4DE3"/>
    <w:rsid w:val="00DA5471"/>
    <w:rsid w:val="00DA615D"/>
    <w:rsid w:val="00DA6598"/>
    <w:rsid w:val="00DA6C0F"/>
    <w:rsid w:val="00DA702F"/>
    <w:rsid w:val="00DA7311"/>
    <w:rsid w:val="00DA74CF"/>
    <w:rsid w:val="00DA7F8A"/>
    <w:rsid w:val="00DB0176"/>
    <w:rsid w:val="00DB0404"/>
    <w:rsid w:val="00DB069C"/>
    <w:rsid w:val="00DB08DD"/>
    <w:rsid w:val="00DB0E59"/>
    <w:rsid w:val="00DB11F0"/>
    <w:rsid w:val="00DB11F8"/>
    <w:rsid w:val="00DB18F8"/>
    <w:rsid w:val="00DB1F2A"/>
    <w:rsid w:val="00DB2175"/>
    <w:rsid w:val="00DB297F"/>
    <w:rsid w:val="00DB2C83"/>
    <w:rsid w:val="00DB3153"/>
    <w:rsid w:val="00DB317A"/>
    <w:rsid w:val="00DB35C2"/>
    <w:rsid w:val="00DB3B82"/>
    <w:rsid w:val="00DB485D"/>
    <w:rsid w:val="00DB4C6E"/>
    <w:rsid w:val="00DB5293"/>
    <w:rsid w:val="00DB6ED8"/>
    <w:rsid w:val="00DB7836"/>
    <w:rsid w:val="00DC1301"/>
    <w:rsid w:val="00DC1327"/>
    <w:rsid w:val="00DC1350"/>
    <w:rsid w:val="00DC27E0"/>
    <w:rsid w:val="00DC2B54"/>
    <w:rsid w:val="00DC3237"/>
    <w:rsid w:val="00DC367A"/>
    <w:rsid w:val="00DC36F3"/>
    <w:rsid w:val="00DC39C2"/>
    <w:rsid w:val="00DC41A4"/>
    <w:rsid w:val="00DC4C33"/>
    <w:rsid w:val="00DC5150"/>
    <w:rsid w:val="00DC523C"/>
    <w:rsid w:val="00DC52CD"/>
    <w:rsid w:val="00DC5672"/>
    <w:rsid w:val="00DC5726"/>
    <w:rsid w:val="00DC5839"/>
    <w:rsid w:val="00DC5B56"/>
    <w:rsid w:val="00DC60A2"/>
    <w:rsid w:val="00DC6600"/>
    <w:rsid w:val="00DC67BD"/>
    <w:rsid w:val="00DC6924"/>
    <w:rsid w:val="00DC71F2"/>
    <w:rsid w:val="00DC7770"/>
    <w:rsid w:val="00DC7E52"/>
    <w:rsid w:val="00DC7EB1"/>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9A6"/>
    <w:rsid w:val="00DE0443"/>
    <w:rsid w:val="00DE068C"/>
    <w:rsid w:val="00DE0E59"/>
    <w:rsid w:val="00DE0F6C"/>
    <w:rsid w:val="00DE102B"/>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107"/>
    <w:rsid w:val="00E0543F"/>
    <w:rsid w:val="00E06521"/>
    <w:rsid w:val="00E06528"/>
    <w:rsid w:val="00E066DB"/>
    <w:rsid w:val="00E0728F"/>
    <w:rsid w:val="00E0749C"/>
    <w:rsid w:val="00E0755C"/>
    <w:rsid w:val="00E07679"/>
    <w:rsid w:val="00E07A78"/>
    <w:rsid w:val="00E10021"/>
    <w:rsid w:val="00E112CA"/>
    <w:rsid w:val="00E113C6"/>
    <w:rsid w:val="00E128E9"/>
    <w:rsid w:val="00E1336A"/>
    <w:rsid w:val="00E142BE"/>
    <w:rsid w:val="00E14A7E"/>
    <w:rsid w:val="00E14DF2"/>
    <w:rsid w:val="00E151E1"/>
    <w:rsid w:val="00E15AB0"/>
    <w:rsid w:val="00E16766"/>
    <w:rsid w:val="00E17619"/>
    <w:rsid w:val="00E17805"/>
    <w:rsid w:val="00E178F3"/>
    <w:rsid w:val="00E17CAC"/>
    <w:rsid w:val="00E203CF"/>
    <w:rsid w:val="00E20AD3"/>
    <w:rsid w:val="00E20F79"/>
    <w:rsid w:val="00E21278"/>
    <w:rsid w:val="00E21436"/>
    <w:rsid w:val="00E2150A"/>
    <w:rsid w:val="00E22CCD"/>
    <w:rsid w:val="00E23296"/>
    <w:rsid w:val="00E239FC"/>
    <w:rsid w:val="00E23A11"/>
    <w:rsid w:val="00E23FB7"/>
    <w:rsid w:val="00E24A27"/>
    <w:rsid w:val="00E24B5C"/>
    <w:rsid w:val="00E25934"/>
    <w:rsid w:val="00E25F89"/>
    <w:rsid w:val="00E26009"/>
    <w:rsid w:val="00E26387"/>
    <w:rsid w:val="00E26C55"/>
    <w:rsid w:val="00E274C4"/>
    <w:rsid w:val="00E27CC0"/>
    <w:rsid w:val="00E3016C"/>
    <w:rsid w:val="00E30808"/>
    <w:rsid w:val="00E3117A"/>
    <w:rsid w:val="00E311C3"/>
    <w:rsid w:val="00E3261C"/>
    <w:rsid w:val="00E32D62"/>
    <w:rsid w:val="00E339DC"/>
    <w:rsid w:val="00E33E15"/>
    <w:rsid w:val="00E353A4"/>
    <w:rsid w:val="00E361B8"/>
    <w:rsid w:val="00E36A1B"/>
    <w:rsid w:val="00E37DDE"/>
    <w:rsid w:val="00E40949"/>
    <w:rsid w:val="00E40C38"/>
    <w:rsid w:val="00E418A9"/>
    <w:rsid w:val="00E42428"/>
    <w:rsid w:val="00E429ED"/>
    <w:rsid w:val="00E43F37"/>
    <w:rsid w:val="00E441E6"/>
    <w:rsid w:val="00E450ED"/>
    <w:rsid w:val="00E467B6"/>
    <w:rsid w:val="00E46C47"/>
    <w:rsid w:val="00E4765D"/>
    <w:rsid w:val="00E4791B"/>
    <w:rsid w:val="00E47E31"/>
    <w:rsid w:val="00E50A11"/>
    <w:rsid w:val="00E50AC6"/>
    <w:rsid w:val="00E50FCA"/>
    <w:rsid w:val="00E5108D"/>
    <w:rsid w:val="00E51291"/>
    <w:rsid w:val="00E51DDD"/>
    <w:rsid w:val="00E51FDD"/>
    <w:rsid w:val="00E523C6"/>
    <w:rsid w:val="00E52435"/>
    <w:rsid w:val="00E52904"/>
    <w:rsid w:val="00E52C91"/>
    <w:rsid w:val="00E53122"/>
    <w:rsid w:val="00E5351B"/>
    <w:rsid w:val="00E536D3"/>
    <w:rsid w:val="00E53FA9"/>
    <w:rsid w:val="00E5414C"/>
    <w:rsid w:val="00E547B3"/>
    <w:rsid w:val="00E55307"/>
    <w:rsid w:val="00E55C00"/>
    <w:rsid w:val="00E57050"/>
    <w:rsid w:val="00E57237"/>
    <w:rsid w:val="00E5733D"/>
    <w:rsid w:val="00E57613"/>
    <w:rsid w:val="00E57BF0"/>
    <w:rsid w:val="00E57EAC"/>
    <w:rsid w:val="00E604EF"/>
    <w:rsid w:val="00E61CC0"/>
    <w:rsid w:val="00E61E53"/>
    <w:rsid w:val="00E6277B"/>
    <w:rsid w:val="00E62EA7"/>
    <w:rsid w:val="00E63278"/>
    <w:rsid w:val="00E64424"/>
    <w:rsid w:val="00E64A37"/>
    <w:rsid w:val="00E64C99"/>
    <w:rsid w:val="00E64CD3"/>
    <w:rsid w:val="00E64E8F"/>
    <w:rsid w:val="00E66248"/>
    <w:rsid w:val="00E66945"/>
    <w:rsid w:val="00E671C9"/>
    <w:rsid w:val="00E671E9"/>
    <w:rsid w:val="00E6743F"/>
    <w:rsid w:val="00E6758E"/>
    <w:rsid w:val="00E67DD9"/>
    <w:rsid w:val="00E67E23"/>
    <w:rsid w:val="00E70016"/>
    <w:rsid w:val="00E70658"/>
    <w:rsid w:val="00E70BC7"/>
    <w:rsid w:val="00E70F07"/>
    <w:rsid w:val="00E70FBC"/>
    <w:rsid w:val="00E718B4"/>
    <w:rsid w:val="00E72BDF"/>
    <w:rsid w:val="00E72C01"/>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4D72"/>
    <w:rsid w:val="00E8519F"/>
    <w:rsid w:val="00E85387"/>
    <w:rsid w:val="00E85910"/>
    <w:rsid w:val="00E8593E"/>
    <w:rsid w:val="00E85CC3"/>
    <w:rsid w:val="00E8644A"/>
    <w:rsid w:val="00E870A9"/>
    <w:rsid w:val="00E90279"/>
    <w:rsid w:val="00E90635"/>
    <w:rsid w:val="00E909A1"/>
    <w:rsid w:val="00E90BFF"/>
    <w:rsid w:val="00E91F04"/>
    <w:rsid w:val="00E91F35"/>
    <w:rsid w:val="00E91F44"/>
    <w:rsid w:val="00E9259E"/>
    <w:rsid w:val="00E93024"/>
    <w:rsid w:val="00E9574E"/>
    <w:rsid w:val="00E95BA6"/>
    <w:rsid w:val="00E96990"/>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1F4"/>
    <w:rsid w:val="00EA7487"/>
    <w:rsid w:val="00EA7FCF"/>
    <w:rsid w:val="00EB0CA3"/>
    <w:rsid w:val="00EB104F"/>
    <w:rsid w:val="00EB15F2"/>
    <w:rsid w:val="00EB1B27"/>
    <w:rsid w:val="00EB1DA8"/>
    <w:rsid w:val="00EB28C3"/>
    <w:rsid w:val="00EB2A69"/>
    <w:rsid w:val="00EB2D2E"/>
    <w:rsid w:val="00EB326C"/>
    <w:rsid w:val="00EB33C8"/>
    <w:rsid w:val="00EB4B75"/>
    <w:rsid w:val="00EB4CFF"/>
    <w:rsid w:val="00EB53A6"/>
    <w:rsid w:val="00EB5476"/>
    <w:rsid w:val="00EB5B85"/>
    <w:rsid w:val="00EB5FB6"/>
    <w:rsid w:val="00EB5FF6"/>
    <w:rsid w:val="00EB626C"/>
    <w:rsid w:val="00EB6ABF"/>
    <w:rsid w:val="00EB70B0"/>
    <w:rsid w:val="00EB74F4"/>
    <w:rsid w:val="00EB7633"/>
    <w:rsid w:val="00EB7736"/>
    <w:rsid w:val="00EB7808"/>
    <w:rsid w:val="00EC05FD"/>
    <w:rsid w:val="00EC121A"/>
    <w:rsid w:val="00EC1D32"/>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62F"/>
    <w:rsid w:val="00ED1738"/>
    <w:rsid w:val="00ED256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94C"/>
    <w:rsid w:val="00EE3C42"/>
    <w:rsid w:val="00EE3D4F"/>
    <w:rsid w:val="00EE534D"/>
    <w:rsid w:val="00EE5560"/>
    <w:rsid w:val="00EE596F"/>
    <w:rsid w:val="00EE5AD0"/>
    <w:rsid w:val="00EE5C0A"/>
    <w:rsid w:val="00EE5DE1"/>
    <w:rsid w:val="00EE6ABC"/>
    <w:rsid w:val="00EE6F1E"/>
    <w:rsid w:val="00EE7D82"/>
    <w:rsid w:val="00EF0348"/>
    <w:rsid w:val="00EF1765"/>
    <w:rsid w:val="00EF17C5"/>
    <w:rsid w:val="00EF1BFD"/>
    <w:rsid w:val="00EF1F9C"/>
    <w:rsid w:val="00EF21E0"/>
    <w:rsid w:val="00EF25C1"/>
    <w:rsid w:val="00EF4366"/>
    <w:rsid w:val="00EF449D"/>
    <w:rsid w:val="00EF4CD6"/>
    <w:rsid w:val="00EF55A0"/>
    <w:rsid w:val="00EF63D1"/>
    <w:rsid w:val="00EF6513"/>
    <w:rsid w:val="00EF6683"/>
    <w:rsid w:val="00EF6BF1"/>
    <w:rsid w:val="00EF6CAC"/>
    <w:rsid w:val="00EF7002"/>
    <w:rsid w:val="00EF712D"/>
    <w:rsid w:val="00EF769B"/>
    <w:rsid w:val="00F010B9"/>
    <w:rsid w:val="00F02651"/>
    <w:rsid w:val="00F027BA"/>
    <w:rsid w:val="00F02A11"/>
    <w:rsid w:val="00F0350A"/>
    <w:rsid w:val="00F0357D"/>
    <w:rsid w:val="00F03CC3"/>
    <w:rsid w:val="00F03E79"/>
    <w:rsid w:val="00F041DC"/>
    <w:rsid w:val="00F05ADE"/>
    <w:rsid w:val="00F0628D"/>
    <w:rsid w:val="00F0661B"/>
    <w:rsid w:val="00F06651"/>
    <w:rsid w:val="00F06CA9"/>
    <w:rsid w:val="00F06DCE"/>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99B"/>
    <w:rsid w:val="00F43B95"/>
    <w:rsid w:val="00F43D00"/>
    <w:rsid w:val="00F444ED"/>
    <w:rsid w:val="00F44EC5"/>
    <w:rsid w:val="00F4566B"/>
    <w:rsid w:val="00F46BDA"/>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5F3"/>
    <w:rsid w:val="00F60BE9"/>
    <w:rsid w:val="00F61FD8"/>
    <w:rsid w:val="00F62478"/>
    <w:rsid w:val="00F6254C"/>
    <w:rsid w:val="00F6263C"/>
    <w:rsid w:val="00F62DBF"/>
    <w:rsid w:val="00F63017"/>
    <w:rsid w:val="00F641FC"/>
    <w:rsid w:val="00F643C3"/>
    <w:rsid w:val="00F647F7"/>
    <w:rsid w:val="00F6583C"/>
    <w:rsid w:val="00F6589A"/>
    <w:rsid w:val="00F66574"/>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A11"/>
    <w:rsid w:val="00F73D08"/>
    <w:rsid w:val="00F749CD"/>
    <w:rsid w:val="00F7586B"/>
    <w:rsid w:val="00F75D45"/>
    <w:rsid w:val="00F75F2F"/>
    <w:rsid w:val="00F75F40"/>
    <w:rsid w:val="00F76445"/>
    <w:rsid w:val="00F76D0C"/>
    <w:rsid w:val="00F76ECC"/>
    <w:rsid w:val="00F779FD"/>
    <w:rsid w:val="00F80399"/>
    <w:rsid w:val="00F80549"/>
    <w:rsid w:val="00F80F97"/>
    <w:rsid w:val="00F812C8"/>
    <w:rsid w:val="00F8132D"/>
    <w:rsid w:val="00F818AE"/>
    <w:rsid w:val="00F81B40"/>
    <w:rsid w:val="00F81C81"/>
    <w:rsid w:val="00F820C4"/>
    <w:rsid w:val="00F826EF"/>
    <w:rsid w:val="00F834F1"/>
    <w:rsid w:val="00F835B9"/>
    <w:rsid w:val="00F83829"/>
    <w:rsid w:val="00F83F87"/>
    <w:rsid w:val="00F84069"/>
    <w:rsid w:val="00F843D7"/>
    <w:rsid w:val="00F8446C"/>
    <w:rsid w:val="00F84997"/>
    <w:rsid w:val="00F850CD"/>
    <w:rsid w:val="00F85536"/>
    <w:rsid w:val="00F8631D"/>
    <w:rsid w:val="00F8657A"/>
    <w:rsid w:val="00F86637"/>
    <w:rsid w:val="00F8679A"/>
    <w:rsid w:val="00F86F07"/>
    <w:rsid w:val="00F87117"/>
    <w:rsid w:val="00F8736C"/>
    <w:rsid w:val="00F87CCB"/>
    <w:rsid w:val="00F9030E"/>
    <w:rsid w:val="00F90ADB"/>
    <w:rsid w:val="00F90E78"/>
    <w:rsid w:val="00F91209"/>
    <w:rsid w:val="00F91824"/>
    <w:rsid w:val="00F9221F"/>
    <w:rsid w:val="00F92333"/>
    <w:rsid w:val="00F931C7"/>
    <w:rsid w:val="00F93559"/>
    <w:rsid w:val="00F93D72"/>
    <w:rsid w:val="00F93E65"/>
    <w:rsid w:val="00F94070"/>
    <w:rsid w:val="00F9469E"/>
    <w:rsid w:val="00F94BB6"/>
    <w:rsid w:val="00F950B5"/>
    <w:rsid w:val="00F9513F"/>
    <w:rsid w:val="00F951B3"/>
    <w:rsid w:val="00F956A6"/>
    <w:rsid w:val="00F960D6"/>
    <w:rsid w:val="00F9632B"/>
    <w:rsid w:val="00F96727"/>
    <w:rsid w:val="00F96CDF"/>
    <w:rsid w:val="00F96F76"/>
    <w:rsid w:val="00F97120"/>
    <w:rsid w:val="00F97908"/>
    <w:rsid w:val="00F97B43"/>
    <w:rsid w:val="00F97D2D"/>
    <w:rsid w:val="00FA0489"/>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478"/>
    <w:rsid w:val="00FA7A6B"/>
    <w:rsid w:val="00FA7ECC"/>
    <w:rsid w:val="00FB0082"/>
    <w:rsid w:val="00FB0243"/>
    <w:rsid w:val="00FB0AC3"/>
    <w:rsid w:val="00FB1527"/>
    <w:rsid w:val="00FB1E67"/>
    <w:rsid w:val="00FB2537"/>
    <w:rsid w:val="00FB31BD"/>
    <w:rsid w:val="00FB338E"/>
    <w:rsid w:val="00FB33DC"/>
    <w:rsid w:val="00FB35AD"/>
    <w:rsid w:val="00FB4338"/>
    <w:rsid w:val="00FB477E"/>
    <w:rsid w:val="00FB494F"/>
    <w:rsid w:val="00FB4C2A"/>
    <w:rsid w:val="00FB4C9C"/>
    <w:rsid w:val="00FB5148"/>
    <w:rsid w:val="00FB570B"/>
    <w:rsid w:val="00FB5736"/>
    <w:rsid w:val="00FB5EE6"/>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B4E"/>
    <w:rsid w:val="00FD2D7B"/>
    <w:rsid w:val="00FD3027"/>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5BA"/>
    <w:rsid w:val="00FE4887"/>
    <w:rsid w:val="00FE5E83"/>
    <w:rsid w:val="00FE67CF"/>
    <w:rsid w:val="00FE6D20"/>
    <w:rsid w:val="00FE6FB9"/>
    <w:rsid w:val="00FE7397"/>
    <w:rsid w:val="00FE7549"/>
    <w:rsid w:val="00FE7BCC"/>
    <w:rsid w:val="00FE7CA0"/>
    <w:rsid w:val="00FF0832"/>
    <w:rsid w:val="00FF126D"/>
    <w:rsid w:val="00FF2310"/>
    <w:rsid w:val="00FF2319"/>
    <w:rsid w:val="00FF26BC"/>
    <w:rsid w:val="00FF2E73"/>
    <w:rsid w:val="00FF34D1"/>
    <w:rsid w:val="00FF35C8"/>
    <w:rsid w:val="00FF3FE2"/>
    <w:rsid w:val="00FF47E1"/>
    <w:rsid w:val="00FF4AE2"/>
    <w:rsid w:val="00FF4BCB"/>
    <w:rsid w:val="00FF50A8"/>
    <w:rsid w:val="00FF55ED"/>
    <w:rsid w:val="00FF571E"/>
    <w:rsid w:val="00FF5BC1"/>
    <w:rsid w:val="00FF6533"/>
    <w:rsid w:val="00FF6BD1"/>
    <w:rsid w:val="00FF6CC0"/>
    <w:rsid w:val="00FF7512"/>
    <w:rsid w:val="00FF7563"/>
    <w:rsid w:val="00FF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styleId="Strong">
    <w:name w:val="Strong"/>
    <w:uiPriority w:val="22"/>
    <w:qFormat/>
    <w:rsid w:val="004969E5"/>
    <w:rPr>
      <w:b/>
      <w:bCs/>
    </w:rPr>
  </w:style>
  <w:style w:type="paragraph" w:customStyle="1" w:styleId="paragraph">
    <w:name w:val="paragraph"/>
    <w:basedOn w:val="Normal"/>
    <w:uiPriority w:val="99"/>
    <w:qFormat/>
    <w:rsid w:val="004969E5"/>
    <w:pPr>
      <w:autoSpaceDE/>
      <w:autoSpaceDN/>
      <w:adjustRightInd/>
      <w:snapToGrid/>
      <w:spacing w:before="100" w:beforeAutospacing="1" w:after="100" w:afterAutospacing="1"/>
      <w:jc w:val="left"/>
    </w:pPr>
    <w:rPr>
      <w:rFonts w:eastAsia="Times New Roman"/>
      <w:sz w:val="24"/>
      <w:szCs w:val="24"/>
      <w:lang w:val="sv-SE" w:eastAsia="zh-CN"/>
    </w:rPr>
  </w:style>
  <w:style w:type="paragraph" w:customStyle="1" w:styleId="Style1">
    <w:name w:val="Style1"/>
    <w:basedOn w:val="Normal"/>
    <w:link w:val="Style1Char"/>
    <w:qFormat/>
    <w:rsid w:val="00134B12"/>
    <w:pPr>
      <w:autoSpaceDE/>
      <w:autoSpaceDN/>
      <w:adjustRightInd/>
      <w:snapToGrid/>
      <w:spacing w:after="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34B12"/>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25829">
      <w:bodyDiv w:val="1"/>
      <w:marLeft w:val="0"/>
      <w:marRight w:val="0"/>
      <w:marTop w:val="0"/>
      <w:marBottom w:val="0"/>
      <w:divBdr>
        <w:top w:val="none" w:sz="0" w:space="0" w:color="auto"/>
        <w:left w:val="none" w:sz="0" w:space="0" w:color="auto"/>
        <w:bottom w:val="none" w:sz="0" w:space="0" w:color="auto"/>
        <w:right w:val="none" w:sz="0" w:space="0" w:color="auto"/>
      </w:divBdr>
      <w:divsChild>
        <w:div w:id="1767074659">
          <w:marLeft w:val="360"/>
          <w:marRight w:val="0"/>
          <w:marTop w:val="200"/>
          <w:marBottom w:val="0"/>
          <w:divBdr>
            <w:top w:val="none" w:sz="0" w:space="0" w:color="auto"/>
            <w:left w:val="none" w:sz="0" w:space="0" w:color="auto"/>
            <w:bottom w:val="none" w:sz="0" w:space="0" w:color="auto"/>
            <w:right w:val="none" w:sz="0" w:space="0" w:color="auto"/>
          </w:divBdr>
        </w:div>
        <w:div w:id="547910528">
          <w:marLeft w:val="1080"/>
          <w:marRight w:val="0"/>
          <w:marTop w:val="100"/>
          <w:marBottom w:val="0"/>
          <w:divBdr>
            <w:top w:val="none" w:sz="0" w:space="0" w:color="auto"/>
            <w:left w:val="none" w:sz="0" w:space="0" w:color="auto"/>
            <w:bottom w:val="none" w:sz="0" w:space="0" w:color="auto"/>
            <w:right w:val="none" w:sz="0" w:space="0" w:color="auto"/>
          </w:divBdr>
        </w:div>
        <w:div w:id="1897206937">
          <w:marLeft w:val="1800"/>
          <w:marRight w:val="0"/>
          <w:marTop w:val="100"/>
          <w:marBottom w:val="0"/>
          <w:divBdr>
            <w:top w:val="none" w:sz="0" w:space="0" w:color="auto"/>
            <w:left w:val="none" w:sz="0" w:space="0" w:color="auto"/>
            <w:bottom w:val="none" w:sz="0" w:space="0" w:color="auto"/>
            <w:right w:val="none" w:sz="0" w:space="0" w:color="auto"/>
          </w:divBdr>
        </w:div>
        <w:div w:id="1042557985">
          <w:marLeft w:val="1080"/>
          <w:marRight w:val="0"/>
          <w:marTop w:val="100"/>
          <w:marBottom w:val="0"/>
          <w:divBdr>
            <w:top w:val="none" w:sz="0" w:space="0" w:color="auto"/>
            <w:left w:val="none" w:sz="0" w:space="0" w:color="auto"/>
            <w:bottom w:val="none" w:sz="0" w:space="0" w:color="auto"/>
            <w:right w:val="none" w:sz="0" w:space="0" w:color="auto"/>
          </w:divBdr>
        </w:div>
        <w:div w:id="1863862310">
          <w:marLeft w:val="1800"/>
          <w:marRight w:val="0"/>
          <w:marTop w:val="100"/>
          <w:marBottom w:val="0"/>
          <w:divBdr>
            <w:top w:val="none" w:sz="0" w:space="0" w:color="auto"/>
            <w:left w:val="none" w:sz="0" w:space="0" w:color="auto"/>
            <w:bottom w:val="none" w:sz="0" w:space="0" w:color="auto"/>
            <w:right w:val="none" w:sz="0" w:space="0" w:color="auto"/>
          </w:divBdr>
        </w:div>
        <w:div w:id="98273545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70459">
      <w:bodyDiv w:val="1"/>
      <w:marLeft w:val="0"/>
      <w:marRight w:val="0"/>
      <w:marTop w:val="0"/>
      <w:marBottom w:val="0"/>
      <w:divBdr>
        <w:top w:val="none" w:sz="0" w:space="0" w:color="auto"/>
        <w:left w:val="none" w:sz="0" w:space="0" w:color="auto"/>
        <w:bottom w:val="none" w:sz="0" w:space="0" w:color="auto"/>
        <w:right w:val="none" w:sz="0" w:space="0" w:color="auto"/>
      </w:divBdr>
    </w:div>
    <w:div w:id="635138174">
      <w:bodyDiv w:val="1"/>
      <w:marLeft w:val="0"/>
      <w:marRight w:val="0"/>
      <w:marTop w:val="0"/>
      <w:marBottom w:val="0"/>
      <w:divBdr>
        <w:top w:val="none" w:sz="0" w:space="0" w:color="auto"/>
        <w:left w:val="none" w:sz="0" w:space="0" w:color="auto"/>
        <w:bottom w:val="none" w:sz="0" w:space="0" w:color="auto"/>
        <w:right w:val="none" w:sz="0" w:space="0" w:color="auto"/>
      </w:divBdr>
    </w:div>
    <w:div w:id="675310296">
      <w:bodyDiv w:val="1"/>
      <w:marLeft w:val="0"/>
      <w:marRight w:val="0"/>
      <w:marTop w:val="0"/>
      <w:marBottom w:val="0"/>
      <w:divBdr>
        <w:top w:val="none" w:sz="0" w:space="0" w:color="auto"/>
        <w:left w:val="none" w:sz="0" w:space="0" w:color="auto"/>
        <w:bottom w:val="none" w:sz="0" w:space="0" w:color="auto"/>
        <w:right w:val="none" w:sz="0" w:space="0" w:color="auto"/>
      </w:divBdr>
      <w:divsChild>
        <w:div w:id="1687167868">
          <w:marLeft w:val="360"/>
          <w:marRight w:val="0"/>
          <w:marTop w:val="0"/>
          <w:marBottom w:val="0"/>
          <w:divBdr>
            <w:top w:val="none" w:sz="0" w:space="0" w:color="auto"/>
            <w:left w:val="none" w:sz="0" w:space="0" w:color="auto"/>
            <w:bottom w:val="none" w:sz="0" w:space="0" w:color="auto"/>
            <w:right w:val="none" w:sz="0" w:space="0" w:color="auto"/>
          </w:divBdr>
        </w:div>
        <w:div w:id="1265457493">
          <w:marLeft w:val="1080"/>
          <w:marRight w:val="0"/>
          <w:marTop w:val="0"/>
          <w:marBottom w:val="0"/>
          <w:divBdr>
            <w:top w:val="none" w:sz="0" w:space="0" w:color="auto"/>
            <w:left w:val="none" w:sz="0" w:space="0" w:color="auto"/>
            <w:bottom w:val="none" w:sz="0" w:space="0" w:color="auto"/>
            <w:right w:val="none" w:sz="0" w:space="0" w:color="auto"/>
          </w:divBdr>
        </w:div>
        <w:div w:id="1178423228">
          <w:marLeft w:val="1800"/>
          <w:marRight w:val="0"/>
          <w:marTop w:val="0"/>
          <w:marBottom w:val="0"/>
          <w:divBdr>
            <w:top w:val="none" w:sz="0" w:space="0" w:color="auto"/>
            <w:left w:val="none" w:sz="0" w:space="0" w:color="auto"/>
            <w:bottom w:val="none" w:sz="0" w:space="0" w:color="auto"/>
            <w:right w:val="none" w:sz="0" w:space="0" w:color="auto"/>
          </w:divBdr>
        </w:div>
        <w:div w:id="179705037">
          <w:marLeft w:val="2520"/>
          <w:marRight w:val="0"/>
          <w:marTop w:val="0"/>
          <w:marBottom w:val="0"/>
          <w:divBdr>
            <w:top w:val="none" w:sz="0" w:space="0" w:color="auto"/>
            <w:left w:val="none" w:sz="0" w:space="0" w:color="auto"/>
            <w:bottom w:val="none" w:sz="0" w:space="0" w:color="auto"/>
            <w:right w:val="none" w:sz="0" w:space="0" w:color="auto"/>
          </w:divBdr>
        </w:div>
        <w:div w:id="477382770">
          <w:marLeft w:val="2520"/>
          <w:marRight w:val="0"/>
          <w:marTop w:val="0"/>
          <w:marBottom w:val="0"/>
          <w:divBdr>
            <w:top w:val="none" w:sz="0" w:space="0" w:color="auto"/>
            <w:left w:val="none" w:sz="0" w:space="0" w:color="auto"/>
            <w:bottom w:val="none" w:sz="0" w:space="0" w:color="auto"/>
            <w:right w:val="none" w:sz="0" w:space="0" w:color="auto"/>
          </w:divBdr>
        </w:div>
        <w:div w:id="654142351">
          <w:marLeft w:val="1800"/>
          <w:marRight w:val="0"/>
          <w:marTop w:val="0"/>
          <w:marBottom w:val="0"/>
          <w:divBdr>
            <w:top w:val="none" w:sz="0" w:space="0" w:color="auto"/>
            <w:left w:val="none" w:sz="0" w:space="0" w:color="auto"/>
            <w:bottom w:val="none" w:sz="0" w:space="0" w:color="auto"/>
            <w:right w:val="none" w:sz="0" w:space="0" w:color="auto"/>
          </w:divBdr>
        </w:div>
        <w:div w:id="18051089">
          <w:marLeft w:val="2520"/>
          <w:marRight w:val="0"/>
          <w:marTop w:val="0"/>
          <w:marBottom w:val="0"/>
          <w:divBdr>
            <w:top w:val="none" w:sz="0" w:space="0" w:color="auto"/>
            <w:left w:val="none" w:sz="0" w:space="0" w:color="auto"/>
            <w:bottom w:val="none" w:sz="0" w:space="0" w:color="auto"/>
            <w:right w:val="none" w:sz="0" w:space="0" w:color="auto"/>
          </w:divBdr>
        </w:div>
        <w:div w:id="345985517">
          <w:marLeft w:val="2520"/>
          <w:marRight w:val="0"/>
          <w:marTop w:val="0"/>
          <w:marBottom w:val="0"/>
          <w:divBdr>
            <w:top w:val="none" w:sz="0" w:space="0" w:color="auto"/>
            <w:left w:val="none" w:sz="0" w:space="0" w:color="auto"/>
            <w:bottom w:val="none" w:sz="0" w:space="0" w:color="auto"/>
            <w:right w:val="none" w:sz="0" w:space="0" w:color="auto"/>
          </w:divBdr>
        </w:div>
        <w:div w:id="1925256525">
          <w:marLeft w:val="360"/>
          <w:marRight w:val="0"/>
          <w:marTop w:val="0"/>
          <w:marBottom w:val="0"/>
          <w:divBdr>
            <w:top w:val="none" w:sz="0" w:space="0" w:color="auto"/>
            <w:left w:val="none" w:sz="0" w:space="0" w:color="auto"/>
            <w:bottom w:val="none" w:sz="0" w:space="0" w:color="auto"/>
            <w:right w:val="none" w:sz="0" w:space="0" w:color="auto"/>
          </w:divBdr>
        </w:div>
        <w:div w:id="1730805926">
          <w:marLeft w:val="1440"/>
          <w:marRight w:val="0"/>
          <w:marTop w:val="0"/>
          <w:marBottom w:val="0"/>
          <w:divBdr>
            <w:top w:val="none" w:sz="0" w:space="0" w:color="auto"/>
            <w:left w:val="none" w:sz="0" w:space="0" w:color="auto"/>
            <w:bottom w:val="none" w:sz="0" w:space="0" w:color="auto"/>
            <w:right w:val="none" w:sz="0" w:space="0" w:color="auto"/>
          </w:divBdr>
        </w:div>
        <w:div w:id="464005819">
          <w:marLeft w:val="1440"/>
          <w:marRight w:val="0"/>
          <w:marTop w:val="0"/>
          <w:marBottom w:val="0"/>
          <w:divBdr>
            <w:top w:val="none" w:sz="0" w:space="0" w:color="auto"/>
            <w:left w:val="none" w:sz="0" w:space="0" w:color="auto"/>
            <w:bottom w:val="none" w:sz="0" w:space="0" w:color="auto"/>
            <w:right w:val="none" w:sz="0" w:space="0" w:color="auto"/>
          </w:divBdr>
        </w:div>
        <w:div w:id="105463446">
          <w:marLeft w:val="1800"/>
          <w:marRight w:val="0"/>
          <w:marTop w:val="0"/>
          <w:marBottom w:val="0"/>
          <w:divBdr>
            <w:top w:val="none" w:sz="0" w:space="0" w:color="auto"/>
            <w:left w:val="none" w:sz="0" w:space="0" w:color="auto"/>
            <w:bottom w:val="none" w:sz="0" w:space="0" w:color="auto"/>
            <w:right w:val="none" w:sz="0" w:space="0" w:color="auto"/>
          </w:divBdr>
        </w:div>
        <w:div w:id="567231240">
          <w:marLeft w:val="1440"/>
          <w:marRight w:val="0"/>
          <w:marTop w:val="0"/>
          <w:marBottom w:val="0"/>
          <w:divBdr>
            <w:top w:val="none" w:sz="0" w:space="0" w:color="auto"/>
            <w:left w:val="none" w:sz="0" w:space="0" w:color="auto"/>
            <w:bottom w:val="none" w:sz="0" w:space="0" w:color="auto"/>
            <w:right w:val="none" w:sz="0" w:space="0" w:color="auto"/>
          </w:divBdr>
        </w:div>
        <w:div w:id="1604260194">
          <w:marLeft w:val="1800"/>
          <w:marRight w:val="0"/>
          <w:marTop w:val="0"/>
          <w:marBottom w:val="0"/>
          <w:divBdr>
            <w:top w:val="none" w:sz="0" w:space="0" w:color="auto"/>
            <w:left w:val="none" w:sz="0" w:space="0" w:color="auto"/>
            <w:bottom w:val="none" w:sz="0" w:space="0" w:color="auto"/>
            <w:right w:val="none" w:sz="0" w:space="0" w:color="auto"/>
          </w:divBdr>
        </w:div>
        <w:div w:id="909384497">
          <w:marLeft w:val="360"/>
          <w:marRight w:val="0"/>
          <w:marTop w:val="0"/>
          <w:marBottom w:val="0"/>
          <w:divBdr>
            <w:top w:val="none" w:sz="0" w:space="0" w:color="auto"/>
            <w:left w:val="none" w:sz="0" w:space="0" w:color="auto"/>
            <w:bottom w:val="none" w:sz="0" w:space="0" w:color="auto"/>
            <w:right w:val="none" w:sz="0" w:space="0" w:color="auto"/>
          </w:divBdr>
        </w:div>
      </w:divsChild>
    </w:div>
    <w:div w:id="686062148">
      <w:bodyDiv w:val="1"/>
      <w:marLeft w:val="0"/>
      <w:marRight w:val="0"/>
      <w:marTop w:val="0"/>
      <w:marBottom w:val="0"/>
      <w:divBdr>
        <w:top w:val="none" w:sz="0" w:space="0" w:color="auto"/>
        <w:left w:val="none" w:sz="0" w:space="0" w:color="auto"/>
        <w:bottom w:val="none" w:sz="0" w:space="0" w:color="auto"/>
        <w:right w:val="none" w:sz="0" w:space="0" w:color="auto"/>
      </w:divBdr>
    </w:div>
    <w:div w:id="7258329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56041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3438626">
      <w:bodyDiv w:val="1"/>
      <w:marLeft w:val="0"/>
      <w:marRight w:val="0"/>
      <w:marTop w:val="0"/>
      <w:marBottom w:val="0"/>
      <w:divBdr>
        <w:top w:val="none" w:sz="0" w:space="0" w:color="auto"/>
        <w:left w:val="none" w:sz="0" w:space="0" w:color="auto"/>
        <w:bottom w:val="none" w:sz="0" w:space="0" w:color="auto"/>
        <w:right w:val="none" w:sz="0" w:space="0" w:color="auto"/>
      </w:divBdr>
    </w:div>
    <w:div w:id="952979608">
      <w:bodyDiv w:val="1"/>
      <w:marLeft w:val="0"/>
      <w:marRight w:val="0"/>
      <w:marTop w:val="0"/>
      <w:marBottom w:val="0"/>
      <w:divBdr>
        <w:top w:val="none" w:sz="0" w:space="0" w:color="auto"/>
        <w:left w:val="none" w:sz="0" w:space="0" w:color="auto"/>
        <w:bottom w:val="none" w:sz="0" w:space="0" w:color="auto"/>
        <w:right w:val="none" w:sz="0" w:space="0" w:color="auto"/>
      </w:divBdr>
      <w:divsChild>
        <w:div w:id="1130898671">
          <w:marLeft w:val="446"/>
          <w:marRight w:val="0"/>
          <w:marTop w:val="0"/>
          <w:marBottom w:val="0"/>
          <w:divBdr>
            <w:top w:val="none" w:sz="0" w:space="0" w:color="auto"/>
            <w:left w:val="none" w:sz="0" w:space="0" w:color="auto"/>
            <w:bottom w:val="none" w:sz="0" w:space="0" w:color="auto"/>
            <w:right w:val="none" w:sz="0" w:space="0" w:color="auto"/>
          </w:divBdr>
        </w:div>
        <w:div w:id="2007777791">
          <w:marLeft w:val="446"/>
          <w:marRight w:val="0"/>
          <w:marTop w:val="0"/>
          <w:marBottom w:val="0"/>
          <w:divBdr>
            <w:top w:val="none" w:sz="0" w:space="0" w:color="auto"/>
            <w:left w:val="none" w:sz="0" w:space="0" w:color="auto"/>
            <w:bottom w:val="none" w:sz="0" w:space="0" w:color="auto"/>
            <w:right w:val="none" w:sz="0" w:space="0" w:color="auto"/>
          </w:divBdr>
        </w:div>
        <w:div w:id="622612617">
          <w:marLeft w:val="1166"/>
          <w:marRight w:val="0"/>
          <w:marTop w:val="0"/>
          <w:marBottom w:val="0"/>
          <w:divBdr>
            <w:top w:val="none" w:sz="0" w:space="0" w:color="auto"/>
            <w:left w:val="none" w:sz="0" w:space="0" w:color="auto"/>
            <w:bottom w:val="none" w:sz="0" w:space="0" w:color="auto"/>
            <w:right w:val="none" w:sz="0" w:space="0" w:color="auto"/>
          </w:divBdr>
        </w:div>
        <w:div w:id="1991903614">
          <w:marLeft w:val="1166"/>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738750">
      <w:bodyDiv w:val="1"/>
      <w:marLeft w:val="0"/>
      <w:marRight w:val="0"/>
      <w:marTop w:val="0"/>
      <w:marBottom w:val="0"/>
      <w:divBdr>
        <w:top w:val="none" w:sz="0" w:space="0" w:color="auto"/>
        <w:left w:val="none" w:sz="0" w:space="0" w:color="auto"/>
        <w:bottom w:val="none" w:sz="0" w:space="0" w:color="auto"/>
        <w:right w:val="none" w:sz="0" w:space="0" w:color="auto"/>
      </w:divBdr>
      <w:divsChild>
        <w:div w:id="1087189891">
          <w:marLeft w:val="446"/>
          <w:marRight w:val="0"/>
          <w:marTop w:val="120"/>
          <w:marBottom w:val="120"/>
          <w:divBdr>
            <w:top w:val="none" w:sz="0" w:space="0" w:color="auto"/>
            <w:left w:val="none" w:sz="0" w:space="0" w:color="auto"/>
            <w:bottom w:val="none" w:sz="0" w:space="0" w:color="auto"/>
            <w:right w:val="none" w:sz="0" w:space="0" w:color="auto"/>
          </w:divBdr>
        </w:div>
      </w:divsChild>
    </w:div>
    <w:div w:id="106865386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485586277">
      <w:bodyDiv w:val="1"/>
      <w:marLeft w:val="0"/>
      <w:marRight w:val="0"/>
      <w:marTop w:val="0"/>
      <w:marBottom w:val="0"/>
      <w:divBdr>
        <w:top w:val="none" w:sz="0" w:space="0" w:color="auto"/>
        <w:left w:val="none" w:sz="0" w:space="0" w:color="auto"/>
        <w:bottom w:val="none" w:sz="0" w:space="0" w:color="auto"/>
        <w:right w:val="none" w:sz="0" w:space="0" w:color="auto"/>
      </w:divBdr>
    </w:div>
    <w:div w:id="154876083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029885">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14494">
      <w:bodyDiv w:val="1"/>
      <w:marLeft w:val="0"/>
      <w:marRight w:val="0"/>
      <w:marTop w:val="0"/>
      <w:marBottom w:val="0"/>
      <w:divBdr>
        <w:top w:val="none" w:sz="0" w:space="0" w:color="auto"/>
        <w:left w:val="none" w:sz="0" w:space="0" w:color="auto"/>
        <w:bottom w:val="none" w:sz="0" w:space="0" w:color="auto"/>
        <w:right w:val="none" w:sz="0" w:space="0" w:color="auto"/>
      </w:divBdr>
    </w:div>
    <w:div w:id="1965844832">
      <w:bodyDiv w:val="1"/>
      <w:marLeft w:val="0"/>
      <w:marRight w:val="0"/>
      <w:marTop w:val="0"/>
      <w:marBottom w:val="0"/>
      <w:divBdr>
        <w:top w:val="none" w:sz="0" w:space="0" w:color="auto"/>
        <w:left w:val="none" w:sz="0" w:space="0" w:color="auto"/>
        <w:bottom w:val="none" w:sz="0" w:space="0" w:color="auto"/>
        <w:right w:val="none" w:sz="0" w:space="0" w:color="auto"/>
      </w:divBdr>
    </w:div>
    <w:div w:id="1985353356">
      <w:bodyDiv w:val="1"/>
      <w:marLeft w:val="0"/>
      <w:marRight w:val="0"/>
      <w:marTop w:val="0"/>
      <w:marBottom w:val="0"/>
      <w:divBdr>
        <w:top w:val="none" w:sz="0" w:space="0" w:color="auto"/>
        <w:left w:val="none" w:sz="0" w:space="0" w:color="auto"/>
        <w:bottom w:val="none" w:sz="0" w:space="0" w:color="auto"/>
        <w:right w:val="none" w:sz="0" w:space="0" w:color="auto"/>
      </w:divBdr>
    </w:div>
    <w:div w:id="2104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3759961-D183-409F-9EC8-8E09CC38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JL</cp:lastModifiedBy>
  <cp:revision>15</cp:revision>
  <cp:lastPrinted>2007-06-18T23:08:00Z</cp:lastPrinted>
  <dcterms:created xsi:type="dcterms:W3CDTF">2021-09-30T21:18:00Z</dcterms:created>
  <dcterms:modified xsi:type="dcterms:W3CDTF">2021-09-30T22:17:00Z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