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94AA8" w14:textId="4BB45A5A" w:rsidR="00F81453" w:rsidRPr="0052548E" w:rsidRDefault="00F81453" w:rsidP="00F8145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717</w:t>
      </w:r>
    </w:p>
    <w:p w14:paraId="1A81F563" w14:textId="77777777" w:rsidR="00F81453" w:rsidRPr="009513AC" w:rsidRDefault="00F81453" w:rsidP="00F814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6AF8F17" w14:textId="77777777" w:rsidR="00F81453" w:rsidRPr="0052548E" w:rsidRDefault="00F81453" w:rsidP="00F81453"/>
    <w:p w14:paraId="7EECE85F" w14:textId="57FBB45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117D52" w:rsidRPr="00117D52">
        <w:rPr>
          <w:rFonts w:ascii="Arial" w:hAnsi="Arial" w:cs="Arial"/>
          <w:b/>
          <w:bCs/>
          <w:sz w:val="22"/>
        </w:rPr>
        <w:t>R2-210892</w:t>
      </w:r>
      <w:r w:rsidR="00056B97">
        <w:rPr>
          <w:rFonts w:ascii="Arial" w:hAnsi="Arial" w:cs="Arial"/>
          <w:b/>
          <w:bCs/>
          <w:sz w:val="22"/>
        </w:rPr>
        <w:t>5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F6A31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71382">
        <w:rPr>
          <w:rFonts w:ascii="Arial" w:hAnsi="Arial" w:cs="Arial"/>
          <w:bCs/>
        </w:rPr>
        <w:t xml:space="preserve">inter-cell beam management </w:t>
      </w:r>
      <w:r w:rsidR="00310EC2">
        <w:rPr>
          <w:rFonts w:ascii="Arial" w:hAnsi="Arial" w:cs="Arial"/>
          <w:bCs/>
        </w:rPr>
        <w:t xml:space="preserve">and multi-TRP </w:t>
      </w:r>
      <w:r w:rsidR="00071382">
        <w:rPr>
          <w:rFonts w:ascii="Arial" w:hAnsi="Arial" w:cs="Arial"/>
          <w:bCs/>
        </w:rPr>
        <w:t>in Rel-17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65F3B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RAN2</w:t>
      </w:r>
    </w:p>
    <w:p w14:paraId="706E9330" w14:textId="37179F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71382">
        <w:rPr>
          <w:rFonts w:ascii="Arial" w:hAnsi="Arial" w:cs="Arial"/>
          <w:bCs/>
        </w:rPr>
        <w:t>1</w:t>
      </w:r>
    </w:p>
    <w:p w14:paraId="4EFE95BE" w14:textId="4A779D7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3D5B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4CE6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612964F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4CE6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1E968D" w14:textId="3155AA87" w:rsid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continued the discussion on inter-cell beam management </w:t>
      </w:r>
      <w:r w:rsidR="00A26CBC">
        <w:rPr>
          <w:rFonts w:ascii="Arial" w:hAnsi="Arial" w:cs="Arial"/>
          <w:lang w:val="en-US"/>
        </w:rPr>
        <w:t xml:space="preserve"> </w:t>
      </w:r>
      <w:r w:rsidR="005E2FB6">
        <w:rPr>
          <w:rFonts w:ascii="Arial" w:hAnsi="Arial" w:cs="Arial"/>
          <w:lang w:val="en-US"/>
        </w:rPr>
        <w:t xml:space="preserve"> </w:t>
      </w:r>
      <w:r w:rsidR="00A26CBC">
        <w:rPr>
          <w:rFonts w:ascii="Arial" w:hAnsi="Arial" w:cs="Arial"/>
          <w:lang w:val="en-US"/>
        </w:rPr>
        <w:t xml:space="preserve">(including </w:t>
      </w:r>
      <w:r w:rsidR="000203AF">
        <w:rPr>
          <w:rFonts w:ascii="Arial" w:hAnsi="Arial" w:cs="Arial"/>
          <w:lang w:val="en-US"/>
        </w:rPr>
        <w:t xml:space="preserve">multi-TRP </w:t>
      </w:r>
      <w:r>
        <w:rPr>
          <w:rFonts w:ascii="Arial" w:hAnsi="Arial" w:cs="Arial"/>
          <w:lang w:val="en-US"/>
        </w:rPr>
        <w:t xml:space="preserve">in the context of the Rel-17 FeMIMO WI, would like to request some clarifications on various areas to better understand the required RAN2 work. </w:t>
      </w:r>
    </w:p>
    <w:p w14:paraId="103DBF79" w14:textId="3E7BC593" w:rsid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First, RAN2 would like to note that as the term "non-serving cell" has been problematic, the following questions use </w:t>
      </w:r>
      <w:r w:rsidR="00223041">
        <w:rPr>
          <w:rFonts w:ascii="Arial" w:hAnsi="Arial" w:cs="Arial"/>
          <w:lang w:val="en-US"/>
        </w:rPr>
        <w:t>"</w:t>
      </w:r>
      <w:r w:rsidR="00223041" w:rsidRPr="00223041">
        <w:rPr>
          <w:rFonts w:ascii="Arial" w:hAnsi="Arial" w:cs="Arial"/>
          <w:b/>
          <w:bCs/>
          <w:lang w:val="en-US"/>
        </w:rPr>
        <w:t>serving cell TRP</w:t>
      </w:r>
      <w:r w:rsidR="00223041">
        <w:rPr>
          <w:rFonts w:ascii="Arial" w:hAnsi="Arial" w:cs="Arial"/>
          <w:lang w:val="en-US"/>
        </w:rPr>
        <w:t xml:space="preserve">" to denote the "legacy" TRP and </w:t>
      </w:r>
      <w:r>
        <w:rPr>
          <w:rFonts w:ascii="Arial" w:hAnsi="Arial" w:cs="Arial"/>
          <w:lang w:val="en-US"/>
        </w:rPr>
        <w:t>"</w:t>
      </w:r>
      <w:r w:rsidRPr="00223041">
        <w:rPr>
          <w:rFonts w:ascii="Arial" w:hAnsi="Arial" w:cs="Arial"/>
          <w:b/>
          <w:bCs/>
          <w:lang w:val="en-US"/>
        </w:rPr>
        <w:t xml:space="preserve">TRP </w:t>
      </w:r>
      <w:r w:rsidR="00223041" w:rsidRPr="00223041">
        <w:rPr>
          <w:rFonts w:ascii="Arial" w:hAnsi="Arial" w:cs="Arial"/>
          <w:b/>
          <w:bCs/>
          <w:lang w:val="en-US"/>
        </w:rPr>
        <w:t xml:space="preserve">with different </w:t>
      </w:r>
      <w:r w:rsidRPr="00223041">
        <w:rPr>
          <w:rFonts w:ascii="Arial" w:hAnsi="Arial" w:cs="Arial"/>
          <w:b/>
          <w:bCs/>
          <w:lang w:val="en-US"/>
        </w:rPr>
        <w:t>PCI</w:t>
      </w:r>
      <w:r>
        <w:rPr>
          <w:rFonts w:ascii="Arial" w:hAnsi="Arial" w:cs="Arial"/>
          <w:lang w:val="en-US"/>
        </w:rPr>
        <w:t xml:space="preserve">" to denote </w:t>
      </w:r>
      <w:r w:rsidR="00223041">
        <w:rPr>
          <w:rFonts w:ascii="Arial" w:hAnsi="Arial" w:cs="Arial"/>
          <w:lang w:val="en-US"/>
        </w:rPr>
        <w:t>the "non-serving cell" configured for the UE.</w:t>
      </w:r>
      <w:r w:rsidR="00915862">
        <w:rPr>
          <w:rFonts w:ascii="Arial" w:hAnsi="Arial" w:cs="Arial"/>
          <w:lang w:val="en-US"/>
        </w:rPr>
        <w:t xml:space="preserve"> </w:t>
      </w:r>
    </w:p>
    <w:p w14:paraId="442BD048" w14:textId="6D0A065D" w:rsidR="00071382" w:rsidRP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Consequently, RAN2 would request answers to the following questions:</w:t>
      </w:r>
    </w:p>
    <w:p w14:paraId="6C87E58E" w14:textId="76BA7511" w:rsidR="00DF3C5B" w:rsidRPr="00DF3C5B" w:rsidRDefault="00DF3C5B" w:rsidP="00C32408">
      <w:pPr>
        <w:pStyle w:val="Doc-text2"/>
        <w:numPr>
          <w:ilvl w:val="0"/>
          <w:numId w:val="14"/>
        </w:numPr>
      </w:pPr>
      <w:r>
        <w:t xml:space="preserve">1) </w:t>
      </w:r>
      <w:r w:rsidR="00377B01">
        <w:rPr>
          <w:b/>
          <w:bCs/>
        </w:rPr>
        <w:t>Applicability of i</w:t>
      </w:r>
      <w:r w:rsidRPr="00C32408">
        <w:rPr>
          <w:b/>
          <w:bCs/>
        </w:rPr>
        <w:t>nter-cell beam management</w:t>
      </w:r>
      <w:r w:rsidR="00F3584B">
        <w:rPr>
          <w:b/>
          <w:bCs/>
        </w:rPr>
        <w:t xml:space="preserve"> </w:t>
      </w:r>
      <w:r w:rsidR="00377B01">
        <w:rPr>
          <w:b/>
          <w:bCs/>
        </w:rPr>
        <w:t xml:space="preserve">to </w:t>
      </w:r>
      <w:r w:rsidR="00F3584B">
        <w:rPr>
          <w:b/>
          <w:bCs/>
        </w:rPr>
        <w:t>mTRP</w:t>
      </w:r>
      <w:r w:rsidRPr="00C32408">
        <w:rPr>
          <w:b/>
          <w:bCs/>
        </w:rPr>
        <w:t>:</w:t>
      </w:r>
      <w:r>
        <w:t xml:space="preserve"> RAN2 </w:t>
      </w:r>
      <w:r w:rsidR="000D5072">
        <w:t xml:space="preserve">notes </w:t>
      </w:r>
      <w:r>
        <w:t>that WI objective 1</w:t>
      </w:r>
      <w:r w:rsidR="00E62B68">
        <w:t xml:space="preserve"> </w:t>
      </w:r>
      <w:r w:rsidR="000D5072">
        <w:t xml:space="preserve">states </w:t>
      </w:r>
      <w:r>
        <w:t xml:space="preserve"> "</w:t>
      </w:r>
      <w:r w:rsidR="00C32408" w:rsidRPr="00C32408">
        <w:rPr>
          <w:i/>
          <w:iCs/>
        </w:rPr>
        <w:t xml:space="preserve"> </w:t>
      </w:r>
      <w:r w:rsidR="00C32408" w:rsidRPr="00A53AE7">
        <w:rPr>
          <w:i/>
          <w:iCs/>
        </w:rPr>
        <w:t>The same beam measurement/reporting mechanism will be reused for inter-cell mTRP</w:t>
      </w:r>
      <w:r w:rsidR="00C32408">
        <w:t xml:space="preserve"> </w:t>
      </w:r>
      <w:r>
        <w:t>").</w:t>
      </w:r>
      <w:bookmarkStart w:id="0" w:name="_Hlk81856130"/>
      <w:r w:rsidR="00C32408">
        <w:t xml:space="preserve">RAN2 would like to understand if the entire inter-cell </w:t>
      </w:r>
      <w:r w:rsidR="00E62B68">
        <w:t>BM is also</w:t>
      </w:r>
      <w:r w:rsidR="00C32408">
        <w:t xml:space="preserve"> applicable to inter-cell mTRP?</w:t>
      </w:r>
      <w:r w:rsidR="003B0A61">
        <w:t xml:space="preserve"> I</w:t>
      </w:r>
      <w:r w:rsidR="003B0A61" w:rsidRPr="003B0A61">
        <w:t>f not, which part is not applicable to mTRP</w:t>
      </w:r>
      <w:r w:rsidR="003B0A61">
        <w:t xml:space="preserve"> and how does that work</w:t>
      </w:r>
      <w:r w:rsidR="003B0A61" w:rsidRPr="003B0A61">
        <w:t>?</w:t>
      </w:r>
      <w:bookmarkEnd w:id="0"/>
    </w:p>
    <w:p w14:paraId="542B6C2B" w14:textId="77777777" w:rsidR="00E62B68" w:rsidRPr="007B5DC4" w:rsidRDefault="00E62B68" w:rsidP="007B5DC4">
      <w:pPr>
        <w:pStyle w:val="Doc-text2"/>
        <w:ind w:left="360" w:firstLine="0"/>
      </w:pPr>
    </w:p>
    <w:p w14:paraId="23F2DA06" w14:textId="4AD77183" w:rsidR="00223041" w:rsidRPr="00223041" w:rsidRDefault="00DF3C5B" w:rsidP="00071382">
      <w:pPr>
        <w:pStyle w:val="Doc-text2"/>
        <w:numPr>
          <w:ilvl w:val="0"/>
          <w:numId w:val="14"/>
        </w:numPr>
      </w:pPr>
      <w:r>
        <w:rPr>
          <w:b/>
          <w:bCs/>
        </w:rPr>
        <w:t>2</w:t>
      </w:r>
      <w:r w:rsidR="00676CB8">
        <w:rPr>
          <w:b/>
          <w:bCs/>
        </w:rPr>
        <w:t xml:space="preserve">) </w:t>
      </w:r>
      <w:r w:rsidR="00071382" w:rsidRPr="00223041">
        <w:rPr>
          <w:b/>
          <w:bCs/>
        </w:rPr>
        <w:t xml:space="preserve">Basic Tx/Rx operation with </w:t>
      </w:r>
      <w:r w:rsidR="005466ED">
        <w:rPr>
          <w:b/>
          <w:bCs/>
        </w:rPr>
        <w:t>inter-cell beam management</w:t>
      </w:r>
      <w:r w:rsidR="00071382" w:rsidRPr="00223041">
        <w:rPr>
          <w:b/>
          <w:bCs/>
        </w:rPr>
        <w:t>:</w:t>
      </w:r>
      <w:r w:rsidR="00071382">
        <w:t xml:space="preserve"> </w:t>
      </w:r>
      <w:r w:rsidR="00223041">
        <w:t xml:space="preserve">The WI states that </w:t>
      </w:r>
      <w:r w:rsidR="005466ED">
        <w:t>"</w:t>
      </w:r>
      <w:r w:rsidR="005466ED" w:rsidRPr="005466ED">
        <w:rPr>
          <w:i/>
          <w:iCs/>
          <w:lang w:eastAsia="zh-CN"/>
        </w:rPr>
        <w:t>For inter-cell beam management, a UE can transmit to or receive from only a single cell (i.e. serving cell does not change when beam selection is done)</w:t>
      </w:r>
      <w:r w:rsidR="005466ED">
        <w:t>"</w:t>
      </w:r>
      <w:r w:rsidR="008E35E6">
        <w:t>. Then, w</w:t>
      </w:r>
      <w:r w:rsidR="00071382">
        <w:t xml:space="preserve">hen </w:t>
      </w:r>
      <w:r w:rsidR="008E35E6">
        <w:t xml:space="preserve">the </w:t>
      </w:r>
      <w:r w:rsidR="00071382">
        <w:t xml:space="preserve">UE is configured </w:t>
      </w:r>
      <w:r w:rsidR="00223041">
        <w:t xml:space="preserve">to </w:t>
      </w:r>
      <w:r w:rsidR="00223041" w:rsidRPr="00223041">
        <w:t xml:space="preserve">use both </w:t>
      </w:r>
      <w:r w:rsidR="00223041" w:rsidRPr="00223041">
        <w:rPr>
          <w:i/>
          <w:iCs/>
        </w:rPr>
        <w:t>serving cell TRP</w:t>
      </w:r>
      <w:r w:rsidR="00223041" w:rsidRPr="00223041">
        <w:t xml:space="preserve"> and </w:t>
      </w:r>
      <w:r w:rsidR="00071382" w:rsidRPr="00223041">
        <w:rPr>
          <w:i/>
          <w:iCs/>
        </w:rPr>
        <w:t xml:space="preserve">TRP </w:t>
      </w:r>
      <w:r w:rsidR="00223041" w:rsidRPr="00223041">
        <w:rPr>
          <w:i/>
          <w:iCs/>
        </w:rPr>
        <w:t>with different PCI</w:t>
      </w:r>
      <w:r w:rsidR="00223041" w:rsidRPr="00223041">
        <w:t xml:space="preserve">, </w:t>
      </w:r>
      <w:r w:rsidR="009F296A">
        <w:t>RAN2 would like to understand</w:t>
      </w:r>
      <w:r w:rsidR="008964C1">
        <w:t xml:space="preserve"> the corresponding behaviour for</w:t>
      </w:r>
      <w:r w:rsidR="009F296A">
        <w:t>:</w:t>
      </w:r>
      <w:r w:rsidR="00223041">
        <w:t xml:space="preserve"> </w:t>
      </w:r>
    </w:p>
    <w:p w14:paraId="2AC1C3D6" w14:textId="30ABD639" w:rsidR="00071382" w:rsidRPr="00223041" w:rsidRDefault="00676CB8" w:rsidP="00223041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UL and DL:</w:t>
      </w:r>
      <w:r w:rsidR="00F51ABC">
        <w:t xml:space="preserve"> </w:t>
      </w:r>
      <w:r w:rsidR="00223041" w:rsidRPr="00223041">
        <w:t>Are UL and DL always processed at the same TRP or can</w:t>
      </w:r>
      <w:r w:rsidR="008E35E6">
        <w:t xml:space="preserve"> the</w:t>
      </w:r>
      <w:r w:rsidR="00223041" w:rsidRPr="00223041">
        <w:t xml:space="preserve"> UE use </w:t>
      </w:r>
      <w:r w:rsidR="00223041">
        <w:t xml:space="preserve">e.g. </w:t>
      </w:r>
      <w:r w:rsidR="00223041" w:rsidRPr="00223041">
        <w:rPr>
          <w:i/>
          <w:iCs/>
        </w:rPr>
        <w:t>serving cell TRP</w:t>
      </w:r>
      <w:r w:rsidR="00223041" w:rsidRPr="00223041">
        <w:t xml:space="preserve"> for UL </w:t>
      </w:r>
      <w:r w:rsidR="00223041">
        <w:t xml:space="preserve">transmissions </w:t>
      </w:r>
      <w:r w:rsidR="00223041" w:rsidRPr="00223041">
        <w:t xml:space="preserve">and </w:t>
      </w:r>
      <w:r w:rsidR="00223041" w:rsidRPr="00223041">
        <w:rPr>
          <w:i/>
          <w:iCs/>
        </w:rPr>
        <w:t>TRP with different PCI</w:t>
      </w:r>
      <w:r w:rsidR="00223041" w:rsidRPr="00223041">
        <w:t xml:space="preserve"> for DL</w:t>
      </w:r>
      <w:r w:rsidR="00223041">
        <w:t xml:space="preserve"> reception</w:t>
      </w:r>
      <w:r w:rsidR="008E35E6">
        <w:t xml:space="preserve"> or vice-versa</w:t>
      </w:r>
      <w:r w:rsidR="00223041" w:rsidRPr="00223041">
        <w:t>?</w:t>
      </w:r>
    </w:p>
    <w:p w14:paraId="7E707F69" w14:textId="0D86FF19" w:rsidR="00223041" w:rsidRDefault="00676CB8" w:rsidP="00223041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System information</w:t>
      </w:r>
      <w:r w:rsidR="009F296A">
        <w:rPr>
          <w:b/>
          <w:bCs/>
        </w:rPr>
        <w:t xml:space="preserve"> and </w:t>
      </w:r>
      <w:r w:rsidR="000D5072">
        <w:rPr>
          <w:b/>
          <w:bCs/>
        </w:rPr>
        <w:t xml:space="preserve">short message (e.g. </w:t>
      </w:r>
      <w:r w:rsidR="009F296A">
        <w:rPr>
          <w:b/>
          <w:bCs/>
        </w:rPr>
        <w:t>paging</w:t>
      </w:r>
      <w:r w:rsidR="000D5072">
        <w:rPr>
          <w:b/>
          <w:bCs/>
        </w:rPr>
        <w:t>)</w:t>
      </w:r>
      <w:r w:rsidR="00F51ABC" w:rsidRPr="00F51ABC">
        <w:rPr>
          <w:b/>
          <w:bCs/>
        </w:rPr>
        <w:t>:</w:t>
      </w:r>
      <w:r w:rsidR="00F51ABC">
        <w:t xml:space="preserve"> </w:t>
      </w:r>
      <w:r w:rsidR="00223041" w:rsidRPr="00223041">
        <w:t xml:space="preserve">If UE is </w:t>
      </w:r>
      <w:r w:rsidR="00DC7978">
        <w:t xml:space="preserve">receiving </w:t>
      </w:r>
      <w:r w:rsidR="00185E80">
        <w:t xml:space="preserve">DL </w:t>
      </w:r>
      <w:r w:rsidR="00C32408">
        <w:t xml:space="preserve">data </w:t>
      </w:r>
      <w:r w:rsidR="00DC7978">
        <w:t xml:space="preserve">from </w:t>
      </w:r>
      <w:r w:rsidR="00DC7978" w:rsidRPr="008964C2">
        <w:rPr>
          <w:i/>
          <w:iCs/>
        </w:rPr>
        <w:t>TRP with different PCI</w:t>
      </w:r>
      <w:r w:rsidR="00DC7978">
        <w:t xml:space="preserve"> on dedicated channels</w:t>
      </w:r>
      <w:r w:rsidR="00223041" w:rsidRPr="00223041">
        <w:t xml:space="preserve">, is </w:t>
      </w:r>
      <w:r w:rsidR="00CD2B5E">
        <w:t xml:space="preserve">the </w:t>
      </w:r>
      <w:r w:rsidR="00223041" w:rsidRPr="00223041">
        <w:t xml:space="preserve">UE still </w:t>
      </w:r>
      <w:r w:rsidR="005A35AF">
        <w:t xml:space="preserve">able </w:t>
      </w:r>
      <w:r w:rsidR="00223041" w:rsidRPr="00223041">
        <w:t xml:space="preserve">to receive </w:t>
      </w:r>
      <w:r w:rsidR="00FC66FB">
        <w:t xml:space="preserve">short message </w:t>
      </w:r>
      <w:r w:rsidR="000D5072">
        <w:t xml:space="preserve">(e.g. paging) </w:t>
      </w:r>
      <w:r w:rsidR="00FC66FB">
        <w:t xml:space="preserve">and </w:t>
      </w:r>
      <w:r w:rsidR="00223041" w:rsidRPr="00223041">
        <w:t xml:space="preserve">system information </w:t>
      </w:r>
      <w:r w:rsidR="00FC66FB">
        <w:t xml:space="preserve"> </w:t>
      </w:r>
      <w:r w:rsidR="00223041" w:rsidRPr="00223041">
        <w:t xml:space="preserve">from </w:t>
      </w:r>
      <w:r w:rsidR="00223041" w:rsidRPr="00223041">
        <w:rPr>
          <w:i/>
          <w:iCs/>
        </w:rPr>
        <w:t>serving cell TRP</w:t>
      </w:r>
      <w:r w:rsidR="00C32408">
        <w:t xml:space="preserve"> at the same time</w:t>
      </w:r>
      <w:r w:rsidR="00223041" w:rsidRPr="00223041">
        <w:t>?</w:t>
      </w:r>
    </w:p>
    <w:p w14:paraId="0BD978F0" w14:textId="34AC3D9B" w:rsidR="00DC35BC" w:rsidRDefault="00676CB8" w:rsidP="00EA73F5">
      <w:pPr>
        <w:pStyle w:val="Doc-text2"/>
        <w:numPr>
          <w:ilvl w:val="1"/>
          <w:numId w:val="14"/>
        </w:numPr>
      </w:pPr>
      <w:r>
        <w:t xml:space="preserve">c) </w:t>
      </w:r>
      <w:r w:rsidR="009F296A" w:rsidRPr="009F296A">
        <w:rPr>
          <w:b/>
          <w:bCs/>
        </w:rPr>
        <w:t>SSB reception:</w:t>
      </w:r>
      <w:r w:rsidR="009F296A">
        <w:t xml:space="preserve"> </w:t>
      </w:r>
      <w:r w:rsidR="00DC35BC">
        <w:t xml:space="preserve">is </w:t>
      </w:r>
      <w:r w:rsidR="00CD2B5E">
        <w:t xml:space="preserve">the </w:t>
      </w:r>
      <w:r w:rsidR="00223041">
        <w:t xml:space="preserve">UE </w:t>
      </w:r>
      <w:r w:rsidR="00DC35BC">
        <w:t xml:space="preserve">able to </w:t>
      </w:r>
      <w:r w:rsidR="00223041">
        <w:t xml:space="preserve">always receive CD-SSB from </w:t>
      </w:r>
      <w:r w:rsidR="00223041" w:rsidRPr="00223041">
        <w:rPr>
          <w:i/>
          <w:iCs/>
        </w:rPr>
        <w:t>serving cell TRP</w:t>
      </w:r>
      <w:r w:rsidR="00223041">
        <w:t xml:space="preserve"> </w:t>
      </w:r>
      <w:r w:rsidR="00DC35BC">
        <w:t xml:space="preserve">when needed </w:t>
      </w:r>
      <w:r w:rsidR="001A279D">
        <w:t xml:space="preserve">and is there any impact to </w:t>
      </w:r>
      <w:r w:rsidR="00223041">
        <w:t>RRM measurement</w:t>
      </w:r>
      <w:r w:rsidR="001A279D">
        <w:t>s of serving or neighbour cells</w:t>
      </w:r>
      <w:r w:rsidR="00223041">
        <w:t>?</w:t>
      </w:r>
    </w:p>
    <w:p w14:paraId="51A4C81B" w14:textId="3DEA6BE3" w:rsidR="00C32408" w:rsidRDefault="005466ED" w:rsidP="00EA73F5">
      <w:pPr>
        <w:pStyle w:val="Doc-text2"/>
        <w:numPr>
          <w:ilvl w:val="1"/>
          <w:numId w:val="14"/>
        </w:numPr>
      </w:pPr>
      <w:r w:rsidRPr="008618E8">
        <w:t xml:space="preserve">d) </w:t>
      </w:r>
      <w:r w:rsidRPr="009F296A">
        <w:rPr>
          <w:b/>
          <w:bCs/>
        </w:rPr>
        <w:t xml:space="preserve">Number of TRPs: </w:t>
      </w:r>
      <w:r>
        <w:t xml:space="preserve">Is the number of TRPs involved in the operation restricted to two (i.e. </w:t>
      </w:r>
      <w:r w:rsidRPr="005466ED">
        <w:rPr>
          <w:i/>
          <w:iCs/>
        </w:rPr>
        <w:t>serving cell TRP</w:t>
      </w:r>
      <w:r>
        <w:t xml:space="preserve"> and </w:t>
      </w:r>
      <w:r w:rsidRPr="005466ED">
        <w:rPr>
          <w:i/>
          <w:iCs/>
        </w:rPr>
        <w:t>TRP with different PCI</w:t>
      </w:r>
      <w:r>
        <w:t>?</w:t>
      </w:r>
      <w:r w:rsidR="00A20786">
        <w:t xml:space="preserve"> </w:t>
      </w:r>
      <w:r w:rsidR="000D5072">
        <w:t>Are</w:t>
      </w:r>
      <w:r w:rsidR="00A20786">
        <w:t xml:space="preserve"> there </w:t>
      </w:r>
      <w:r w:rsidR="000D5072">
        <w:t>any</w:t>
      </w:r>
      <w:r w:rsidR="00A20786">
        <w:t xml:space="preserve"> restriction</w:t>
      </w:r>
      <w:r w:rsidR="000D5072">
        <w:t>s</w:t>
      </w:r>
      <w:r w:rsidR="00A20786">
        <w:t xml:space="preserve"> on TRPs from which UE may send/receive data</w:t>
      </w:r>
      <w:r w:rsidR="000D5072">
        <w:t>,</w:t>
      </w:r>
      <w:r w:rsidR="00A20786">
        <w:t xml:space="preserve"> </w:t>
      </w:r>
      <w:r w:rsidR="000D5072">
        <w:t>or</w:t>
      </w:r>
      <w:r w:rsidR="00A20786">
        <w:t xml:space="preserve"> TRPs </w:t>
      </w:r>
      <w:r w:rsidR="000D5072">
        <w:t xml:space="preserve">from which </w:t>
      </w:r>
      <w:r w:rsidR="002C7F27">
        <w:t xml:space="preserve">the </w:t>
      </w:r>
      <w:r w:rsidR="00A20786">
        <w:t>UE is assumed to be able to make L1 measurements?</w:t>
      </w:r>
    </w:p>
    <w:p w14:paraId="6FD0057D" w14:textId="0180F763" w:rsidR="00EA73F5" w:rsidRDefault="00362170" w:rsidP="00EA73F5">
      <w:pPr>
        <w:pStyle w:val="Doc-text2"/>
        <w:numPr>
          <w:ilvl w:val="1"/>
          <w:numId w:val="14"/>
        </w:numPr>
      </w:pPr>
      <w:r w:rsidRPr="008618E8">
        <w:rPr>
          <w:rFonts w:ascii="DengXian" w:eastAsia="DengXian" w:hAnsi="DengXian"/>
          <w:lang w:eastAsia="zh-CN"/>
        </w:rPr>
        <w:t>e</w:t>
      </w:r>
      <w:r w:rsidRPr="008618E8">
        <w:t>)</w:t>
      </w:r>
      <w:r>
        <w:rPr>
          <w:b/>
          <w:bCs/>
        </w:rPr>
        <w:t xml:space="preserve"> </w:t>
      </w:r>
      <w:r w:rsidR="00F073E6">
        <w:rPr>
          <w:b/>
          <w:bCs/>
        </w:rPr>
        <w:t>PCell/</w:t>
      </w:r>
      <w:r w:rsidR="001A279D">
        <w:rPr>
          <w:b/>
          <w:bCs/>
        </w:rPr>
        <w:t>PSCell/</w:t>
      </w:r>
      <w:r w:rsidR="00F073E6">
        <w:rPr>
          <w:b/>
          <w:bCs/>
        </w:rPr>
        <w:t xml:space="preserve">SCell: </w:t>
      </w:r>
      <w:r w:rsidR="00F073E6" w:rsidRPr="008964C2">
        <w:t xml:space="preserve">Is the inter-cell beam management applicable to </w:t>
      </w:r>
      <w:r w:rsidR="006D76C3" w:rsidRPr="008964C2">
        <w:t xml:space="preserve">any serving cell (i.e. </w:t>
      </w:r>
      <w:r w:rsidR="00F073E6" w:rsidRPr="008964C2">
        <w:t>PCell/</w:t>
      </w:r>
      <w:r w:rsidR="001A279D" w:rsidRPr="008964C2">
        <w:t>PSCell/</w:t>
      </w:r>
      <w:r w:rsidR="00F073E6" w:rsidRPr="008964C2">
        <w:t>SCell</w:t>
      </w:r>
      <w:r w:rsidR="006D76C3" w:rsidRPr="008964C2">
        <w:t>)</w:t>
      </w:r>
      <w:r w:rsidR="00F073E6" w:rsidRPr="008964C2">
        <w:t>?</w:t>
      </w:r>
      <w:r w:rsidR="00EA73F5" w:rsidRPr="008A77A8">
        <w:t xml:space="preserve"> </w:t>
      </w:r>
      <w:r w:rsidR="00FC66FB">
        <w:t xml:space="preserve">That is, can intercell </w:t>
      </w:r>
      <w:r w:rsidR="00AE0560">
        <w:t>beam management</w:t>
      </w:r>
      <w:r w:rsidR="00FC66FB">
        <w:t xml:space="preserve"> or intercell mTRP be configured for SCell and/or PSCell in addition to PCell?</w:t>
      </w:r>
    </w:p>
    <w:p w14:paraId="7D239E5B" w14:textId="4B9F38AD" w:rsidR="00EA73F5" w:rsidRPr="008964C2" w:rsidRDefault="004D2FE6" w:rsidP="00EA73F5">
      <w:pPr>
        <w:pStyle w:val="Doc-text2"/>
        <w:numPr>
          <w:ilvl w:val="1"/>
          <w:numId w:val="14"/>
        </w:numPr>
        <w:rPr>
          <w:rFonts w:eastAsia="SimSun"/>
          <w:lang w:eastAsia="zh-CN"/>
        </w:rPr>
      </w:pPr>
      <w:r>
        <w:t>f</w:t>
      </w:r>
      <w:r w:rsidR="007312A3">
        <w:t xml:space="preserve">) </w:t>
      </w:r>
      <w:r w:rsidR="00CE5C17" w:rsidRPr="007B5DC4">
        <w:rPr>
          <w:b/>
          <w:bCs/>
        </w:rPr>
        <w:t>TCI switch</w:t>
      </w:r>
      <w:r w:rsidR="00661F0D">
        <w:rPr>
          <w:b/>
          <w:bCs/>
        </w:rPr>
        <w:t>ing signalling</w:t>
      </w:r>
      <w:r w:rsidR="00CE5C17" w:rsidRPr="007B5DC4">
        <w:rPr>
          <w:b/>
          <w:bCs/>
        </w:rPr>
        <w:t>:</w:t>
      </w:r>
      <w:r w:rsidR="00CE5C17">
        <w:t xml:space="preserve"> </w:t>
      </w:r>
      <w:r w:rsidR="00EA73F5">
        <w:t>Which signalling should be used for TCI switch</w:t>
      </w:r>
      <w:r w:rsidR="002C7F27">
        <w:t>ing</w:t>
      </w:r>
      <w:r w:rsidR="00EA73F5">
        <w:t xml:space="preserve"> for inter-cell </w:t>
      </w:r>
      <w:r w:rsidR="00AE0560">
        <w:t>beam management</w:t>
      </w:r>
      <w:r w:rsidR="00C32408">
        <w:t>?</w:t>
      </w:r>
    </w:p>
    <w:p w14:paraId="63FA47B3" w14:textId="765D1D76" w:rsidR="00C07BCE" w:rsidRDefault="00C32408" w:rsidP="00EA73F5">
      <w:pPr>
        <w:pStyle w:val="Doc-text2"/>
        <w:numPr>
          <w:ilvl w:val="1"/>
          <w:numId w:val="14"/>
        </w:numPr>
      </w:pPr>
      <w:r>
        <w:rPr>
          <w:rFonts w:eastAsia="SimSun"/>
          <w:lang w:eastAsia="zh-CN"/>
        </w:rPr>
        <w:lastRenderedPageBreak/>
        <w:t>h</w:t>
      </w:r>
      <w:r w:rsidR="00C07BCE">
        <w:rPr>
          <w:rFonts w:eastAsia="SimSun" w:hint="eastAsia"/>
          <w:lang w:eastAsia="zh-CN"/>
        </w:rPr>
        <w:t xml:space="preserve">) </w:t>
      </w:r>
      <w:r w:rsidR="00C07BCE" w:rsidRPr="007B5DC4">
        <w:rPr>
          <w:rFonts w:eastAsia="SimSun"/>
          <w:b/>
          <w:bCs/>
          <w:lang w:eastAsia="zh-CN"/>
        </w:rPr>
        <w:t>Simu</w:t>
      </w:r>
      <w:r w:rsidRPr="007B5DC4">
        <w:rPr>
          <w:rFonts w:eastAsia="SimSun"/>
          <w:b/>
          <w:bCs/>
          <w:lang w:eastAsia="zh-CN"/>
        </w:rPr>
        <w:t>l</w:t>
      </w:r>
      <w:r w:rsidR="00C07BCE" w:rsidRPr="007B5DC4">
        <w:rPr>
          <w:rFonts w:eastAsia="SimSun"/>
          <w:b/>
          <w:bCs/>
          <w:lang w:eastAsia="zh-CN"/>
        </w:rPr>
        <w:t>taneous Tx/Rx from and to “serving cell TRP” and “TRP with different PCI”:</w:t>
      </w:r>
      <w:r w:rsidR="00C07BCE">
        <w:rPr>
          <w:rFonts w:eastAsia="SimSun" w:hint="eastAsia"/>
          <w:lang w:eastAsia="zh-CN"/>
        </w:rPr>
        <w:t xml:space="preserve"> Is it correct understanding that such </w:t>
      </w:r>
      <w:r w:rsidR="00C07BCE">
        <w:rPr>
          <w:rFonts w:eastAsia="SimSun"/>
          <w:lang w:eastAsia="zh-CN"/>
        </w:rPr>
        <w:t>simultaneous</w:t>
      </w:r>
      <w:r w:rsidR="00C07BCE">
        <w:rPr>
          <w:rFonts w:eastAsia="SimSun" w:hint="eastAsia"/>
          <w:lang w:eastAsia="zh-CN"/>
        </w:rPr>
        <w:t xml:space="preserve"> Tx/Rx is not supported for </w:t>
      </w:r>
      <w:r w:rsidR="00C07BCE">
        <w:rPr>
          <w:rFonts w:eastAsia="SimSun"/>
          <w:lang w:eastAsia="zh-CN"/>
        </w:rPr>
        <w:t>“</w:t>
      </w:r>
      <w:r w:rsidR="00C07BCE">
        <w:rPr>
          <w:rFonts w:eastAsia="SimSun" w:hint="eastAsia"/>
          <w:lang w:eastAsia="zh-CN"/>
        </w:rPr>
        <w:t>inter-cell beam management</w:t>
      </w:r>
      <w:r w:rsidR="00C07BCE">
        <w:rPr>
          <w:rFonts w:eastAsia="SimSun"/>
          <w:lang w:eastAsia="zh-CN"/>
        </w:rPr>
        <w:t>”</w:t>
      </w:r>
      <w:r w:rsidR="00C07BCE">
        <w:rPr>
          <w:rFonts w:eastAsia="SimSun" w:hint="eastAsia"/>
          <w:lang w:eastAsia="zh-CN"/>
        </w:rPr>
        <w:t xml:space="preserve">, but is supported for </w:t>
      </w:r>
      <w:r w:rsidR="00C07BCE">
        <w:rPr>
          <w:rFonts w:eastAsia="SimSun"/>
          <w:lang w:eastAsia="zh-CN"/>
        </w:rPr>
        <w:t>“</w:t>
      </w:r>
      <w:r w:rsidR="00C07BCE">
        <w:rPr>
          <w:rFonts w:eastAsia="SimSun" w:hint="eastAsia"/>
          <w:lang w:eastAsia="zh-CN"/>
        </w:rPr>
        <w:t>inter-cell mTRP</w:t>
      </w:r>
      <w:r w:rsidR="00C07BCE">
        <w:rPr>
          <w:rFonts w:eastAsia="SimSun"/>
          <w:lang w:eastAsia="zh-CN"/>
        </w:rPr>
        <w:t>”</w:t>
      </w:r>
      <w:r w:rsidR="00C07BCE">
        <w:rPr>
          <w:rFonts w:eastAsia="SimSun" w:hint="eastAsia"/>
          <w:lang w:eastAsia="zh-CN"/>
        </w:rPr>
        <w:t xml:space="preserve">? If so, what is the difference regarding </w:t>
      </w:r>
      <w:r w:rsidR="008749FA">
        <w:rPr>
          <w:rFonts w:eastAsia="SimSun" w:hint="eastAsia"/>
          <w:lang w:eastAsia="zh-CN"/>
        </w:rPr>
        <w:t>their configuration that need</w:t>
      </w:r>
      <w:r w:rsidR="00B231B0">
        <w:rPr>
          <w:rFonts w:eastAsia="SimSun"/>
          <w:lang w:eastAsia="zh-CN"/>
        </w:rPr>
        <w:t>s</w:t>
      </w:r>
      <w:r w:rsidR="008749FA">
        <w:rPr>
          <w:rFonts w:eastAsia="SimSun" w:hint="eastAsia"/>
          <w:lang w:eastAsia="zh-CN"/>
        </w:rPr>
        <w:t xml:space="preserve"> to be introduced by RAN2?</w:t>
      </w:r>
    </w:p>
    <w:p w14:paraId="7EEF06DF" w14:textId="5A7F09DC" w:rsidR="00362170" w:rsidRPr="00223041" w:rsidRDefault="00362170" w:rsidP="00EA73F5">
      <w:pPr>
        <w:pStyle w:val="Doc-text2"/>
        <w:ind w:left="0" w:firstLine="0"/>
      </w:pPr>
    </w:p>
    <w:p w14:paraId="10EF3B7D" w14:textId="1748B048" w:rsidR="00676CB8" w:rsidRDefault="00DF3C5B" w:rsidP="00223041">
      <w:pPr>
        <w:pStyle w:val="Doc-text2"/>
        <w:numPr>
          <w:ilvl w:val="0"/>
          <w:numId w:val="14"/>
        </w:numPr>
      </w:pPr>
      <w:r>
        <w:rPr>
          <w:b/>
          <w:bCs/>
        </w:rPr>
        <w:t>3</w:t>
      </w:r>
      <w:r w:rsidR="00676CB8">
        <w:rPr>
          <w:b/>
          <w:bCs/>
        </w:rPr>
        <w:t>) MAC aspects:</w:t>
      </w:r>
      <w:r w:rsidR="00676CB8">
        <w:t xml:space="preserve"> RAN2 would like to understand the impacts to MAC operation, in particular:</w:t>
      </w:r>
    </w:p>
    <w:p w14:paraId="4E71A290" w14:textId="1E049048" w:rsidR="00676CB8" w:rsidRDefault="00676CB8" w:rsidP="00676CB8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Timing advance:</w:t>
      </w:r>
      <w:r w:rsidR="00F51ABC">
        <w:t xml:space="preserve"> </w:t>
      </w:r>
      <w:r>
        <w:t xml:space="preserve">Is it assumed that TA is the same for both </w:t>
      </w:r>
      <w:r w:rsidRPr="00676CB8">
        <w:rPr>
          <w:i/>
          <w:iCs/>
        </w:rPr>
        <w:t>serving cell TRP</w:t>
      </w:r>
      <w:r>
        <w:t xml:space="preserve"> and </w:t>
      </w:r>
      <w:r w:rsidRPr="00676CB8">
        <w:rPr>
          <w:i/>
          <w:iCs/>
        </w:rPr>
        <w:t>TRP with different PCI</w:t>
      </w:r>
      <w:r>
        <w:t xml:space="preserve">, or does UE maintain different TAs for each? </w:t>
      </w:r>
    </w:p>
    <w:p w14:paraId="19520C69" w14:textId="585E27D1" w:rsidR="00676CB8" w:rsidRDefault="00676CB8" w:rsidP="00676CB8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RACH:</w:t>
      </w:r>
      <w:r w:rsidR="00F51ABC">
        <w:t xml:space="preserve"> </w:t>
      </w:r>
      <w:r>
        <w:t xml:space="preserve">Are there any impacts to RACH operation </w:t>
      </w:r>
      <w:r w:rsidR="009F296A">
        <w:t>with inter-cell beam management</w:t>
      </w:r>
      <w:r w:rsidR="009F296A" w:rsidDel="009F296A">
        <w:t xml:space="preserve">  </w:t>
      </w:r>
      <w:r>
        <w:t>?</w:t>
      </w:r>
      <w:r w:rsidR="007B77B3">
        <w:t xml:space="preserve"> That is, is it necessary to perform RACH toward TRP with different PCI e.g. for TA, BFR, etc? </w:t>
      </w:r>
    </w:p>
    <w:p w14:paraId="10C4EE75" w14:textId="2F2A6F0B" w:rsidR="00676CB8" w:rsidRPr="00676CB8" w:rsidRDefault="00676CB8" w:rsidP="00676CB8">
      <w:pPr>
        <w:pStyle w:val="Doc-text2"/>
        <w:numPr>
          <w:ilvl w:val="1"/>
          <w:numId w:val="14"/>
        </w:numPr>
      </w:pPr>
      <w:r>
        <w:t xml:space="preserve">c) </w:t>
      </w:r>
      <w:r w:rsidR="001A279D" w:rsidRPr="001A279D">
        <w:rPr>
          <w:b/>
          <w:bCs/>
        </w:rPr>
        <w:t>UL</w:t>
      </w:r>
      <w:r w:rsidR="00406B55">
        <w:rPr>
          <w:b/>
          <w:bCs/>
        </w:rPr>
        <w:t xml:space="preserve"> </w:t>
      </w:r>
      <w:r w:rsidR="001A279D" w:rsidRPr="001A279D">
        <w:rPr>
          <w:b/>
          <w:bCs/>
        </w:rPr>
        <w:t>PC/</w:t>
      </w:r>
      <w:r w:rsidR="00F51ABC" w:rsidRPr="00F51ABC">
        <w:rPr>
          <w:b/>
          <w:bCs/>
        </w:rPr>
        <w:t>PHR:</w:t>
      </w:r>
      <w:r w:rsidR="00F51ABC">
        <w:t xml:space="preserve"> </w:t>
      </w:r>
      <w:r>
        <w:t xml:space="preserve">When UE is configured for </w:t>
      </w:r>
      <w:r w:rsidRPr="00676CB8">
        <w:rPr>
          <w:i/>
          <w:iCs/>
        </w:rPr>
        <w:t>TRP with different PCI</w:t>
      </w:r>
      <w:r>
        <w:t xml:space="preserve"> for a cell with UL, is there an impact to </w:t>
      </w:r>
      <w:r w:rsidR="001A279D">
        <w:t xml:space="preserve">UL power control or </w:t>
      </w:r>
      <w:r>
        <w:t>PHR?</w:t>
      </w:r>
    </w:p>
    <w:p w14:paraId="50D84477" w14:textId="5A9F878E" w:rsidR="00223041" w:rsidRDefault="00DF3C5B" w:rsidP="00223041">
      <w:pPr>
        <w:pStyle w:val="Doc-text2"/>
        <w:numPr>
          <w:ilvl w:val="0"/>
          <w:numId w:val="14"/>
        </w:numPr>
      </w:pPr>
      <w:r>
        <w:rPr>
          <w:b/>
          <w:bCs/>
        </w:rPr>
        <w:t>4</w:t>
      </w:r>
      <w:r w:rsidR="00676CB8">
        <w:rPr>
          <w:b/>
          <w:bCs/>
        </w:rPr>
        <w:t xml:space="preserve">) </w:t>
      </w:r>
      <w:r w:rsidR="00071382" w:rsidRPr="00071382">
        <w:rPr>
          <w:b/>
          <w:bCs/>
        </w:rPr>
        <w:t>HARQ operation:</w:t>
      </w:r>
      <w:r w:rsidR="00071382">
        <w:t xml:space="preserve"> How does the HARQ operation work with the multi-beam operation? In particular</w:t>
      </w:r>
      <w:r w:rsidR="00223041">
        <w:t>:</w:t>
      </w:r>
    </w:p>
    <w:p w14:paraId="2544C379" w14:textId="09F2C4FA" w:rsidR="00071382" w:rsidRDefault="00676CB8" w:rsidP="00223041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HARQ entity:</w:t>
      </w:r>
      <w:r w:rsidR="00F51ABC">
        <w:t xml:space="preserve"> </w:t>
      </w:r>
      <w:r w:rsidR="00223041">
        <w:t>I</w:t>
      </w:r>
      <w:r w:rsidR="00071382">
        <w:t xml:space="preserve">s there a single HARQ entity </w:t>
      </w:r>
      <w:r w:rsidR="002F3B55">
        <w:t xml:space="preserve">handling </w:t>
      </w:r>
      <w:r w:rsidR="00071382">
        <w:t xml:space="preserve">both the </w:t>
      </w:r>
      <w:r w:rsidR="00071382" w:rsidRPr="00223041">
        <w:rPr>
          <w:i/>
          <w:iCs/>
        </w:rPr>
        <w:t xml:space="preserve">serving cell </w:t>
      </w:r>
      <w:r w:rsidR="00223041" w:rsidRPr="00223041">
        <w:rPr>
          <w:i/>
          <w:iCs/>
        </w:rPr>
        <w:t>TRP</w:t>
      </w:r>
      <w:r w:rsidR="00223041">
        <w:t xml:space="preserve"> and </w:t>
      </w:r>
      <w:r w:rsidR="00223041" w:rsidRPr="00223041">
        <w:rPr>
          <w:i/>
          <w:iCs/>
        </w:rPr>
        <w:t>TRP with different PCI</w:t>
      </w:r>
      <w:r w:rsidR="00223041">
        <w:t>?</w:t>
      </w:r>
    </w:p>
    <w:p w14:paraId="75CAE0F8" w14:textId="555FAA6A" w:rsidR="00676CB8" w:rsidRDefault="00676CB8" w:rsidP="00676CB8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HARQ retransmissions:</w:t>
      </w:r>
      <w:r w:rsidR="00F51ABC">
        <w:t xml:space="preserve"> </w:t>
      </w:r>
      <w:r w:rsidR="00223041">
        <w:t>Can retransmission occur from different TRP than initial transmission</w:t>
      </w:r>
      <w:r w:rsidR="00F93164">
        <w:t xml:space="preserve"> for the same HARQ process</w:t>
      </w:r>
      <w:r w:rsidR="00223041">
        <w:t xml:space="preserve">? E.g. can initial transmission be done from </w:t>
      </w:r>
      <w:r w:rsidR="00223041" w:rsidRPr="00223041">
        <w:rPr>
          <w:i/>
          <w:iCs/>
        </w:rPr>
        <w:t>serving cell TRP</w:t>
      </w:r>
      <w:r w:rsidR="00223041">
        <w:t xml:space="preserve"> and retransmission from </w:t>
      </w:r>
      <w:r w:rsidR="00223041" w:rsidRPr="00223041">
        <w:rPr>
          <w:i/>
          <w:iCs/>
        </w:rPr>
        <w:t>TRP with different PCI</w:t>
      </w:r>
      <w:r w:rsidR="00223041">
        <w:t>?</w:t>
      </w:r>
    </w:p>
    <w:p w14:paraId="5BB7427D" w14:textId="3F522ABA" w:rsidR="00223041" w:rsidRDefault="00223041" w:rsidP="007B5DC4">
      <w:pPr>
        <w:pStyle w:val="Doc-text2"/>
        <w:ind w:left="360" w:firstLine="0"/>
      </w:pPr>
    </w:p>
    <w:p w14:paraId="32A28C52" w14:textId="4673A445" w:rsidR="00AE0560" w:rsidRDefault="00723B12" w:rsidP="005E2FB6">
      <w:pPr>
        <w:pStyle w:val="Doc-text2"/>
        <w:numPr>
          <w:ilvl w:val="0"/>
          <w:numId w:val="14"/>
        </w:numPr>
      </w:pPr>
      <w:r>
        <w:rPr>
          <w:b/>
          <w:bCs/>
        </w:rPr>
        <w:t>5</w:t>
      </w:r>
      <w:r>
        <w:rPr>
          <w:rFonts w:hint="eastAsia"/>
          <w:b/>
          <w:bCs/>
          <w:lang w:eastAsia="zh-CN"/>
        </w:rPr>
        <w:t>）</w:t>
      </w:r>
      <w:r w:rsidR="0037679B">
        <w:rPr>
          <w:rFonts w:eastAsia="SimSun"/>
          <w:b/>
          <w:bCs/>
          <w:lang w:val="en-US" w:eastAsia="zh-CN"/>
        </w:rPr>
        <w:t xml:space="preserve">Physical layer </w:t>
      </w:r>
      <w:r w:rsidR="000B3933">
        <w:rPr>
          <w:rFonts w:eastAsia="SimSun" w:hint="eastAsia"/>
          <w:b/>
          <w:bCs/>
          <w:lang w:val="en-US" w:eastAsia="zh-CN"/>
        </w:rPr>
        <w:t>configuration</w:t>
      </w:r>
      <w:r>
        <w:rPr>
          <w:b/>
          <w:bCs/>
          <w:lang w:val="en-US" w:eastAsia="zh-CN"/>
        </w:rPr>
        <w:t>:</w:t>
      </w:r>
      <w:r>
        <w:t xml:space="preserve"> </w:t>
      </w:r>
      <w:r w:rsidR="0037679B">
        <w:t>Does</w:t>
      </w:r>
      <w:r w:rsidR="005E2FB6" w:rsidRPr="005E2FB6">
        <w:t xml:space="preserve"> the </w:t>
      </w:r>
      <w:r w:rsidR="005E2FB6" w:rsidRPr="007B5DC4">
        <w:rPr>
          <w:i/>
          <w:iCs/>
        </w:rPr>
        <w:t>TRP with different PCI</w:t>
      </w:r>
      <w:r w:rsidR="005E2FB6" w:rsidRPr="005E2FB6">
        <w:t xml:space="preserve"> have an independent physical layer configuration, e.g.</w:t>
      </w:r>
      <w:r w:rsidR="005E2FB6">
        <w:t xml:space="preserve"> for</w:t>
      </w:r>
      <w:r w:rsidR="00474F0C">
        <w:t xml:space="preserve"> PUSCH/PDSCH/PDCCH/PU</w:t>
      </w:r>
      <w:r w:rsidR="00F4097C">
        <w:t>C</w:t>
      </w:r>
      <w:r w:rsidR="00474F0C">
        <w:t>CH</w:t>
      </w:r>
      <w:r w:rsidR="00F4097C">
        <w:t xml:space="preserve"> and PRACH</w:t>
      </w:r>
      <w:r w:rsidR="00AE0560">
        <w:t>?</w:t>
      </w:r>
    </w:p>
    <w:p w14:paraId="6DB08E1E" w14:textId="0E432B50" w:rsidR="00AE0560" w:rsidRPr="007B5DC4" w:rsidRDefault="00AE0560" w:rsidP="00AE0560">
      <w:pPr>
        <w:pStyle w:val="Doc-text2"/>
        <w:numPr>
          <w:ilvl w:val="1"/>
          <w:numId w:val="14"/>
        </w:numPr>
      </w:pPr>
      <w:r>
        <w:t xml:space="preserve">a) </w:t>
      </w:r>
      <w:r w:rsidRPr="007B5DC4">
        <w:rPr>
          <w:b/>
          <w:bCs/>
        </w:rPr>
        <w:t>Configuration differences:</w:t>
      </w:r>
      <w:r>
        <w:t xml:space="preserve"> D</w:t>
      </w:r>
      <w:r w:rsidR="005E2FB6" w:rsidRPr="005E2FB6">
        <w:t>oes RAN1 assume that only certain parameters can be different</w:t>
      </w:r>
      <w:r w:rsidR="00474F0C" w:rsidRPr="00474F0C">
        <w:t xml:space="preserve"> from the serving cell</w:t>
      </w:r>
      <w:r w:rsidR="005E2FB6">
        <w:t xml:space="preserve"> and if so, which ones</w:t>
      </w:r>
      <w:r w:rsidR="00474F0C" w:rsidRPr="00474F0C">
        <w:t>?</w:t>
      </w:r>
      <w:r w:rsidR="000B3933">
        <w:rPr>
          <w:rFonts w:eastAsia="SimSun" w:hint="eastAsia"/>
          <w:lang w:eastAsia="zh-CN"/>
        </w:rPr>
        <w:t xml:space="preserve"> </w:t>
      </w:r>
    </w:p>
    <w:p w14:paraId="6152CF6C" w14:textId="7F360A74" w:rsidR="00AE0560" w:rsidRDefault="00AE0560" w:rsidP="00AE0560">
      <w:pPr>
        <w:pStyle w:val="Doc-text2"/>
        <w:numPr>
          <w:ilvl w:val="1"/>
          <w:numId w:val="14"/>
        </w:numPr>
      </w:pPr>
      <w:r>
        <w:rPr>
          <w:rFonts w:eastAsia="SimSun"/>
          <w:lang w:eastAsia="zh-CN"/>
        </w:rPr>
        <w:t>b)</w:t>
      </w:r>
      <w:r w:rsidR="000B3933">
        <w:rPr>
          <w:rFonts w:eastAsia="SimSun" w:hint="eastAsia"/>
          <w:lang w:eastAsia="zh-CN"/>
        </w:rPr>
        <w:t xml:space="preserve"> </w:t>
      </w:r>
      <w:r w:rsidRPr="007B5DC4">
        <w:rPr>
          <w:rFonts w:eastAsia="SimSun"/>
          <w:b/>
          <w:bCs/>
          <w:lang w:eastAsia="zh-CN"/>
        </w:rPr>
        <w:t>Configuration of inter-cell beam management measurements and reporting:</w:t>
      </w:r>
      <w:r>
        <w:rPr>
          <w:rFonts w:eastAsia="SimSun"/>
          <w:lang w:eastAsia="zh-CN"/>
        </w:rPr>
        <w:t xml:space="preserve"> Which</w:t>
      </w:r>
      <w:r w:rsidR="000B3933">
        <w:rPr>
          <w:rFonts w:eastAsia="SimSun" w:hint="eastAsia"/>
          <w:lang w:eastAsia="zh-CN"/>
        </w:rPr>
        <w:t xml:space="preserve"> </w:t>
      </w:r>
      <w:r w:rsidR="00C32408">
        <w:rPr>
          <w:rFonts w:eastAsia="SimSun"/>
          <w:lang w:eastAsia="zh-CN"/>
        </w:rPr>
        <w:t xml:space="preserve">RRC </w:t>
      </w:r>
      <w:r w:rsidR="00CE0682">
        <w:rPr>
          <w:rFonts w:eastAsia="SimSun" w:hint="eastAsia"/>
          <w:lang w:eastAsia="zh-CN"/>
        </w:rPr>
        <w:t xml:space="preserve">configuration(s) need to be provided for </w:t>
      </w:r>
      <w:r>
        <w:rPr>
          <w:rFonts w:eastAsia="SimSun"/>
          <w:lang w:eastAsia="zh-CN"/>
        </w:rPr>
        <w:t xml:space="preserve">inter-cell </w:t>
      </w:r>
      <w:r w:rsidR="00CE0682">
        <w:rPr>
          <w:lang w:eastAsia="zh-CN"/>
        </w:rPr>
        <w:t>beam</w:t>
      </w:r>
      <w:r w:rsidR="00CE0682">
        <w:rPr>
          <w:rFonts w:eastAsia="SimSun" w:hint="eastAsia"/>
          <w:lang w:eastAsia="zh-CN"/>
        </w:rPr>
        <w:t xml:space="preserve"> </w:t>
      </w:r>
      <w:r w:rsidR="00CE0682">
        <w:rPr>
          <w:lang w:eastAsia="zh-CN"/>
        </w:rPr>
        <w:t>measurement</w:t>
      </w:r>
      <w:r w:rsidR="00CE0682">
        <w:rPr>
          <w:rFonts w:eastAsia="SimSun" w:hint="eastAsia"/>
          <w:lang w:eastAsia="zh-CN"/>
        </w:rPr>
        <w:t xml:space="preserve"> and </w:t>
      </w:r>
      <w:r w:rsidR="00CE0682" w:rsidRPr="00AE2DD1">
        <w:rPr>
          <w:lang w:eastAsia="zh-CN"/>
        </w:rPr>
        <w:t>reporting</w:t>
      </w:r>
      <w:r w:rsidR="00CE0682">
        <w:rPr>
          <w:rFonts w:eastAsia="SimSun" w:hint="eastAsia"/>
          <w:lang w:eastAsia="zh-CN"/>
        </w:rPr>
        <w:t xml:space="preserve">? </w:t>
      </w:r>
      <w:r w:rsidR="00CE0682" w:rsidRPr="00CE0682">
        <w:rPr>
          <w:rFonts w:eastAsia="SimSun"/>
          <w:lang w:eastAsia="zh-CN"/>
        </w:rPr>
        <w:t>‎</w:t>
      </w:r>
      <w:r w:rsidR="00CE0682">
        <w:rPr>
          <w:rFonts w:hint="eastAsia"/>
          <w:lang w:eastAsia="zh-CN"/>
        </w:rPr>
        <w:t xml:space="preserve"> </w:t>
      </w:r>
    </w:p>
    <w:p w14:paraId="16085035" w14:textId="1A079522" w:rsidR="00AE0560" w:rsidRDefault="00AE0560" w:rsidP="00AE0560">
      <w:pPr>
        <w:pStyle w:val="Doc-text2"/>
        <w:numPr>
          <w:ilvl w:val="1"/>
          <w:numId w:val="14"/>
        </w:numPr>
      </w:pPr>
      <w:r>
        <w:rPr>
          <w:lang w:eastAsia="zh-CN"/>
        </w:rPr>
        <w:t xml:space="preserve">c) </w:t>
      </w:r>
      <w:r w:rsidR="000D5072" w:rsidRPr="008618E8">
        <w:rPr>
          <w:b/>
          <w:bCs/>
          <w:lang w:eastAsia="zh-CN"/>
        </w:rPr>
        <w:t>Feature differences:</w:t>
      </w:r>
      <w:r w:rsidR="000D5072">
        <w:rPr>
          <w:lang w:eastAsia="zh-CN"/>
        </w:rPr>
        <w:t xml:space="preserve"> </w:t>
      </w:r>
      <w:r>
        <w:rPr>
          <w:lang w:eastAsia="zh-CN"/>
        </w:rPr>
        <w:t>A</w:t>
      </w:r>
      <w:r w:rsidR="00A20786">
        <w:rPr>
          <w:lang w:eastAsia="zh-CN"/>
        </w:rPr>
        <w:t xml:space="preserve">re the RRC parameters/configurations </w:t>
      </w:r>
      <w:r w:rsidR="00A0333D">
        <w:rPr>
          <w:lang w:eastAsia="zh-CN"/>
        </w:rPr>
        <w:t>different</w:t>
      </w:r>
      <w:r w:rsidR="00A20786">
        <w:rPr>
          <w:lang w:eastAsia="zh-CN"/>
        </w:rPr>
        <w:t xml:space="preserve"> for </w:t>
      </w:r>
      <w:r w:rsidR="00DC35BC">
        <w:rPr>
          <w:lang w:eastAsia="zh-CN"/>
        </w:rPr>
        <w:t xml:space="preserve">inter-cell </w:t>
      </w:r>
      <w:r w:rsidR="00A20786">
        <w:rPr>
          <w:lang w:eastAsia="zh-CN"/>
        </w:rPr>
        <w:t xml:space="preserve">mTRP </w:t>
      </w:r>
      <w:r w:rsidR="00A0333D">
        <w:rPr>
          <w:lang w:eastAsia="zh-CN"/>
        </w:rPr>
        <w:t>and</w:t>
      </w:r>
      <w:r w:rsidR="00A20786">
        <w:rPr>
          <w:lang w:eastAsia="zh-CN"/>
        </w:rPr>
        <w:t xml:space="preserve"> </w:t>
      </w:r>
      <w:r>
        <w:rPr>
          <w:lang w:eastAsia="zh-CN"/>
        </w:rPr>
        <w:t>inter-cell beam management</w:t>
      </w:r>
      <w:r w:rsidR="00A20786">
        <w:rPr>
          <w:lang w:eastAsia="zh-CN"/>
        </w:rPr>
        <w:t xml:space="preserve">? </w:t>
      </w:r>
    </w:p>
    <w:p w14:paraId="601596DF" w14:textId="77777777" w:rsidR="00AE2DD1" w:rsidRPr="003D3AD1" w:rsidRDefault="00AE2DD1" w:rsidP="003D3AD1">
      <w:pPr>
        <w:pStyle w:val="Doc-text2"/>
        <w:ind w:left="0" w:firstLine="0"/>
        <w:rPr>
          <w:rFonts w:eastAsia="DengXian"/>
          <w:lang w:eastAsia="zh-CN"/>
        </w:rPr>
      </w:pPr>
    </w:p>
    <w:p w14:paraId="44DB9993" w14:textId="77777777" w:rsidR="00071382" w:rsidRDefault="00071382" w:rsidP="00071382">
      <w:pPr>
        <w:pStyle w:val="EmailDiscussion2"/>
      </w:pPr>
    </w:p>
    <w:p w14:paraId="2DD94B66" w14:textId="624ED451" w:rsidR="00D8405F" w:rsidRDefault="00D8405F" w:rsidP="00D8405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</w:t>
      </w:r>
      <w:r w:rsidR="00676CB8">
        <w:rPr>
          <w:rFonts w:ascii="Arial" w:hAnsi="Arial" w:cs="Arial"/>
          <w:lang w:val="en-US"/>
        </w:rPr>
        <w:t xml:space="preserve">request RAN1 feedback </w:t>
      </w:r>
      <w:r w:rsidR="00DF3C5B">
        <w:rPr>
          <w:rFonts w:ascii="Arial" w:hAnsi="Arial" w:cs="Arial"/>
          <w:lang w:val="en-US"/>
        </w:rPr>
        <w:t>to</w:t>
      </w:r>
      <w:r w:rsidR="00F93164">
        <w:rPr>
          <w:rFonts w:ascii="Arial" w:hAnsi="Arial" w:cs="Arial"/>
          <w:lang w:val="en-US"/>
        </w:rPr>
        <w:t xml:space="preserve"> these</w:t>
      </w:r>
      <w:r w:rsidR="00DF3C5B">
        <w:rPr>
          <w:rFonts w:ascii="Arial" w:hAnsi="Arial" w:cs="Arial"/>
          <w:lang w:val="en-US"/>
        </w:rPr>
        <w:t xml:space="preserve"> questions to ensure RAN2 work completion</w:t>
      </w:r>
      <w:r w:rsidR="00F93164">
        <w:rPr>
          <w:rFonts w:ascii="Arial" w:hAnsi="Arial" w:cs="Arial"/>
          <w:lang w:val="en-US"/>
        </w:rPr>
        <w:t>.</w:t>
      </w:r>
      <w:r w:rsidR="00F93164" w:rsidDel="00F9316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BA2E4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056B9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61BB3C70" w14:textId="5BF0808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4CE6">
        <w:rPr>
          <w:rFonts w:ascii="Arial" w:hAnsi="Arial" w:cs="Arial"/>
        </w:rPr>
        <w:t>RAN</w:t>
      </w:r>
      <w:r w:rsidR="00676CB8">
        <w:rPr>
          <w:rFonts w:ascii="Arial" w:hAnsi="Arial" w:cs="Arial"/>
        </w:rPr>
        <w:t>1</w:t>
      </w:r>
      <w:r w:rsidR="00224CE6">
        <w:rPr>
          <w:rFonts w:ascii="Arial" w:hAnsi="Arial" w:cs="Arial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676CB8">
        <w:rPr>
          <w:rFonts w:ascii="Arial" w:hAnsi="Arial" w:cs="Arial"/>
        </w:rPr>
        <w:t xml:space="preserve">provide answers to the above questions </w:t>
      </w:r>
      <w:r w:rsidR="00676CB8">
        <w:rPr>
          <w:rFonts w:ascii="Arial" w:hAnsi="Arial" w:cs="Arial"/>
          <w:lang w:val="en-US"/>
        </w:rPr>
        <w:t>and indicate information on any other aspects that may impact RAN2 work</w:t>
      </w:r>
      <w:r w:rsidR="00D8405F">
        <w:rPr>
          <w:rFonts w:ascii="Arial" w:hAnsi="Arial" w:cs="Arial"/>
          <w:b/>
          <w:bCs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EAC33" w14:textId="77777777" w:rsidR="005A439E" w:rsidRDefault="005A439E">
      <w:r>
        <w:separator/>
      </w:r>
    </w:p>
  </w:endnote>
  <w:endnote w:type="continuationSeparator" w:id="0">
    <w:p w14:paraId="6F6A6E3C" w14:textId="77777777" w:rsidR="005A439E" w:rsidRDefault="005A439E">
      <w:r>
        <w:continuationSeparator/>
      </w:r>
    </w:p>
  </w:endnote>
  <w:endnote w:type="continuationNotice" w:id="1">
    <w:p w14:paraId="544B23EB" w14:textId="77777777" w:rsidR="005A439E" w:rsidRDefault="005A4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AD1C5" w14:textId="77777777" w:rsidR="005A439E" w:rsidRDefault="005A439E">
      <w:r>
        <w:separator/>
      </w:r>
    </w:p>
  </w:footnote>
  <w:footnote w:type="continuationSeparator" w:id="0">
    <w:p w14:paraId="0EA9C748" w14:textId="77777777" w:rsidR="005A439E" w:rsidRDefault="005A439E">
      <w:r>
        <w:continuationSeparator/>
      </w:r>
    </w:p>
  </w:footnote>
  <w:footnote w:type="continuationNotice" w:id="1">
    <w:p w14:paraId="41FB3177" w14:textId="77777777" w:rsidR="005A439E" w:rsidRDefault="005A43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6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203AF"/>
    <w:rsid w:val="000226F3"/>
    <w:rsid w:val="00027F74"/>
    <w:rsid w:val="0003565A"/>
    <w:rsid w:val="0003719B"/>
    <w:rsid w:val="00045511"/>
    <w:rsid w:val="00056B97"/>
    <w:rsid w:val="00071382"/>
    <w:rsid w:val="00086D22"/>
    <w:rsid w:val="000A370A"/>
    <w:rsid w:val="000B3933"/>
    <w:rsid w:val="000B7FA1"/>
    <w:rsid w:val="000C1160"/>
    <w:rsid w:val="000D113A"/>
    <w:rsid w:val="000D5072"/>
    <w:rsid w:val="000F12FD"/>
    <w:rsid w:val="000F7E59"/>
    <w:rsid w:val="00100352"/>
    <w:rsid w:val="001063EA"/>
    <w:rsid w:val="001131BD"/>
    <w:rsid w:val="00114570"/>
    <w:rsid w:val="00117D52"/>
    <w:rsid w:val="00120CFE"/>
    <w:rsid w:val="00124701"/>
    <w:rsid w:val="00126857"/>
    <w:rsid w:val="00126CCE"/>
    <w:rsid w:val="001478C3"/>
    <w:rsid w:val="001576BB"/>
    <w:rsid w:val="00157C30"/>
    <w:rsid w:val="00163412"/>
    <w:rsid w:val="00170806"/>
    <w:rsid w:val="00177DA3"/>
    <w:rsid w:val="00185E80"/>
    <w:rsid w:val="00193164"/>
    <w:rsid w:val="001A279D"/>
    <w:rsid w:val="001A7080"/>
    <w:rsid w:val="001B008D"/>
    <w:rsid w:val="001B754F"/>
    <w:rsid w:val="001D12FB"/>
    <w:rsid w:val="001D2108"/>
    <w:rsid w:val="001E13DA"/>
    <w:rsid w:val="001F173B"/>
    <w:rsid w:val="00216EF2"/>
    <w:rsid w:val="00220708"/>
    <w:rsid w:val="00222A4F"/>
    <w:rsid w:val="00223041"/>
    <w:rsid w:val="0022310E"/>
    <w:rsid w:val="00224CE6"/>
    <w:rsid w:val="00234DB7"/>
    <w:rsid w:val="0024067D"/>
    <w:rsid w:val="002428E6"/>
    <w:rsid w:val="002431E8"/>
    <w:rsid w:val="00254238"/>
    <w:rsid w:val="00261C78"/>
    <w:rsid w:val="00261C7D"/>
    <w:rsid w:val="002633C1"/>
    <w:rsid w:val="00264616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C7F27"/>
    <w:rsid w:val="002D095E"/>
    <w:rsid w:val="002F3B55"/>
    <w:rsid w:val="0030138D"/>
    <w:rsid w:val="00301999"/>
    <w:rsid w:val="003020FD"/>
    <w:rsid w:val="0030356A"/>
    <w:rsid w:val="003100EB"/>
    <w:rsid w:val="00310EC2"/>
    <w:rsid w:val="003156D6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2170"/>
    <w:rsid w:val="00362849"/>
    <w:rsid w:val="003632EE"/>
    <w:rsid w:val="00373000"/>
    <w:rsid w:val="00373701"/>
    <w:rsid w:val="0037679B"/>
    <w:rsid w:val="00377B01"/>
    <w:rsid w:val="00380437"/>
    <w:rsid w:val="003807F6"/>
    <w:rsid w:val="00385529"/>
    <w:rsid w:val="00390712"/>
    <w:rsid w:val="0039329B"/>
    <w:rsid w:val="003945F8"/>
    <w:rsid w:val="003946BE"/>
    <w:rsid w:val="003A38C1"/>
    <w:rsid w:val="003A5929"/>
    <w:rsid w:val="003B0A61"/>
    <w:rsid w:val="003B117D"/>
    <w:rsid w:val="003B7F92"/>
    <w:rsid w:val="003C3065"/>
    <w:rsid w:val="003C44A3"/>
    <w:rsid w:val="003D3AD1"/>
    <w:rsid w:val="003D4144"/>
    <w:rsid w:val="003E0EE0"/>
    <w:rsid w:val="003E52D0"/>
    <w:rsid w:val="004028F5"/>
    <w:rsid w:val="00406B55"/>
    <w:rsid w:val="004120BA"/>
    <w:rsid w:val="004123D0"/>
    <w:rsid w:val="004147C2"/>
    <w:rsid w:val="00417F6D"/>
    <w:rsid w:val="00426735"/>
    <w:rsid w:val="00430F70"/>
    <w:rsid w:val="00437F70"/>
    <w:rsid w:val="00452B0D"/>
    <w:rsid w:val="00463675"/>
    <w:rsid w:val="004725A9"/>
    <w:rsid w:val="00474F0C"/>
    <w:rsid w:val="004755F4"/>
    <w:rsid w:val="00496D50"/>
    <w:rsid w:val="004A03EC"/>
    <w:rsid w:val="004B56BB"/>
    <w:rsid w:val="004C01A3"/>
    <w:rsid w:val="004C3D8E"/>
    <w:rsid w:val="004C6071"/>
    <w:rsid w:val="004D050D"/>
    <w:rsid w:val="004D1605"/>
    <w:rsid w:val="004D2FE6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466ED"/>
    <w:rsid w:val="005514A8"/>
    <w:rsid w:val="00556448"/>
    <w:rsid w:val="00557D6F"/>
    <w:rsid w:val="00562A4E"/>
    <w:rsid w:val="0058264E"/>
    <w:rsid w:val="0058337B"/>
    <w:rsid w:val="00591547"/>
    <w:rsid w:val="005921A6"/>
    <w:rsid w:val="00594DA5"/>
    <w:rsid w:val="005A08CC"/>
    <w:rsid w:val="005A1961"/>
    <w:rsid w:val="005A35AF"/>
    <w:rsid w:val="005A439E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2FB6"/>
    <w:rsid w:val="005E5DB4"/>
    <w:rsid w:val="005F0845"/>
    <w:rsid w:val="005F7506"/>
    <w:rsid w:val="005F7637"/>
    <w:rsid w:val="006249D2"/>
    <w:rsid w:val="00627B71"/>
    <w:rsid w:val="00633743"/>
    <w:rsid w:val="00642CAC"/>
    <w:rsid w:val="006431E6"/>
    <w:rsid w:val="00661F0D"/>
    <w:rsid w:val="0066467A"/>
    <w:rsid w:val="00667F66"/>
    <w:rsid w:val="0067303B"/>
    <w:rsid w:val="00676CB8"/>
    <w:rsid w:val="006775AB"/>
    <w:rsid w:val="00687829"/>
    <w:rsid w:val="006A1918"/>
    <w:rsid w:val="006A2E30"/>
    <w:rsid w:val="006A36E9"/>
    <w:rsid w:val="006A473B"/>
    <w:rsid w:val="006A6FB2"/>
    <w:rsid w:val="006B2129"/>
    <w:rsid w:val="006D1114"/>
    <w:rsid w:val="006D5FCC"/>
    <w:rsid w:val="006D76C3"/>
    <w:rsid w:val="006E0925"/>
    <w:rsid w:val="006E53E7"/>
    <w:rsid w:val="006E66AC"/>
    <w:rsid w:val="006F5FF9"/>
    <w:rsid w:val="006F7688"/>
    <w:rsid w:val="00700F47"/>
    <w:rsid w:val="00701A2B"/>
    <w:rsid w:val="007141F1"/>
    <w:rsid w:val="00723B12"/>
    <w:rsid w:val="007261FF"/>
    <w:rsid w:val="00727DFC"/>
    <w:rsid w:val="007312A3"/>
    <w:rsid w:val="007517B5"/>
    <w:rsid w:val="0076766B"/>
    <w:rsid w:val="00771348"/>
    <w:rsid w:val="0078035C"/>
    <w:rsid w:val="007822EF"/>
    <w:rsid w:val="00787EAC"/>
    <w:rsid w:val="007971BC"/>
    <w:rsid w:val="007A671D"/>
    <w:rsid w:val="007B18A7"/>
    <w:rsid w:val="007B5DC4"/>
    <w:rsid w:val="007B77B3"/>
    <w:rsid w:val="007E720D"/>
    <w:rsid w:val="007E79B3"/>
    <w:rsid w:val="008016B4"/>
    <w:rsid w:val="00806E3A"/>
    <w:rsid w:val="008150C2"/>
    <w:rsid w:val="0084501F"/>
    <w:rsid w:val="00845F63"/>
    <w:rsid w:val="0084604E"/>
    <w:rsid w:val="00846818"/>
    <w:rsid w:val="00847CE4"/>
    <w:rsid w:val="008612CD"/>
    <w:rsid w:val="008618E8"/>
    <w:rsid w:val="00865ED7"/>
    <w:rsid w:val="00871C7A"/>
    <w:rsid w:val="008749FA"/>
    <w:rsid w:val="00876787"/>
    <w:rsid w:val="00881F64"/>
    <w:rsid w:val="008831D9"/>
    <w:rsid w:val="00883DB4"/>
    <w:rsid w:val="00892B0D"/>
    <w:rsid w:val="00894F7E"/>
    <w:rsid w:val="008964C1"/>
    <w:rsid w:val="008964C2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607D"/>
    <w:rsid w:val="00907392"/>
    <w:rsid w:val="00914D3C"/>
    <w:rsid w:val="00915862"/>
    <w:rsid w:val="00916145"/>
    <w:rsid w:val="00917FF5"/>
    <w:rsid w:val="00923E7C"/>
    <w:rsid w:val="00934D85"/>
    <w:rsid w:val="00941A45"/>
    <w:rsid w:val="00945096"/>
    <w:rsid w:val="00950DE4"/>
    <w:rsid w:val="00952417"/>
    <w:rsid w:val="00955602"/>
    <w:rsid w:val="0096221E"/>
    <w:rsid w:val="0097179C"/>
    <w:rsid w:val="009778A3"/>
    <w:rsid w:val="00977DB0"/>
    <w:rsid w:val="00984727"/>
    <w:rsid w:val="009B2EB9"/>
    <w:rsid w:val="009B3E3C"/>
    <w:rsid w:val="009B5179"/>
    <w:rsid w:val="009B5425"/>
    <w:rsid w:val="009C7046"/>
    <w:rsid w:val="009D594E"/>
    <w:rsid w:val="009D7275"/>
    <w:rsid w:val="009E0233"/>
    <w:rsid w:val="009E27E2"/>
    <w:rsid w:val="009E5C7E"/>
    <w:rsid w:val="009F296A"/>
    <w:rsid w:val="00A0333D"/>
    <w:rsid w:val="00A1282E"/>
    <w:rsid w:val="00A12ABA"/>
    <w:rsid w:val="00A1443B"/>
    <w:rsid w:val="00A151A0"/>
    <w:rsid w:val="00A15510"/>
    <w:rsid w:val="00A20786"/>
    <w:rsid w:val="00A22CCD"/>
    <w:rsid w:val="00A245CA"/>
    <w:rsid w:val="00A26CBC"/>
    <w:rsid w:val="00A30807"/>
    <w:rsid w:val="00A3255D"/>
    <w:rsid w:val="00A3454C"/>
    <w:rsid w:val="00A36A72"/>
    <w:rsid w:val="00A40236"/>
    <w:rsid w:val="00A43037"/>
    <w:rsid w:val="00A45BD7"/>
    <w:rsid w:val="00A54CCB"/>
    <w:rsid w:val="00A56D45"/>
    <w:rsid w:val="00A6412A"/>
    <w:rsid w:val="00A64F79"/>
    <w:rsid w:val="00A71915"/>
    <w:rsid w:val="00A8524C"/>
    <w:rsid w:val="00A87B43"/>
    <w:rsid w:val="00A917E3"/>
    <w:rsid w:val="00AA3789"/>
    <w:rsid w:val="00AA637B"/>
    <w:rsid w:val="00AB22E6"/>
    <w:rsid w:val="00AC248A"/>
    <w:rsid w:val="00AD35B0"/>
    <w:rsid w:val="00AD7991"/>
    <w:rsid w:val="00AE0560"/>
    <w:rsid w:val="00AE2DD1"/>
    <w:rsid w:val="00AE5661"/>
    <w:rsid w:val="00AF0950"/>
    <w:rsid w:val="00AF3D59"/>
    <w:rsid w:val="00AF3FA4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B01AC"/>
    <w:rsid w:val="00BB0CAD"/>
    <w:rsid w:val="00BB7D23"/>
    <w:rsid w:val="00BC2519"/>
    <w:rsid w:val="00BD604A"/>
    <w:rsid w:val="00BE1F84"/>
    <w:rsid w:val="00BE7CC9"/>
    <w:rsid w:val="00BF32CE"/>
    <w:rsid w:val="00BF37A7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6178C"/>
    <w:rsid w:val="00C750D8"/>
    <w:rsid w:val="00CA0491"/>
    <w:rsid w:val="00CB2DDF"/>
    <w:rsid w:val="00CC7915"/>
    <w:rsid w:val="00CD2B5E"/>
    <w:rsid w:val="00CE0682"/>
    <w:rsid w:val="00CE5C17"/>
    <w:rsid w:val="00CE5DC7"/>
    <w:rsid w:val="00CF5C1A"/>
    <w:rsid w:val="00CF669B"/>
    <w:rsid w:val="00D11EA9"/>
    <w:rsid w:val="00D12EE0"/>
    <w:rsid w:val="00D24338"/>
    <w:rsid w:val="00D269BE"/>
    <w:rsid w:val="00D40BEF"/>
    <w:rsid w:val="00D42DF3"/>
    <w:rsid w:val="00D43394"/>
    <w:rsid w:val="00D53B06"/>
    <w:rsid w:val="00D563DA"/>
    <w:rsid w:val="00D648FD"/>
    <w:rsid w:val="00D65530"/>
    <w:rsid w:val="00D74A1C"/>
    <w:rsid w:val="00D755E9"/>
    <w:rsid w:val="00D75660"/>
    <w:rsid w:val="00D76D66"/>
    <w:rsid w:val="00D77F5C"/>
    <w:rsid w:val="00D8405F"/>
    <w:rsid w:val="00D876BF"/>
    <w:rsid w:val="00DA23AC"/>
    <w:rsid w:val="00DA7691"/>
    <w:rsid w:val="00DC35BC"/>
    <w:rsid w:val="00DC6C67"/>
    <w:rsid w:val="00DC7978"/>
    <w:rsid w:val="00DF3C5B"/>
    <w:rsid w:val="00DF75D3"/>
    <w:rsid w:val="00DF7F04"/>
    <w:rsid w:val="00E22660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7017E"/>
    <w:rsid w:val="00E73827"/>
    <w:rsid w:val="00E838C0"/>
    <w:rsid w:val="00E83F3C"/>
    <w:rsid w:val="00EA73F5"/>
    <w:rsid w:val="00EB7FE2"/>
    <w:rsid w:val="00EC2503"/>
    <w:rsid w:val="00ED133C"/>
    <w:rsid w:val="00ED4B16"/>
    <w:rsid w:val="00F073E6"/>
    <w:rsid w:val="00F1130C"/>
    <w:rsid w:val="00F11820"/>
    <w:rsid w:val="00F17587"/>
    <w:rsid w:val="00F23FFC"/>
    <w:rsid w:val="00F3181D"/>
    <w:rsid w:val="00F32CDF"/>
    <w:rsid w:val="00F3584B"/>
    <w:rsid w:val="00F4097C"/>
    <w:rsid w:val="00F51ABC"/>
    <w:rsid w:val="00F534BA"/>
    <w:rsid w:val="00F54C66"/>
    <w:rsid w:val="00F54D56"/>
    <w:rsid w:val="00F565FB"/>
    <w:rsid w:val="00F81453"/>
    <w:rsid w:val="00F93164"/>
    <w:rsid w:val="00F9583D"/>
    <w:rsid w:val="00F96A9D"/>
    <w:rsid w:val="00FA7745"/>
    <w:rsid w:val="00FC164C"/>
    <w:rsid w:val="00FC66FB"/>
    <w:rsid w:val="00FD3596"/>
    <w:rsid w:val="00FE3117"/>
    <w:rsid w:val="00FE7C70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5352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MCC: CR0215</cp:lastModifiedBy>
  <cp:revision>4</cp:revision>
  <cp:lastPrinted>2002-04-23T00:10:00Z</cp:lastPrinted>
  <dcterms:created xsi:type="dcterms:W3CDTF">2021-09-07T12:27:00Z</dcterms:created>
  <dcterms:modified xsi:type="dcterms:W3CDTF">2021-09-29T13:03:00Z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