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6AB72" w14:textId="77777777" w:rsidR="000E5B94" w:rsidRDefault="00A353A5">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3E6B149" wp14:editId="43E6B14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R1-21xxxxx</w:t>
      </w:r>
    </w:p>
    <w:p w14:paraId="43E6AB73" w14:textId="77777777" w:rsidR="000E5B94" w:rsidRDefault="00A353A5">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14:paraId="43E6AB74" w14:textId="77777777" w:rsidR="000E5B94" w:rsidRDefault="000E5B94">
      <w:pPr>
        <w:pBdr>
          <w:top w:val="single" w:sz="4" w:space="1" w:color="auto"/>
        </w:pBdr>
        <w:spacing w:after="0"/>
        <w:jc w:val="left"/>
        <w:rPr>
          <w:b/>
          <w:kern w:val="2"/>
          <w:lang w:eastAsia="zh-CN"/>
        </w:rPr>
      </w:pPr>
    </w:p>
    <w:p w14:paraId="43E6AB75" w14:textId="77777777" w:rsidR="000E5B94" w:rsidRDefault="00A353A5">
      <w:pPr>
        <w:spacing w:after="60"/>
        <w:ind w:left="1555" w:hanging="1555"/>
        <w:jc w:val="left"/>
        <w:rPr>
          <w:b/>
          <w:lang w:eastAsia="zh-CN"/>
        </w:rPr>
      </w:pPr>
      <w:r>
        <w:rPr>
          <w:b/>
          <w:lang w:eastAsia="zh-CN"/>
        </w:rPr>
        <w:t>Agenda Item:</w:t>
      </w:r>
      <w:r>
        <w:rPr>
          <w:b/>
          <w:lang w:eastAsia="zh-CN"/>
        </w:rPr>
        <w:tab/>
        <w:t>8.9.1</w:t>
      </w:r>
    </w:p>
    <w:p w14:paraId="43E6AB76" w14:textId="77777777" w:rsidR="000E5B94" w:rsidRDefault="00A353A5">
      <w:pPr>
        <w:spacing w:after="60"/>
        <w:ind w:left="1555" w:hanging="1555"/>
        <w:jc w:val="left"/>
        <w:rPr>
          <w:b/>
          <w:lang w:eastAsia="zh-CN"/>
        </w:rPr>
      </w:pPr>
      <w:r>
        <w:rPr>
          <w:b/>
          <w:lang w:eastAsia="zh-CN"/>
        </w:rPr>
        <w:t>Source:</w:t>
      </w:r>
      <w:r>
        <w:rPr>
          <w:b/>
          <w:lang w:eastAsia="zh-CN"/>
        </w:rPr>
        <w:tab/>
        <w:t>Moderator (Huawei)</w:t>
      </w:r>
    </w:p>
    <w:p w14:paraId="43E6AB77" w14:textId="77777777" w:rsidR="000E5B94" w:rsidRDefault="00A353A5">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106-e-LTE-Rel17_NB_IoT_eMTC-01</w:t>
      </w:r>
    </w:p>
    <w:p w14:paraId="43E6AB78" w14:textId="77777777" w:rsidR="000E5B94" w:rsidRDefault="00A353A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3E6AB79" w14:textId="77777777" w:rsidR="000E5B94" w:rsidRDefault="000E5B94">
      <w:pPr>
        <w:pBdr>
          <w:bottom w:val="single" w:sz="4" w:space="1" w:color="auto"/>
        </w:pBdr>
        <w:spacing w:after="0"/>
        <w:jc w:val="left"/>
        <w:rPr>
          <w:b/>
          <w:sz w:val="16"/>
          <w:szCs w:val="16"/>
        </w:rPr>
      </w:pPr>
    </w:p>
    <w:p w14:paraId="43E6AB7A" w14:textId="77777777" w:rsidR="000E5B94" w:rsidRDefault="00A353A5">
      <w:pPr>
        <w:pStyle w:val="1"/>
        <w:ind w:left="431" w:hanging="431"/>
        <w:rPr>
          <w:lang w:eastAsia="zh-CN"/>
        </w:rPr>
      </w:pPr>
      <w:bookmarkStart w:id="0" w:name="_Ref129681862"/>
      <w:bookmarkStart w:id="1" w:name="_Ref124589705"/>
      <w:r>
        <w:t>Introduction</w:t>
      </w:r>
      <w:bookmarkEnd w:id="0"/>
      <w:bookmarkEnd w:id="1"/>
    </w:p>
    <w:p w14:paraId="43E6AB7B" w14:textId="77777777" w:rsidR="000E5B94" w:rsidRDefault="00A353A5">
      <w:pPr>
        <w:rPr>
          <w:lang w:eastAsia="zh-CN"/>
        </w:rPr>
      </w:pPr>
      <w:r>
        <w:rPr>
          <w:lang w:eastAsia="zh-CN"/>
        </w:rPr>
        <w:t>The WID for Rel-17 enhancements for NB-IoT and LTE-MTC [1] includes an objective to support 16-QAM for unicast in UL and DL in NB-IoT.</w:t>
      </w:r>
    </w:p>
    <w:p w14:paraId="43E6AB7C" w14:textId="77777777" w:rsidR="000E5B94" w:rsidRDefault="00A353A5">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43E6AB7D" w14:textId="77777777" w:rsidR="000E5B94" w:rsidRDefault="00A353A5">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43E6AB7E" w14:textId="77777777" w:rsidR="000E5B94" w:rsidRDefault="00A353A5">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43E6AB7F" w14:textId="77777777" w:rsidR="000E5B94" w:rsidRDefault="00A353A5">
      <w:pPr>
        <w:ind w:leftChars="200" w:left="440"/>
      </w:pPr>
      <w:r>
        <w:rPr>
          <w:highlight w:val="cyan"/>
          <w:lang w:eastAsia="zh-CN"/>
        </w:rPr>
        <w:t xml:space="preserve">[106-e-LTE-Rel17_NB_IoT_eMTC-01] Email discussion on support of 16-QAM for unicast in UL and DL for NB-IoT </w:t>
      </w:r>
      <w:r>
        <w:rPr>
          <w:highlight w:val="cyan"/>
        </w:rPr>
        <w:t>– Yubo (Huawei)</w:t>
      </w:r>
    </w:p>
    <w:p w14:paraId="56BEC7D5" w14:textId="77777777" w:rsidR="00BF2C67" w:rsidRDefault="00BF2C67" w:rsidP="00BF2C67">
      <w:pPr>
        <w:rPr>
          <w:lang w:eastAsia="zh-CN"/>
        </w:rPr>
      </w:pPr>
    </w:p>
    <w:p w14:paraId="6D973CA9" w14:textId="4DE5C3C9" w:rsidR="00BF2C67" w:rsidRDefault="00BF2C67" w:rsidP="00BF2C67">
      <w:pPr>
        <w:pStyle w:val="1"/>
        <w:rPr>
          <w:lang w:eastAsia="zh-CN"/>
        </w:rPr>
      </w:pPr>
      <w:r>
        <w:rPr>
          <w:rFonts w:hint="eastAsia"/>
          <w:lang w:eastAsia="zh-CN"/>
        </w:rPr>
        <w:t>Discussion</w:t>
      </w:r>
    </w:p>
    <w:p w14:paraId="5DFF03F2" w14:textId="77777777" w:rsidR="00BF2C67" w:rsidRDefault="00BF2C67" w:rsidP="00BF2C67">
      <w:pPr>
        <w:pStyle w:val="2"/>
        <w:rPr>
          <w:lang w:eastAsia="zh-CN"/>
        </w:rPr>
      </w:pPr>
      <w:r>
        <w:rPr>
          <w:lang w:eastAsia="zh-CN"/>
        </w:rPr>
        <w:t>Applicability</w:t>
      </w:r>
    </w:p>
    <w:p w14:paraId="1B475221" w14:textId="77777777" w:rsidR="00BF2C67" w:rsidRDefault="00BF2C67" w:rsidP="00BF2C67">
      <w:pPr>
        <w:pStyle w:val="30"/>
      </w:pPr>
      <w:r>
        <w:rPr>
          <w:lang w:eastAsia="zh-CN"/>
        </w:rPr>
        <w:t>Issue 1: Applicability</w:t>
      </w:r>
    </w:p>
    <w:p w14:paraId="1A266F18" w14:textId="77777777" w:rsidR="00BF2C67" w:rsidRDefault="00BF2C67" w:rsidP="00BF2C67">
      <w:pPr>
        <w:spacing w:line="240" w:lineRule="auto"/>
      </w:pPr>
      <w:r>
        <w:rPr>
          <w:rFonts w:hint="eastAsia"/>
        </w:rPr>
        <w:t>The following has been achieved in online discussion:</w:t>
      </w:r>
    </w:p>
    <w:p w14:paraId="4F809A8C" w14:textId="77777777" w:rsidR="00BF2C67" w:rsidRDefault="00BF2C67" w:rsidP="00BF2C67">
      <w:pPr>
        <w:ind w:leftChars="200" w:left="440"/>
        <w:rPr>
          <w:highlight w:val="green"/>
        </w:rPr>
      </w:pPr>
      <w:r>
        <w:rPr>
          <w:rFonts w:hint="eastAsia"/>
          <w:highlight w:val="green"/>
          <w:lang w:eastAsia="zh-CN"/>
        </w:rPr>
        <w:t>Agreement</w:t>
      </w:r>
      <w:r>
        <w:rPr>
          <w:highlight w:val="green"/>
        </w:rPr>
        <w:t>:</w:t>
      </w:r>
    </w:p>
    <w:p w14:paraId="13B5DADB" w14:textId="77777777" w:rsidR="00BF2C67" w:rsidRDefault="00BF2C67" w:rsidP="00BF2C67">
      <w:pPr>
        <w:ind w:leftChars="200" w:left="440"/>
        <w:rPr>
          <w:highlight w:val="cyan"/>
          <w:lang w:eastAsia="zh-CN"/>
        </w:rPr>
      </w:pPr>
      <w:r>
        <w:t>Confirm the following working assumption:</w:t>
      </w:r>
    </w:p>
    <w:p w14:paraId="4299CFE9" w14:textId="77777777" w:rsidR="00BF2C67" w:rsidRDefault="00BF2C67" w:rsidP="00BF2C67">
      <w:pPr>
        <w:numPr>
          <w:ilvl w:val="0"/>
          <w:numId w:val="12"/>
        </w:numPr>
        <w:autoSpaceDE/>
        <w:autoSpaceDN/>
        <w:adjustRightInd/>
        <w:snapToGrid/>
        <w:spacing w:after="0" w:line="240" w:lineRule="auto"/>
        <w:ind w:leftChars="364" w:left="1161"/>
        <w:jc w:val="left"/>
      </w:pPr>
      <w:r>
        <w:t>Working Assumption</w:t>
      </w:r>
    </w:p>
    <w:p w14:paraId="21C9FB02" w14:textId="77777777" w:rsidR="00BF2C67" w:rsidRDefault="00BF2C67" w:rsidP="00BF2C67">
      <w:pPr>
        <w:numPr>
          <w:ilvl w:val="1"/>
          <w:numId w:val="12"/>
        </w:numPr>
        <w:autoSpaceDE/>
        <w:autoSpaceDN/>
        <w:adjustRightInd/>
        <w:snapToGrid/>
        <w:spacing w:after="0" w:line="240" w:lineRule="auto"/>
        <w:ind w:leftChars="691" w:left="1880"/>
        <w:jc w:val="left"/>
        <w:rPr>
          <w:rFonts w:eastAsia="Batang" w:cs="Times"/>
        </w:rPr>
      </w:pPr>
      <w:r>
        <w:rPr>
          <w:rFonts w:eastAsia="Batang" w:cs="Times"/>
        </w:rPr>
        <w:t>Support 16-QAM for NPUSCH in PUR procedure.</w:t>
      </w:r>
    </w:p>
    <w:p w14:paraId="5CAF3BA4" w14:textId="77777777" w:rsidR="00BF2C67" w:rsidRDefault="00BF2C67" w:rsidP="00BF2C67">
      <w:pPr>
        <w:spacing w:line="240" w:lineRule="auto"/>
      </w:pPr>
    </w:p>
    <w:p w14:paraId="498FDA18" w14:textId="0408F0A0" w:rsidR="00BF2C67" w:rsidRDefault="00BB7700" w:rsidP="00BF2C67">
      <w:pPr>
        <w:spacing w:before="120" w:line="240" w:lineRule="auto"/>
        <w:rPr>
          <w:lang w:val="en-GB"/>
        </w:rPr>
      </w:pPr>
      <w:r>
        <w:rPr>
          <w:lang w:val="en-GB"/>
        </w:rPr>
        <w:t xml:space="preserve">For proposal 1, </w:t>
      </w:r>
    </w:p>
    <w:p w14:paraId="7023C57B" w14:textId="4CA62959" w:rsidR="00953E69" w:rsidRDefault="00953E69" w:rsidP="00BF2C67">
      <w:pPr>
        <w:spacing w:before="120" w:line="240" w:lineRule="auto"/>
        <w:rPr>
          <w:lang w:val="en-GB"/>
        </w:rPr>
      </w:pPr>
      <w:r>
        <w:rPr>
          <w:lang w:val="en-GB"/>
        </w:rPr>
        <w:t>@Ericsson, regarding the comments “</w:t>
      </w:r>
      <w:r w:rsidRPr="00953E69">
        <w:rPr>
          <w:lang w:val="en-GB"/>
        </w:rPr>
        <w:t>such as data-to-pilot power ratios, and MCS ranges</w:t>
      </w:r>
      <w:r>
        <w:rPr>
          <w:lang w:val="en-GB"/>
        </w:rPr>
        <w:t xml:space="preserve">”, the data-to-pilot power ratios has been added in the proposal, however MCS range is not needed as NPDSCH in PUR is dynamically scheduled. </w:t>
      </w:r>
      <w:r w:rsidRPr="00953E69">
        <w:rPr>
          <w:lang w:val="en-GB"/>
        </w:rPr>
        <w:t>“Two new optional IEs for DL and UL 16QAM are introduced in the PUR configuration”</w:t>
      </w:r>
      <w:r>
        <w:rPr>
          <w:lang w:val="en-GB"/>
        </w:rPr>
        <w:t xml:space="preserve">, not sure what “new optional IEs” mean, is it the enabler of 16-QAM? </w:t>
      </w:r>
    </w:p>
    <w:p w14:paraId="1D8D2A3A" w14:textId="5CAC4F73" w:rsidR="00145F55" w:rsidRDefault="00145F55" w:rsidP="00BF2C67">
      <w:pPr>
        <w:spacing w:before="120" w:line="240" w:lineRule="auto"/>
        <w:rPr>
          <w:lang w:val="en-GB"/>
        </w:rPr>
      </w:pPr>
      <w:r>
        <w:rPr>
          <w:lang w:val="en-GB"/>
        </w:rPr>
        <w:t>@Nokia, @ZTE, it seems reasonable to me to leave the details to RAN2.</w:t>
      </w:r>
    </w:p>
    <w:p w14:paraId="2613B24F" w14:textId="52BB3CC0" w:rsidR="00145F55" w:rsidRDefault="00145F55" w:rsidP="00BF2C67">
      <w:pPr>
        <w:spacing w:before="120" w:line="240" w:lineRule="auto"/>
        <w:rPr>
          <w:lang w:val="en-GB"/>
        </w:rPr>
      </w:pPr>
      <w:r>
        <w:rPr>
          <w:lang w:val="en-GB"/>
        </w:rPr>
        <w:t>The proposal are updated as below:</w:t>
      </w:r>
    </w:p>
    <w:p w14:paraId="2EAEAA8E" w14:textId="77777777" w:rsidR="00BF2C67" w:rsidRDefault="00BF2C67" w:rsidP="00BF2C67">
      <w:pPr>
        <w:pStyle w:val="a6"/>
        <w:jc w:val="left"/>
        <w:rPr>
          <w:sz w:val="22"/>
        </w:rPr>
      </w:pPr>
      <w:r>
        <w:rPr>
          <w:sz w:val="22"/>
        </w:rPr>
        <w:t>Proposal</w:t>
      </w:r>
      <w:r>
        <w:t xml:space="preserve"> 1</w:t>
      </w:r>
      <w:r>
        <w:rPr>
          <w:sz w:val="22"/>
        </w:rPr>
        <w:t>: Support 16-QAM for NPDSCH in PUR procedure</w:t>
      </w:r>
    </w:p>
    <w:p w14:paraId="7DD1C946" w14:textId="77777777" w:rsidR="00BF2C67" w:rsidRDefault="00BF2C67" w:rsidP="00BF2C67">
      <w:pPr>
        <w:pStyle w:val="a6"/>
        <w:numPr>
          <w:ilvl w:val="0"/>
          <w:numId w:val="13"/>
        </w:numPr>
        <w:jc w:val="left"/>
        <w:rPr>
          <w:sz w:val="22"/>
        </w:rPr>
      </w:pPr>
      <w:r>
        <w:rPr>
          <w:sz w:val="22"/>
        </w:rPr>
        <w:lastRenderedPageBreak/>
        <w:t>CSI report is not supported/expected during PUR procedure</w:t>
      </w:r>
    </w:p>
    <w:p w14:paraId="337646FB" w14:textId="1CA3B77E" w:rsidR="00E925DC" w:rsidRDefault="00E925DC" w:rsidP="00BF2C67">
      <w:pPr>
        <w:spacing w:line="240" w:lineRule="auto"/>
      </w:pPr>
    </w:p>
    <w:p w14:paraId="54C45DE9" w14:textId="1492B3D3" w:rsidR="00BF2C67" w:rsidRDefault="00BF2C67" w:rsidP="00BF2C67">
      <w:pPr>
        <w:spacing w:after="0" w:line="240" w:lineRule="auto"/>
        <w:rPr>
          <w:b/>
        </w:rPr>
      </w:pPr>
      <w:r>
        <w:rPr>
          <w:b/>
        </w:rPr>
        <w:t xml:space="preserve">Proposal 2: To support 16-QAM for </w:t>
      </w:r>
      <w:r w:rsidR="00E4583D">
        <w:rPr>
          <w:b/>
        </w:rPr>
        <w:t xml:space="preserve">NPDSCH and </w:t>
      </w:r>
      <w:r>
        <w:rPr>
          <w:b/>
        </w:rPr>
        <w:t>NPUSCH in PUR procedure,</w:t>
      </w:r>
    </w:p>
    <w:p w14:paraId="0C5383AC" w14:textId="43A9D524" w:rsidR="00BF2C67" w:rsidRDefault="00027D03" w:rsidP="00BF2C67">
      <w:pPr>
        <w:pStyle w:val="af7"/>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b/>
          <w:sz w:val="22"/>
          <w:szCs w:val="22"/>
        </w:rPr>
        <w:t xml:space="preserve">16-QAM can be enabled/disabled by UE specific RRC signaling </w:t>
      </w:r>
      <w:r>
        <w:rPr>
          <w:rFonts w:ascii="Times New Roman" w:hAnsi="Times New Roman" w:cs="Times New Roman"/>
          <w:b/>
          <w:sz w:val="22"/>
          <w:szCs w:val="22"/>
        </w:rPr>
        <w:t>for NPDSCH and NPUSCH</w:t>
      </w:r>
      <w:r>
        <w:rPr>
          <w:rFonts w:ascii="Times New Roman" w:hAnsi="Times New Roman" w:cs="Times New Roman"/>
          <w:b/>
          <w:sz w:val="22"/>
          <w:szCs w:val="22"/>
        </w:rPr>
        <w:t xml:space="preserve"> separately</w:t>
      </w:r>
    </w:p>
    <w:p w14:paraId="7AEF10A8" w14:textId="237651B0" w:rsidR="00BF2C67" w:rsidRDefault="00BF2C67" w:rsidP="002B35E1">
      <w:pPr>
        <w:pStyle w:val="af7"/>
        <w:numPr>
          <w:ilvl w:val="1"/>
          <w:numId w:val="14"/>
        </w:numPr>
        <w:spacing w:after="120" w:line="240" w:lineRule="auto"/>
        <w:rPr>
          <w:rFonts w:ascii="Times New Roman" w:eastAsia="Times New Roman" w:hAnsi="Times New Roman" w:cs="Times New Roman"/>
          <w:b/>
          <w:sz w:val="22"/>
          <w:szCs w:val="20"/>
        </w:rPr>
      </w:pPr>
      <w:r>
        <w:rPr>
          <w:rFonts w:ascii="Times New Roman" w:eastAsia="Times New Roman" w:hAnsi="Times New Roman" w:cs="Times New Roman"/>
          <w:b/>
          <w:sz w:val="22"/>
          <w:szCs w:val="20"/>
        </w:rPr>
        <w:t>When 16-QAM is enabled</w:t>
      </w:r>
      <w:r w:rsidR="002B35E1">
        <w:rPr>
          <w:rFonts w:ascii="Times New Roman" w:eastAsia="Times New Roman" w:hAnsi="Times New Roman" w:cs="Times New Roman"/>
          <w:b/>
          <w:sz w:val="22"/>
          <w:szCs w:val="20"/>
        </w:rPr>
        <w:t xml:space="preserve"> for NPUSCH</w:t>
      </w:r>
      <w:r>
        <w:rPr>
          <w:rFonts w:ascii="Times New Roman" w:eastAsia="Times New Roman" w:hAnsi="Times New Roman" w:cs="Times New Roman"/>
          <w:b/>
          <w:sz w:val="22"/>
          <w:szCs w:val="20"/>
        </w:rPr>
        <w:t xml:space="preserve">, </w:t>
      </w:r>
      <w:r w:rsidR="002B35E1" w:rsidRPr="002B35E1">
        <w:rPr>
          <w:rFonts w:ascii="Times New Roman" w:eastAsia="Times New Roman" w:hAnsi="Times New Roman" w:cs="Times New Roman" w:hint="eastAsia"/>
          <w:b/>
          <w:sz w:val="22"/>
          <w:szCs w:val="20"/>
        </w:rPr>
        <w:t>TBS for PUR can be indicated by UE specific RRC signalling</w:t>
      </w:r>
      <w:r>
        <w:rPr>
          <w:rFonts w:ascii="Times New Roman" w:eastAsia="Times New Roman" w:hAnsi="Times New Roman" w:cs="Times New Roman"/>
          <w:b/>
          <w:sz w:val="22"/>
          <w:szCs w:val="20"/>
        </w:rPr>
        <w:t>.</w:t>
      </w:r>
    </w:p>
    <w:p w14:paraId="291CD411" w14:textId="397E01D9" w:rsidR="002B35E1" w:rsidRPr="002B35E1" w:rsidRDefault="002B35E1" w:rsidP="002B35E1">
      <w:pPr>
        <w:pStyle w:val="af7"/>
        <w:numPr>
          <w:ilvl w:val="1"/>
          <w:numId w:val="14"/>
        </w:numPr>
        <w:spacing w:after="120" w:line="240" w:lineRule="auto"/>
        <w:rPr>
          <w:rFonts w:ascii="Times New Roman" w:eastAsia="Times New Roman" w:hAnsi="Times New Roman" w:cs="Times New Roman"/>
          <w:b/>
          <w:sz w:val="22"/>
          <w:szCs w:val="20"/>
        </w:rPr>
      </w:pPr>
      <w:r>
        <w:rPr>
          <w:rFonts w:ascii="Times New Roman" w:eastAsia="Times New Roman" w:hAnsi="Times New Roman" w:cs="Times New Roman"/>
          <w:b/>
          <w:sz w:val="22"/>
          <w:szCs w:val="20"/>
        </w:rPr>
        <w:t>When 16-QAM is enabled for NPDSCH,</w:t>
      </w:r>
      <w:r w:rsidRPr="002B35E1">
        <w:rPr>
          <w:rFonts w:ascii="Times New Roman" w:eastAsia="Times New Roman" w:hAnsi="Times New Roman" w:cs="Times New Roman"/>
          <w:b/>
          <w:sz w:val="22"/>
          <w:szCs w:val="20"/>
        </w:rPr>
        <w:t xml:space="preserve"> The power ratios between NRS and NPDSCH</w:t>
      </w:r>
      <w:r>
        <w:rPr>
          <w:rFonts w:ascii="Times New Roman" w:eastAsia="Times New Roman" w:hAnsi="Times New Roman" w:cs="Times New Roman"/>
          <w:b/>
          <w:sz w:val="22"/>
          <w:szCs w:val="20"/>
        </w:rPr>
        <w:t xml:space="preserve"> is indicated by UE specific RRC signaling</w:t>
      </w:r>
    </w:p>
    <w:p w14:paraId="405EFF8F" w14:textId="77777777" w:rsidR="00BF2C67" w:rsidRDefault="00BF2C67" w:rsidP="00BF2C67">
      <w:pPr>
        <w:spacing w:line="240" w:lineRule="auto"/>
      </w:pPr>
      <w:r>
        <w:rPr>
          <w:rFonts w:hint="eastAsia"/>
        </w:rPr>
        <w:t xml:space="preserve">Please input your comments </w:t>
      </w:r>
      <w:r>
        <w:t>on the above proposals</w:t>
      </w:r>
      <w:r>
        <w:rPr>
          <w:rFonts w:hint="eastAsia"/>
        </w:rPr>
        <w:t>:</w:t>
      </w:r>
    </w:p>
    <w:tbl>
      <w:tblPr>
        <w:tblStyle w:val="af1"/>
        <w:tblW w:w="0" w:type="auto"/>
        <w:tblLook w:val="04A0" w:firstRow="1" w:lastRow="0" w:firstColumn="1" w:lastColumn="0" w:noHBand="0" w:noVBand="1"/>
      </w:tblPr>
      <w:tblGrid>
        <w:gridCol w:w="1838"/>
        <w:gridCol w:w="7469"/>
      </w:tblGrid>
      <w:tr w:rsidR="00BF2C67" w14:paraId="191D97D8" w14:textId="77777777" w:rsidTr="009177B2">
        <w:tc>
          <w:tcPr>
            <w:tcW w:w="1838" w:type="dxa"/>
          </w:tcPr>
          <w:p w14:paraId="177ED49D" w14:textId="77777777" w:rsidR="00BF2C67" w:rsidRDefault="00BF2C67" w:rsidP="009177B2">
            <w:pPr>
              <w:rPr>
                <w:szCs w:val="20"/>
              </w:rPr>
            </w:pPr>
            <w:r>
              <w:rPr>
                <w:rFonts w:hint="eastAsia"/>
                <w:szCs w:val="20"/>
              </w:rPr>
              <w:t>Comp</w:t>
            </w:r>
            <w:r>
              <w:rPr>
                <w:szCs w:val="20"/>
              </w:rPr>
              <w:t>anies</w:t>
            </w:r>
          </w:p>
        </w:tc>
        <w:tc>
          <w:tcPr>
            <w:tcW w:w="7469" w:type="dxa"/>
          </w:tcPr>
          <w:p w14:paraId="77AF3F55" w14:textId="77777777" w:rsidR="00BF2C67" w:rsidRDefault="00BF2C67" w:rsidP="009177B2">
            <w:pPr>
              <w:rPr>
                <w:szCs w:val="20"/>
              </w:rPr>
            </w:pPr>
            <w:r>
              <w:rPr>
                <w:rFonts w:hint="eastAsia"/>
                <w:szCs w:val="20"/>
              </w:rPr>
              <w:t>Comments</w:t>
            </w:r>
          </w:p>
        </w:tc>
      </w:tr>
      <w:tr w:rsidR="00BF2C67" w14:paraId="1247DA25" w14:textId="77777777" w:rsidTr="009177B2">
        <w:tc>
          <w:tcPr>
            <w:tcW w:w="1838" w:type="dxa"/>
          </w:tcPr>
          <w:p w14:paraId="1F56E59B" w14:textId="25A43DE6" w:rsidR="00BF2C67" w:rsidRDefault="00BF2C67" w:rsidP="009177B2">
            <w:pPr>
              <w:rPr>
                <w:sz w:val="20"/>
                <w:szCs w:val="20"/>
              </w:rPr>
            </w:pPr>
          </w:p>
        </w:tc>
        <w:tc>
          <w:tcPr>
            <w:tcW w:w="7469" w:type="dxa"/>
          </w:tcPr>
          <w:p w14:paraId="5636E04D" w14:textId="77777777" w:rsidR="00BF2C67" w:rsidRDefault="00BF2C67" w:rsidP="009177B2">
            <w:pPr>
              <w:pStyle w:val="af7"/>
              <w:rPr>
                <w:rFonts w:ascii="Times New Roman" w:hAnsi="Times New Roman" w:cs="Times New Roman"/>
                <w:sz w:val="20"/>
                <w:szCs w:val="20"/>
              </w:rPr>
            </w:pPr>
          </w:p>
        </w:tc>
      </w:tr>
      <w:tr w:rsidR="00BF2C67" w14:paraId="05EE8F7A" w14:textId="77777777" w:rsidTr="009177B2">
        <w:tc>
          <w:tcPr>
            <w:tcW w:w="1838" w:type="dxa"/>
          </w:tcPr>
          <w:p w14:paraId="69886DB1" w14:textId="505588A2" w:rsidR="00BF2C67" w:rsidRDefault="00BF2C67" w:rsidP="009177B2">
            <w:pPr>
              <w:rPr>
                <w:szCs w:val="20"/>
              </w:rPr>
            </w:pPr>
          </w:p>
        </w:tc>
        <w:tc>
          <w:tcPr>
            <w:tcW w:w="7469" w:type="dxa"/>
          </w:tcPr>
          <w:p w14:paraId="3DD3EB16" w14:textId="28E7668A" w:rsidR="00BF2C67" w:rsidRDefault="00BF2C67" w:rsidP="009177B2"/>
        </w:tc>
      </w:tr>
      <w:tr w:rsidR="00BF2C67" w14:paraId="177FB88E" w14:textId="77777777" w:rsidTr="009177B2">
        <w:tc>
          <w:tcPr>
            <w:tcW w:w="1838" w:type="dxa"/>
          </w:tcPr>
          <w:p w14:paraId="2C02DEB0" w14:textId="2D9181D7" w:rsidR="00BF2C67" w:rsidRDefault="00BF2C67" w:rsidP="009177B2">
            <w:pPr>
              <w:rPr>
                <w:szCs w:val="20"/>
                <w:lang w:eastAsia="zh-CN"/>
              </w:rPr>
            </w:pPr>
          </w:p>
        </w:tc>
        <w:tc>
          <w:tcPr>
            <w:tcW w:w="7469" w:type="dxa"/>
          </w:tcPr>
          <w:p w14:paraId="0525D597" w14:textId="7C679A25" w:rsidR="00BF2C67" w:rsidRDefault="00BF2C67" w:rsidP="009177B2">
            <w:pPr>
              <w:rPr>
                <w:szCs w:val="20"/>
                <w:lang w:eastAsia="zh-CN"/>
              </w:rPr>
            </w:pPr>
          </w:p>
        </w:tc>
      </w:tr>
      <w:tr w:rsidR="00BF2C67" w14:paraId="1036A6FC" w14:textId="77777777" w:rsidTr="009177B2">
        <w:tc>
          <w:tcPr>
            <w:tcW w:w="1838" w:type="dxa"/>
          </w:tcPr>
          <w:p w14:paraId="19D7E9FE" w14:textId="1D580E2D" w:rsidR="00BF2C67" w:rsidRDefault="00BF2C67" w:rsidP="009177B2">
            <w:pPr>
              <w:rPr>
                <w:szCs w:val="20"/>
                <w:lang w:eastAsia="zh-CN"/>
              </w:rPr>
            </w:pPr>
          </w:p>
        </w:tc>
        <w:tc>
          <w:tcPr>
            <w:tcW w:w="7469" w:type="dxa"/>
          </w:tcPr>
          <w:p w14:paraId="0B3876EA" w14:textId="422EED72" w:rsidR="00BF2C67" w:rsidRDefault="00BF2C67" w:rsidP="009177B2">
            <w:pPr>
              <w:rPr>
                <w:szCs w:val="20"/>
                <w:lang w:eastAsia="zh-CN"/>
              </w:rPr>
            </w:pPr>
          </w:p>
        </w:tc>
      </w:tr>
    </w:tbl>
    <w:p w14:paraId="2E0C8F6E" w14:textId="77777777" w:rsidR="00BF2C67" w:rsidRDefault="00BF2C67" w:rsidP="00BF2C67">
      <w:pPr>
        <w:rPr>
          <w:b/>
        </w:rPr>
      </w:pPr>
    </w:p>
    <w:p w14:paraId="32E72B94" w14:textId="77777777" w:rsidR="00BF2C67" w:rsidRDefault="00BF2C67" w:rsidP="00BF2C67">
      <w:pPr>
        <w:pStyle w:val="2"/>
        <w:rPr>
          <w:lang w:eastAsia="zh-CN"/>
        </w:rPr>
      </w:pPr>
      <w:r>
        <w:rPr>
          <w:lang w:eastAsia="zh-CN"/>
        </w:rPr>
        <w:t>DCI</w:t>
      </w:r>
    </w:p>
    <w:p w14:paraId="697FA494" w14:textId="77777777" w:rsidR="00BF2C67" w:rsidRDefault="00BF2C67" w:rsidP="00BF2C67">
      <w:pPr>
        <w:pStyle w:val="30"/>
      </w:pPr>
      <w:r>
        <w:rPr>
          <w:lang w:eastAsia="zh-CN"/>
        </w:rPr>
        <w:t>Issue 2: DCI design</w:t>
      </w:r>
    </w:p>
    <w:p w14:paraId="60D9BD78" w14:textId="77777777" w:rsidR="00BF2C67" w:rsidRDefault="00BF2C67" w:rsidP="00BF2C67">
      <w:r>
        <w:rPr>
          <w:rFonts w:hint="eastAsia"/>
        </w:rPr>
        <w:t>The following have been achieved:</w:t>
      </w:r>
    </w:p>
    <w:p w14:paraId="1C46A087" w14:textId="77777777" w:rsidR="00BF2C67" w:rsidRDefault="00BF2C67" w:rsidP="00BF2C67">
      <w:pPr>
        <w:ind w:leftChars="200" w:left="440"/>
        <w:rPr>
          <w:highlight w:val="green"/>
          <w:lang w:eastAsia="zh-CN"/>
        </w:rPr>
      </w:pPr>
      <w:r>
        <w:rPr>
          <w:highlight w:val="green"/>
          <w:lang w:eastAsia="zh-CN"/>
        </w:rPr>
        <w:t>Confirm the working assumption:</w:t>
      </w:r>
    </w:p>
    <w:p w14:paraId="5C891F27" w14:textId="77777777" w:rsidR="00BF2C67" w:rsidRDefault="00BF2C67" w:rsidP="00BF2C67">
      <w:pPr>
        <w:ind w:leftChars="200" w:left="440"/>
        <w:rPr>
          <w:rFonts w:eastAsia="Batang"/>
        </w:rPr>
      </w:pPr>
      <w:r>
        <w:rPr>
          <w:rFonts w:eastAsia="Batang"/>
        </w:rPr>
        <w:t>Working Assumption</w:t>
      </w:r>
    </w:p>
    <w:p w14:paraId="137CF948" w14:textId="77777777" w:rsidR="00BF2C67" w:rsidRDefault="00BF2C67" w:rsidP="00BF2C67">
      <w:pPr>
        <w:ind w:leftChars="400" w:left="880"/>
        <w:rPr>
          <w:rFonts w:eastAsia="Batang"/>
          <w:lang w:eastAsia="zh-CN"/>
        </w:rPr>
      </w:pPr>
      <w:r>
        <w:rPr>
          <w:rFonts w:eastAsia="Batang"/>
        </w:rPr>
        <w:t>For the indication of 16-QAM in uplink</w:t>
      </w:r>
    </w:p>
    <w:p w14:paraId="3C73F807" w14:textId="77777777" w:rsidR="00BF2C67" w:rsidRDefault="00BF2C67" w:rsidP="00BF2C67">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The “Modulation and coding scheme” field in DCI Format N0 is utilized as in legacy for scheduling QPSK.</w:t>
      </w:r>
    </w:p>
    <w:p w14:paraId="47FEF936" w14:textId="77777777" w:rsidR="00BF2C67" w:rsidRDefault="00BF2C67" w:rsidP="00BF2C67">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One reserved state in the “Modulation and coding scheme” field in DCI Format N0 is utilized to indicate the use of 16QAM.</w:t>
      </w:r>
    </w:p>
    <w:p w14:paraId="1BAB7033" w14:textId="77777777" w:rsidR="00BF2C67" w:rsidRDefault="00BF2C67" w:rsidP="00BF2C67">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rFonts w:eastAsia="Batang"/>
        </w:rPr>
        <w:t>The “Repetition number” field in DCI Format N0 is utilized to indicate the TBS indices (i.e., I_TBS indices from 14 to 21) for 16-QAM in UL.</w:t>
      </w:r>
    </w:p>
    <w:p w14:paraId="1AFC175E" w14:textId="77777777" w:rsidR="00BF2C67" w:rsidRDefault="00BF2C67" w:rsidP="00BF2C67">
      <w:pPr>
        <w:ind w:leftChars="200" w:left="440"/>
        <w:rPr>
          <w:highlight w:val="green"/>
          <w:lang w:eastAsia="zh-CN"/>
        </w:rPr>
      </w:pPr>
      <w:r>
        <w:rPr>
          <w:highlight w:val="green"/>
          <w:lang w:eastAsia="zh-CN"/>
        </w:rPr>
        <w:t>Agreement</w:t>
      </w:r>
    </w:p>
    <w:p w14:paraId="54192586" w14:textId="77777777" w:rsidR="00BF2C67" w:rsidRDefault="00BF2C67" w:rsidP="00BF2C67">
      <w:pPr>
        <w:ind w:leftChars="200" w:left="440"/>
      </w:pPr>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p>
    <w:p w14:paraId="63C15E3E" w14:textId="77777777" w:rsidR="00BF2C67" w:rsidRDefault="00BF2C67" w:rsidP="00BF2C67"/>
    <w:p w14:paraId="0C496531" w14:textId="7D4A0AD7" w:rsidR="00BF2C67" w:rsidRDefault="006B280A" w:rsidP="00BF2C67">
      <w:r>
        <w:t>For proposal 3, @Ericsson, @ZTE, @Nokia, as there’s no real difference between comments, the proposal is updated according to majority view.</w:t>
      </w:r>
      <w:bookmarkStart w:id="2" w:name="_GoBack"/>
      <w:bookmarkEnd w:id="2"/>
    </w:p>
    <w:p w14:paraId="76BBB528" w14:textId="77777777" w:rsidR="00BF2C67" w:rsidRDefault="00BF2C67" w:rsidP="00BF2C67">
      <w:pPr>
        <w:rPr>
          <w:b/>
        </w:rPr>
      </w:pPr>
      <w:r>
        <w:rPr>
          <w:b/>
        </w:rPr>
        <w:t>Proposal 3: the agreement below is updated as</w:t>
      </w:r>
    </w:p>
    <w:p w14:paraId="1A21ADC1" w14:textId="77777777" w:rsidR="00BF2C67" w:rsidRDefault="00BF2C67" w:rsidP="00BF2C67">
      <w:pPr>
        <w:ind w:leftChars="200" w:left="440"/>
        <w:rPr>
          <w:highlight w:val="green"/>
          <w:lang w:eastAsia="zh-CN"/>
        </w:rPr>
      </w:pPr>
      <w:r>
        <w:rPr>
          <w:highlight w:val="green"/>
          <w:lang w:eastAsia="zh-CN"/>
        </w:rPr>
        <w:t>Agreement</w:t>
      </w:r>
    </w:p>
    <w:p w14:paraId="19138016" w14:textId="6AFB0938" w:rsidR="00BF2C67" w:rsidRDefault="00BF2C67" w:rsidP="00BF2C67">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w:t>
      </w:r>
      <w:r w:rsidRPr="006B280A">
        <w:rPr>
          <w:b/>
        </w:rPr>
        <w:t>in SIB</w:t>
      </w:r>
      <w:r w:rsidR="006B280A" w:rsidRPr="006B280A">
        <w:rPr>
          <w:b/>
          <w:color w:val="FF0000"/>
        </w:rPr>
        <w:t>/Msg4</w:t>
      </w:r>
      <w:r>
        <w:rPr>
          <w:b/>
        </w:rPr>
        <w:t>.</w:t>
      </w:r>
    </w:p>
    <w:p w14:paraId="1C257D99" w14:textId="77777777" w:rsidR="00BF2C67" w:rsidRDefault="00BF2C67" w:rsidP="00BF2C67"/>
    <w:p w14:paraId="6550137F" w14:textId="77777777" w:rsidR="00BF2C67" w:rsidRDefault="00BF2C67" w:rsidP="00BF2C67">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BF2C67" w14:paraId="76859F70" w14:textId="77777777" w:rsidTr="009177B2">
        <w:tc>
          <w:tcPr>
            <w:tcW w:w="1838" w:type="dxa"/>
          </w:tcPr>
          <w:p w14:paraId="4C08E2D3" w14:textId="77777777" w:rsidR="00BF2C67" w:rsidRDefault="00BF2C67" w:rsidP="009177B2">
            <w:pPr>
              <w:rPr>
                <w:szCs w:val="20"/>
              </w:rPr>
            </w:pPr>
            <w:r>
              <w:rPr>
                <w:rFonts w:hint="eastAsia"/>
                <w:szCs w:val="20"/>
              </w:rPr>
              <w:lastRenderedPageBreak/>
              <w:t>Comp</w:t>
            </w:r>
            <w:r>
              <w:rPr>
                <w:szCs w:val="20"/>
              </w:rPr>
              <w:t>anies</w:t>
            </w:r>
          </w:p>
        </w:tc>
        <w:tc>
          <w:tcPr>
            <w:tcW w:w="7469" w:type="dxa"/>
          </w:tcPr>
          <w:p w14:paraId="0BF2A3E1" w14:textId="77777777" w:rsidR="00BF2C67" w:rsidRDefault="00BF2C67" w:rsidP="009177B2">
            <w:pPr>
              <w:rPr>
                <w:szCs w:val="20"/>
              </w:rPr>
            </w:pPr>
            <w:r>
              <w:rPr>
                <w:rFonts w:hint="eastAsia"/>
                <w:szCs w:val="20"/>
              </w:rPr>
              <w:t>Comments</w:t>
            </w:r>
          </w:p>
        </w:tc>
      </w:tr>
      <w:tr w:rsidR="00BF2C67" w14:paraId="5AD4A71E" w14:textId="77777777" w:rsidTr="009177B2">
        <w:tc>
          <w:tcPr>
            <w:tcW w:w="1838" w:type="dxa"/>
          </w:tcPr>
          <w:p w14:paraId="7F428E6F" w14:textId="299DFBB2" w:rsidR="00BF2C67" w:rsidRDefault="00BF2C67" w:rsidP="009177B2">
            <w:pPr>
              <w:rPr>
                <w:sz w:val="20"/>
                <w:szCs w:val="20"/>
              </w:rPr>
            </w:pPr>
          </w:p>
        </w:tc>
        <w:tc>
          <w:tcPr>
            <w:tcW w:w="7469" w:type="dxa"/>
          </w:tcPr>
          <w:p w14:paraId="375F372E" w14:textId="3B9DA3B4" w:rsidR="00BF2C67" w:rsidRDefault="00BF2C67" w:rsidP="009177B2">
            <w:pPr>
              <w:rPr>
                <w:sz w:val="20"/>
                <w:szCs w:val="20"/>
              </w:rPr>
            </w:pPr>
          </w:p>
        </w:tc>
      </w:tr>
      <w:tr w:rsidR="00BF2C67" w14:paraId="30389130" w14:textId="77777777" w:rsidTr="009177B2">
        <w:tc>
          <w:tcPr>
            <w:tcW w:w="1838" w:type="dxa"/>
          </w:tcPr>
          <w:p w14:paraId="2B1C07B6" w14:textId="6820E568" w:rsidR="00BF2C67" w:rsidRDefault="00BF2C67" w:rsidP="009177B2">
            <w:pPr>
              <w:rPr>
                <w:szCs w:val="20"/>
                <w:lang w:eastAsia="zh-CN"/>
              </w:rPr>
            </w:pPr>
          </w:p>
        </w:tc>
        <w:tc>
          <w:tcPr>
            <w:tcW w:w="7469" w:type="dxa"/>
          </w:tcPr>
          <w:p w14:paraId="2D2CF17A" w14:textId="2CCDA432" w:rsidR="00BF2C67" w:rsidRDefault="00BF2C67" w:rsidP="009177B2">
            <w:pPr>
              <w:rPr>
                <w:lang w:eastAsia="zh-CN"/>
              </w:rPr>
            </w:pPr>
          </w:p>
        </w:tc>
      </w:tr>
      <w:tr w:rsidR="00BF2C67" w14:paraId="33AE5E4C" w14:textId="77777777" w:rsidTr="009177B2">
        <w:tc>
          <w:tcPr>
            <w:tcW w:w="1838" w:type="dxa"/>
          </w:tcPr>
          <w:p w14:paraId="0526BD4D" w14:textId="17753049" w:rsidR="00BF2C67" w:rsidRDefault="00BF2C67" w:rsidP="009177B2">
            <w:pPr>
              <w:rPr>
                <w:szCs w:val="20"/>
                <w:lang w:eastAsia="zh-CN"/>
              </w:rPr>
            </w:pPr>
          </w:p>
        </w:tc>
        <w:tc>
          <w:tcPr>
            <w:tcW w:w="7469" w:type="dxa"/>
          </w:tcPr>
          <w:p w14:paraId="3A38E4CD" w14:textId="510DBF6A" w:rsidR="00BF2C67" w:rsidRDefault="00BF2C67" w:rsidP="009177B2">
            <w:pPr>
              <w:rPr>
                <w:szCs w:val="20"/>
                <w:lang w:eastAsia="zh-CN"/>
              </w:rPr>
            </w:pPr>
          </w:p>
        </w:tc>
      </w:tr>
    </w:tbl>
    <w:p w14:paraId="43644A93" w14:textId="77777777" w:rsidR="00BF2C67" w:rsidRDefault="00BF2C67" w:rsidP="00BF2C67"/>
    <w:p w14:paraId="798DAF62" w14:textId="77777777" w:rsidR="00BF2C67" w:rsidRDefault="00BF2C67" w:rsidP="00BF2C67"/>
    <w:p w14:paraId="4B8E3577" w14:textId="77777777" w:rsidR="00BF2C67" w:rsidRDefault="00BF2C67" w:rsidP="00BF2C67">
      <w:pPr>
        <w:pStyle w:val="2"/>
        <w:rPr>
          <w:lang w:eastAsia="zh-CN"/>
        </w:rPr>
      </w:pPr>
      <w:r>
        <w:rPr>
          <w:lang w:eastAsia="zh-CN"/>
        </w:rPr>
        <w:t>Power allocation and power control</w:t>
      </w:r>
    </w:p>
    <w:p w14:paraId="29A6019B" w14:textId="77777777" w:rsidR="00BF2C67" w:rsidRDefault="00BF2C67" w:rsidP="00BF2C67">
      <w:pPr>
        <w:pStyle w:val="30"/>
      </w:pPr>
      <w:r>
        <w:rPr>
          <w:lang w:eastAsia="zh-CN"/>
        </w:rPr>
        <w:t>Issue 3: downlink power allocation</w:t>
      </w:r>
    </w:p>
    <w:p w14:paraId="609855F2" w14:textId="77777777" w:rsidR="00BF2C67" w:rsidRDefault="00BF2C67" w:rsidP="00BF2C67">
      <w:pPr>
        <w:spacing w:line="240" w:lineRule="auto"/>
      </w:pPr>
      <w:r>
        <w:t>The following has been achieved:</w:t>
      </w:r>
    </w:p>
    <w:p w14:paraId="4F261F6C" w14:textId="77777777" w:rsidR="00BF2C67" w:rsidRPr="001479DD" w:rsidRDefault="00BF2C67" w:rsidP="00BF2C67">
      <w:pPr>
        <w:autoSpaceDE/>
        <w:autoSpaceDN/>
        <w:adjustRightInd/>
        <w:snapToGrid/>
        <w:spacing w:after="0" w:line="240" w:lineRule="auto"/>
        <w:ind w:leftChars="200" w:left="440"/>
        <w:jc w:val="left"/>
        <w:rPr>
          <w:rFonts w:ascii="Times" w:hAnsi="Times"/>
          <w:b/>
          <w:highlight w:val="green"/>
          <w:lang w:val="en-GB"/>
        </w:rPr>
      </w:pPr>
      <w:r w:rsidRPr="001479DD">
        <w:rPr>
          <w:rFonts w:ascii="Times" w:hAnsi="Times"/>
          <w:b/>
          <w:highlight w:val="green"/>
          <w:lang w:val="en-GB"/>
        </w:rPr>
        <w:t>Confirm working assumption:</w:t>
      </w:r>
    </w:p>
    <w:p w14:paraId="04904B67" w14:textId="77777777" w:rsidR="00BF2C67" w:rsidRPr="001479DD" w:rsidRDefault="00BF2C67" w:rsidP="00BF2C67">
      <w:pPr>
        <w:overflowPunct w:val="0"/>
        <w:autoSpaceDE/>
        <w:autoSpaceDN/>
        <w:adjustRightInd/>
        <w:snapToGrid/>
        <w:spacing w:after="0" w:line="240" w:lineRule="auto"/>
        <w:ind w:leftChars="200" w:left="440"/>
        <w:jc w:val="left"/>
        <w:textAlignment w:val="baseline"/>
        <w:rPr>
          <w:rFonts w:ascii="Times" w:eastAsia="Times New Roman" w:hAnsi="Times" w:cs="Times"/>
          <w:lang w:val="en-GB" w:eastAsia="en-GB"/>
        </w:rPr>
      </w:pPr>
      <w:r w:rsidRPr="001479DD">
        <w:rPr>
          <w:rFonts w:ascii="Times" w:eastAsia="Times New Roman" w:hAnsi="Times" w:cs="Times"/>
          <w:lang w:val="en-GB" w:eastAsia="en-GB"/>
        </w:rPr>
        <w:t>Working Assumption</w:t>
      </w:r>
    </w:p>
    <w:p w14:paraId="2EA967BD" w14:textId="77777777" w:rsidR="00BF2C67" w:rsidRPr="001479DD" w:rsidRDefault="00BF2C67" w:rsidP="00BF2C67">
      <w:pPr>
        <w:overflowPunct w:val="0"/>
        <w:autoSpaceDE/>
        <w:autoSpaceDN/>
        <w:adjustRightInd/>
        <w:snapToGrid/>
        <w:spacing w:after="0" w:line="240" w:lineRule="auto"/>
        <w:ind w:leftChars="400" w:left="880"/>
        <w:jc w:val="left"/>
        <w:textAlignment w:val="baseline"/>
        <w:rPr>
          <w:rFonts w:ascii="Times" w:eastAsia="Times New Roman" w:hAnsi="Times" w:cs="Times"/>
          <w:lang w:val="en-GB" w:eastAsia="en-GB"/>
        </w:rPr>
      </w:pPr>
      <w:r w:rsidRPr="001479DD">
        <w:rPr>
          <w:rFonts w:ascii="Times" w:eastAsia="Times New Roman" w:hAnsi="Times" w:cs="Times"/>
          <w:lang w:val="en-GB" w:eastAsia="en-GB"/>
        </w:rPr>
        <w:t>For downlink power allocation to support 16QAM:</w:t>
      </w:r>
    </w:p>
    <w:p w14:paraId="33FD95C7" w14:textId="77777777" w:rsidR="00BF2C67" w:rsidRPr="001479DD" w:rsidRDefault="00BF2C67" w:rsidP="00BF2C67">
      <w:pPr>
        <w:numPr>
          <w:ilvl w:val="0"/>
          <w:numId w:val="19"/>
        </w:numPr>
        <w:autoSpaceDE/>
        <w:autoSpaceDN/>
        <w:adjustRightInd/>
        <w:snapToGrid/>
        <w:spacing w:after="0" w:line="240" w:lineRule="auto"/>
        <w:ind w:leftChars="564" w:left="1601"/>
        <w:jc w:val="left"/>
        <w:rPr>
          <w:rFonts w:ascii="Times" w:hAnsi="Times" w:cs="Times"/>
          <w:lang w:val="en-GB" w:eastAsia="ja-JP"/>
        </w:rPr>
      </w:pPr>
      <w:r w:rsidRPr="001479DD">
        <w:rPr>
          <w:rFonts w:ascii="Times" w:hAnsi="Times" w:cs="Times"/>
          <w:lang w:val="en-GB" w:eastAsia="ja-JP"/>
        </w:rPr>
        <w:t>For standalone and guard-band deployments:</w:t>
      </w:r>
    </w:p>
    <w:p w14:paraId="2267BE26" w14:textId="77777777" w:rsidR="00BF2C67" w:rsidRPr="001479DD" w:rsidRDefault="00BF2C67" w:rsidP="00BF2C67">
      <w:pPr>
        <w:numPr>
          <w:ilvl w:val="1"/>
          <w:numId w:val="19"/>
        </w:numPr>
        <w:autoSpaceDE/>
        <w:autoSpaceDN/>
        <w:adjustRightInd/>
        <w:snapToGrid/>
        <w:spacing w:after="0" w:line="240" w:lineRule="auto"/>
        <w:ind w:leftChars="891" w:left="2320"/>
        <w:jc w:val="left"/>
        <w:rPr>
          <w:rFonts w:ascii="Times" w:hAnsi="Times" w:cs="Times"/>
          <w:lang w:val="en-GB" w:eastAsia="ja-JP"/>
        </w:rPr>
      </w:pPr>
      <w:r w:rsidRPr="001479DD">
        <w:rPr>
          <w:rFonts w:ascii="Times" w:hAnsi="Times" w:cs="Times"/>
          <w:lang w:val="en-GB" w:eastAsia="ja-JP"/>
        </w:rPr>
        <w:t>One power ratio is signaled optionally</w:t>
      </w:r>
    </w:p>
    <w:p w14:paraId="00F67CE5" w14:textId="77777777" w:rsidR="00BF2C67" w:rsidRPr="001479DD" w:rsidRDefault="00BF2C67" w:rsidP="00BF2C67">
      <w:pPr>
        <w:numPr>
          <w:ilvl w:val="2"/>
          <w:numId w:val="19"/>
        </w:numPr>
        <w:autoSpaceDE/>
        <w:autoSpaceDN/>
        <w:adjustRightInd/>
        <w:snapToGrid/>
        <w:spacing w:after="0" w:line="240" w:lineRule="auto"/>
        <w:ind w:leftChars="1218" w:left="3040"/>
        <w:jc w:val="left"/>
        <w:rPr>
          <w:rFonts w:ascii="Times" w:hAnsi="Times" w:cs="Times"/>
          <w:lang w:val="en-GB" w:eastAsia="ja-JP"/>
        </w:rPr>
      </w:pPr>
      <w:r w:rsidRPr="001479DD">
        <w:rPr>
          <w:rFonts w:ascii="Times" w:hAnsi="Times" w:cs="Times"/>
          <w:lang w:val="en-GB" w:eastAsia="ja-JP"/>
        </w:rPr>
        <w:t>NPDSCH EPRE to NRS EPRE in symbols without NRS</w:t>
      </w:r>
    </w:p>
    <w:p w14:paraId="0B21FC71" w14:textId="77777777" w:rsidR="00BF2C67" w:rsidRPr="001479DD" w:rsidRDefault="00BF2C67" w:rsidP="00BF2C67">
      <w:pPr>
        <w:numPr>
          <w:ilvl w:val="1"/>
          <w:numId w:val="19"/>
        </w:numPr>
        <w:autoSpaceDE/>
        <w:autoSpaceDN/>
        <w:adjustRightInd/>
        <w:snapToGrid/>
        <w:spacing w:after="0" w:line="240" w:lineRule="auto"/>
        <w:ind w:leftChars="891" w:left="2320"/>
        <w:jc w:val="left"/>
        <w:rPr>
          <w:rFonts w:ascii="Times" w:hAnsi="Times" w:cs="Times"/>
          <w:lang w:val="en-GB" w:eastAsia="ja-JP"/>
        </w:rPr>
      </w:pPr>
      <w:r w:rsidRPr="001479DD">
        <w:rPr>
          <w:rFonts w:ascii="Times" w:hAnsi="Times" w:cs="Times"/>
          <w:lang w:val="en-GB" w:eastAsia="ja-JP"/>
        </w:rPr>
        <w:t>The same transmit power is assumed across different symbols.</w:t>
      </w:r>
    </w:p>
    <w:p w14:paraId="31DE24B7" w14:textId="77777777" w:rsidR="00BF2C67" w:rsidRPr="001479DD" w:rsidRDefault="00BF2C67" w:rsidP="00BF2C67">
      <w:pPr>
        <w:numPr>
          <w:ilvl w:val="1"/>
          <w:numId w:val="19"/>
        </w:numPr>
        <w:autoSpaceDE/>
        <w:autoSpaceDN/>
        <w:adjustRightInd/>
        <w:snapToGrid/>
        <w:spacing w:after="0" w:line="240" w:lineRule="auto"/>
        <w:ind w:leftChars="891" w:left="2320"/>
        <w:jc w:val="left"/>
        <w:rPr>
          <w:rFonts w:ascii="Times" w:hAnsi="Times" w:cs="Times"/>
          <w:lang w:val="en-GB" w:eastAsia="ja-JP"/>
        </w:rPr>
      </w:pPr>
      <w:r w:rsidRPr="001479DD">
        <w:rPr>
          <w:rFonts w:ascii="Times" w:hAnsi="Times" w:cs="Times"/>
          <w:lang w:val="en-GB" w:eastAsia="ja-JP"/>
        </w:rPr>
        <w:t>If the signalling is not indicated, the legacy power allocation is used.</w:t>
      </w:r>
    </w:p>
    <w:p w14:paraId="32333F29" w14:textId="77777777" w:rsidR="00BF2C67" w:rsidRPr="001479DD" w:rsidRDefault="00BF2C67" w:rsidP="00BF2C67">
      <w:pPr>
        <w:numPr>
          <w:ilvl w:val="2"/>
          <w:numId w:val="19"/>
        </w:numPr>
        <w:autoSpaceDE/>
        <w:autoSpaceDN/>
        <w:adjustRightInd/>
        <w:snapToGrid/>
        <w:spacing w:after="0" w:line="240" w:lineRule="auto"/>
        <w:ind w:leftChars="1218" w:left="3040"/>
        <w:jc w:val="left"/>
        <w:rPr>
          <w:rFonts w:ascii="Times" w:hAnsi="Times" w:cs="Times"/>
          <w:lang w:val="en-GB" w:eastAsia="ja-JP"/>
        </w:rPr>
      </w:pPr>
      <w:r w:rsidRPr="001479DD">
        <w:rPr>
          <w:rFonts w:ascii="Times" w:hAnsi="Times" w:cs="Times"/>
          <w:lang w:val="en-GB" w:eastAsia="ja-JP"/>
        </w:rPr>
        <w:t>i.e., the ratio of NPDSCH EPRE to NRS EPRE is 0dB for one NRS antenna port, and -3dB for two NRS antenna ports</w:t>
      </w:r>
    </w:p>
    <w:p w14:paraId="730ACC57" w14:textId="77777777" w:rsidR="00BF2C67" w:rsidRPr="001479DD" w:rsidRDefault="00BF2C67" w:rsidP="00BF2C67">
      <w:pPr>
        <w:numPr>
          <w:ilvl w:val="0"/>
          <w:numId w:val="19"/>
        </w:numPr>
        <w:autoSpaceDE/>
        <w:autoSpaceDN/>
        <w:adjustRightInd/>
        <w:snapToGrid/>
        <w:spacing w:after="0" w:line="240" w:lineRule="auto"/>
        <w:ind w:leftChars="564" w:left="1601"/>
        <w:jc w:val="left"/>
        <w:rPr>
          <w:rFonts w:ascii="Times" w:hAnsi="Times" w:cs="Times"/>
          <w:lang w:val="en-GB" w:eastAsia="ja-JP"/>
        </w:rPr>
      </w:pPr>
      <w:r w:rsidRPr="001479DD">
        <w:rPr>
          <w:rFonts w:ascii="Times" w:hAnsi="Times" w:cs="Times"/>
          <w:lang w:val="en-GB" w:eastAsia="ja-JP"/>
        </w:rPr>
        <w:t>UE specific signalling is used</w:t>
      </w:r>
    </w:p>
    <w:p w14:paraId="24AB6039" w14:textId="77777777" w:rsidR="001479DD" w:rsidRPr="001479DD" w:rsidRDefault="001479DD" w:rsidP="001479DD">
      <w:pPr>
        <w:shd w:val="clear" w:color="auto" w:fill="FFFFFF"/>
        <w:ind w:leftChars="200" w:left="440"/>
        <w:rPr>
          <w:b/>
          <w:highlight w:val="darkYellow"/>
          <w:lang w:eastAsia="zh-CN"/>
        </w:rPr>
      </w:pPr>
      <w:r w:rsidRPr="001479DD">
        <w:rPr>
          <w:b/>
          <w:highlight w:val="darkYellow"/>
          <w:lang w:eastAsia="zh-CN"/>
        </w:rPr>
        <w:t xml:space="preserve">Working Assumption </w:t>
      </w:r>
    </w:p>
    <w:p w14:paraId="5D972C31" w14:textId="77777777" w:rsidR="001479DD" w:rsidRPr="001479DD" w:rsidRDefault="001479DD" w:rsidP="001479DD">
      <w:pPr>
        <w:shd w:val="clear" w:color="auto" w:fill="FFFFFF"/>
        <w:ind w:leftChars="200" w:left="440"/>
        <w:rPr>
          <w:rFonts w:cs="Times"/>
          <w:lang w:eastAsia="ja-JP"/>
        </w:rPr>
      </w:pPr>
      <w:r w:rsidRPr="001479DD">
        <w:rPr>
          <w:rFonts w:cs="Times"/>
          <w:lang w:eastAsia="ja-JP"/>
        </w:rPr>
        <w:t>For downlink power allocation to support 16QAM:</w:t>
      </w:r>
    </w:p>
    <w:p w14:paraId="0B874A91" w14:textId="77777777" w:rsidR="001479DD" w:rsidRPr="001479DD" w:rsidRDefault="001479DD" w:rsidP="001479DD">
      <w:pPr>
        <w:numPr>
          <w:ilvl w:val="0"/>
          <w:numId w:val="20"/>
        </w:numPr>
        <w:autoSpaceDE/>
        <w:autoSpaceDN/>
        <w:adjustRightInd/>
        <w:snapToGrid/>
        <w:spacing w:after="0" w:line="240" w:lineRule="auto"/>
        <w:ind w:leftChars="364" w:left="1161"/>
        <w:jc w:val="left"/>
        <w:rPr>
          <w:rFonts w:cs="Times"/>
          <w:lang w:eastAsia="ja-JP"/>
        </w:rPr>
      </w:pPr>
      <w:r w:rsidRPr="001479DD">
        <w:rPr>
          <w:rFonts w:cs="Times"/>
          <w:lang w:eastAsia="ja-JP"/>
        </w:rPr>
        <w:t xml:space="preserve">For inband deployments, a power ratio is signaled in addition to the signalling for standalone and guard-band deployments which in this case applies to “symbols with NRS” and “symbols without NRS nor CRS”. </w:t>
      </w:r>
    </w:p>
    <w:p w14:paraId="60444C54" w14:textId="77777777" w:rsidR="001479DD" w:rsidRPr="001479DD" w:rsidRDefault="001479DD" w:rsidP="001479DD">
      <w:pPr>
        <w:numPr>
          <w:ilvl w:val="1"/>
          <w:numId w:val="19"/>
        </w:numPr>
        <w:autoSpaceDE/>
        <w:autoSpaceDN/>
        <w:adjustRightInd/>
        <w:snapToGrid/>
        <w:spacing w:after="0" w:line="240" w:lineRule="auto"/>
        <w:ind w:leftChars="691" w:left="1880"/>
        <w:jc w:val="left"/>
        <w:rPr>
          <w:rFonts w:cs="Times"/>
          <w:lang w:eastAsia="ja-JP"/>
        </w:rPr>
      </w:pPr>
      <w:r w:rsidRPr="001479DD">
        <w:rPr>
          <w:rFonts w:cs="Times"/>
          <w:lang w:eastAsia="ja-JP"/>
        </w:rPr>
        <w:t>the power ratio between NPDSCH EPRE and NRS EPRE in symbols with CRS is signalled</w:t>
      </w:r>
    </w:p>
    <w:p w14:paraId="37312070" w14:textId="77777777" w:rsidR="001479DD" w:rsidRPr="001479DD" w:rsidRDefault="001479DD" w:rsidP="001479DD">
      <w:pPr>
        <w:numPr>
          <w:ilvl w:val="1"/>
          <w:numId w:val="19"/>
        </w:numPr>
        <w:autoSpaceDE/>
        <w:autoSpaceDN/>
        <w:adjustRightInd/>
        <w:snapToGrid/>
        <w:spacing w:after="0" w:line="240" w:lineRule="auto"/>
        <w:ind w:leftChars="691" w:left="1880"/>
        <w:jc w:val="left"/>
        <w:rPr>
          <w:rFonts w:cs="Times"/>
          <w:lang w:eastAsia="ja-JP"/>
        </w:rPr>
      </w:pPr>
      <w:r w:rsidRPr="001479DD">
        <w:rPr>
          <w:rFonts w:cs="Times"/>
          <w:lang w:eastAsia="ja-JP"/>
        </w:rPr>
        <w:t>the signalling is UE specific</w:t>
      </w:r>
    </w:p>
    <w:p w14:paraId="004E0FE5" w14:textId="72B62E11" w:rsidR="00BF2C67" w:rsidRPr="001479DD" w:rsidRDefault="001479DD" w:rsidP="001479DD">
      <w:pPr>
        <w:spacing w:line="240" w:lineRule="auto"/>
        <w:ind w:leftChars="200" w:left="440"/>
      </w:pPr>
      <w:r w:rsidRPr="001479DD">
        <w:rPr>
          <w:rFonts w:hint="cs"/>
          <w:lang w:eastAsia="ar-SA"/>
        </w:rPr>
        <w:t>N</w:t>
      </w:r>
      <w:r w:rsidRPr="001479DD">
        <w:rPr>
          <w:lang w:eastAsia="ar-SA"/>
        </w:rPr>
        <w:t xml:space="preserve">ote: </w:t>
      </w:r>
      <w:r w:rsidRPr="001479DD">
        <w:rPr>
          <w:rFonts w:cs="Times"/>
          <w:lang w:eastAsia="ja-JP"/>
        </w:rPr>
        <w:t>“symbols with NRS” and “symbols without NRS nor CRS” have the same power.</w:t>
      </w:r>
    </w:p>
    <w:p w14:paraId="5E7A392E" w14:textId="77777777" w:rsidR="00BF2C67" w:rsidRDefault="00BF2C67" w:rsidP="00BF2C67">
      <w:pPr>
        <w:autoSpaceDE/>
        <w:autoSpaceDN/>
        <w:adjustRightInd/>
        <w:snapToGrid/>
        <w:spacing w:after="0"/>
        <w:rPr>
          <w:b/>
          <w:szCs w:val="21"/>
          <w:lang w:eastAsia="zh-CN"/>
        </w:rPr>
      </w:pPr>
    </w:p>
    <w:p w14:paraId="11F0755A" w14:textId="77777777" w:rsidR="00BF2C67" w:rsidRDefault="00BF2C67" w:rsidP="00BF2C67">
      <w:pPr>
        <w:pStyle w:val="30"/>
      </w:pPr>
      <w:r>
        <w:rPr>
          <w:lang w:eastAsia="zh-CN"/>
        </w:rPr>
        <w:t>Issue 4: uplink power control</w:t>
      </w:r>
    </w:p>
    <w:p w14:paraId="50D2B6CA" w14:textId="77777777" w:rsidR="00BF2C67" w:rsidRDefault="00BF2C67" w:rsidP="00BF2C67">
      <w:r>
        <w:rPr>
          <w:rFonts w:hint="eastAsia"/>
        </w:rPr>
        <w:t>Re</w:t>
      </w:r>
      <w:r>
        <w:t>garding the options proposed for uplink power control,</w:t>
      </w:r>
    </w:p>
    <w:p w14:paraId="3EBB4CF5" w14:textId="77777777" w:rsidR="00BF2C67" w:rsidRDefault="00BF2C67" w:rsidP="00BF2C67">
      <w:pPr>
        <w:pStyle w:val="af7"/>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32842A39" w14:textId="77777777" w:rsidR="00BF2C67" w:rsidRDefault="00BF2C67" w:rsidP="00BF2C67">
      <w:pPr>
        <w:pStyle w:val="af7"/>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135490AC" w14:textId="77777777" w:rsidR="00BF2C67" w:rsidRDefault="00BF2C67" w:rsidP="00BF2C67">
      <w:pPr>
        <w:pStyle w:val="af7"/>
        <w:numPr>
          <w:ilvl w:val="0"/>
          <w:numId w:val="22"/>
        </w:numPr>
      </w:pPr>
      <w:r>
        <w:rPr>
          <w:rFonts w:ascii="Times New Roman" w:hAnsi="Times New Roman" w:cs="Times New Roman"/>
          <w:sz w:val="22"/>
        </w:rPr>
        <w:t>Option 3: A TPC command is introduce to indicate the power offset for NPUSCH with 16-QAM.</w:t>
      </w:r>
    </w:p>
    <w:p w14:paraId="2E3EC04C" w14:textId="77777777" w:rsidR="00BF2C67" w:rsidRDefault="00BF2C67" w:rsidP="00BF2C67">
      <w:pPr>
        <w:pStyle w:val="af7"/>
        <w:numPr>
          <w:ilvl w:val="0"/>
          <w:numId w:val="22"/>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3863E4B9" w14:textId="77777777" w:rsidR="00BF2C67" w:rsidRDefault="00BF2C67" w:rsidP="00BF2C67">
      <w:pPr>
        <w:pStyle w:val="af7"/>
        <w:numPr>
          <w:ilvl w:val="0"/>
          <w:numId w:val="22"/>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6B4A6120" w14:textId="77777777" w:rsidR="00BF2C67" w:rsidRDefault="00BF2C67" w:rsidP="00BF2C67">
      <w:pPr>
        <w:autoSpaceDE/>
        <w:autoSpaceDN/>
        <w:adjustRightInd/>
        <w:snapToGrid/>
        <w:spacing w:line="240" w:lineRule="auto"/>
        <w:rPr>
          <w:szCs w:val="21"/>
          <w:lang w:eastAsia="zh-CN"/>
        </w:rPr>
      </w:pPr>
      <w:r>
        <w:rPr>
          <w:rFonts w:hint="eastAsia"/>
          <w:szCs w:val="21"/>
          <w:lang w:eastAsia="zh-CN"/>
        </w:rPr>
        <w:t xml:space="preserve">The following has been </w:t>
      </w:r>
      <w:r>
        <w:rPr>
          <w:szCs w:val="21"/>
          <w:lang w:eastAsia="zh-CN"/>
        </w:rPr>
        <w:t>achieved:</w:t>
      </w:r>
    </w:p>
    <w:p w14:paraId="1F7CF340" w14:textId="77777777" w:rsidR="00BF2C67" w:rsidRPr="00DD0164" w:rsidRDefault="00BF2C67" w:rsidP="00BF2C67">
      <w:pPr>
        <w:ind w:leftChars="200" w:left="440"/>
        <w:rPr>
          <w:highlight w:val="green"/>
          <w:lang w:eastAsia="ar-SA"/>
        </w:rPr>
      </w:pPr>
      <w:r w:rsidRPr="00DD0164">
        <w:rPr>
          <w:highlight w:val="green"/>
          <w:lang w:eastAsia="ar-SA"/>
        </w:rPr>
        <w:lastRenderedPageBreak/>
        <w:t>Agreement</w:t>
      </w:r>
    </w:p>
    <w:p w14:paraId="178CA403" w14:textId="77777777" w:rsidR="00BF2C67" w:rsidRPr="00DD0164" w:rsidRDefault="00BF2C67" w:rsidP="00BF2C67">
      <w:pPr>
        <w:ind w:leftChars="200" w:left="440"/>
        <w:rPr>
          <w:lang w:eastAsia="ar-SA"/>
        </w:rPr>
      </w:pPr>
      <w:r w:rsidRPr="00DD0164">
        <w:rPr>
          <w:rFonts w:hint="cs"/>
          <w:lang w:eastAsia="ar-SA"/>
        </w:rPr>
        <w:t>D</w:t>
      </w:r>
      <w:r w:rsidRPr="00DD0164">
        <w:rPr>
          <w:lang w:eastAsia="ar-SA"/>
        </w:rPr>
        <w:t>own-select one option from Cat 1 as starting point</w:t>
      </w:r>
    </w:p>
    <w:p w14:paraId="097CBEB1" w14:textId="77777777" w:rsidR="00BF2C67" w:rsidRPr="00DD0164" w:rsidRDefault="00BF2C67" w:rsidP="00BF2C67">
      <w:pPr>
        <w:numPr>
          <w:ilvl w:val="0"/>
          <w:numId w:val="19"/>
        </w:numPr>
        <w:autoSpaceDE/>
        <w:autoSpaceDN/>
        <w:adjustRightInd/>
        <w:snapToGrid/>
        <w:spacing w:after="0" w:line="240" w:lineRule="auto"/>
        <w:ind w:leftChars="564" w:left="1601"/>
        <w:jc w:val="left"/>
        <w:rPr>
          <w:rFonts w:cs="Times"/>
          <w:lang w:eastAsia="ja-JP"/>
        </w:rPr>
      </w:pPr>
      <w:r w:rsidRPr="00DD0164">
        <w:rPr>
          <w:rFonts w:cs="Times"/>
          <w:lang w:eastAsia="ja-JP"/>
        </w:rPr>
        <w:t>Cat 1: Option 1, Option 2/Option 4, Option 5</w:t>
      </w:r>
    </w:p>
    <w:p w14:paraId="11AC373D" w14:textId="77777777" w:rsidR="00BF2C67" w:rsidRPr="00DD0164" w:rsidRDefault="00BF2C67" w:rsidP="00BF2C67">
      <w:pPr>
        <w:ind w:leftChars="200" w:left="440"/>
        <w:rPr>
          <w:rFonts w:cs="Times"/>
          <w:lang w:eastAsia="ja-JP"/>
        </w:rPr>
      </w:pPr>
      <w:r w:rsidRPr="00DD0164">
        <w:rPr>
          <w:rFonts w:cs="Times"/>
          <w:lang w:eastAsia="ja-JP"/>
        </w:rPr>
        <w:t xml:space="preserve">FFS </w:t>
      </w:r>
      <w:r w:rsidRPr="00DD0164">
        <w:rPr>
          <w:rFonts w:cs="Times" w:hint="cs"/>
          <w:lang w:eastAsia="ja-JP"/>
        </w:rPr>
        <w:t>C</w:t>
      </w:r>
      <w:r w:rsidRPr="00DD0164">
        <w:rPr>
          <w:rFonts w:cs="Times"/>
          <w:lang w:eastAsia="ja-JP"/>
        </w:rPr>
        <w:t>at 2: Option 3, for close-loop power control</w:t>
      </w:r>
    </w:p>
    <w:p w14:paraId="3623B866" w14:textId="77777777" w:rsidR="00DD0164" w:rsidRPr="00DD0164" w:rsidRDefault="00DD0164" w:rsidP="00DD0164">
      <w:pPr>
        <w:pStyle w:val="af7"/>
        <w:numPr>
          <w:ilvl w:val="0"/>
          <w:numId w:val="22"/>
        </w:numPr>
        <w:rPr>
          <w:sz w:val="22"/>
          <w:szCs w:val="22"/>
        </w:rPr>
      </w:pPr>
      <w:r w:rsidRPr="00DD0164">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sidRPr="00DD0164">
        <w:rPr>
          <w:rFonts w:hint="eastAsia"/>
          <w:sz w:val="22"/>
          <w:szCs w:val="22"/>
        </w:rPr>
        <w:t xml:space="preserve"> </w:t>
      </w:r>
      <w:r w:rsidRPr="00DD0164">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sidRPr="00DD0164">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sidRPr="00DD0164">
        <w:rPr>
          <w:rFonts w:ascii="Times New Roman" w:hAnsi="Times New Roman" w:cs="Times New Roman" w:hint="eastAsia"/>
          <w:sz w:val="22"/>
          <w:szCs w:val="22"/>
        </w:rPr>
        <w:t xml:space="preserve"> </w:t>
      </w:r>
      <w:r w:rsidRPr="00DD0164">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sidRPr="00DD0164">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sidRPr="00DD0164">
        <w:rPr>
          <w:rFonts w:ascii="Times New Roman" w:hAnsi="Times New Roman" w:cs="Times New Roman" w:hint="eastAsia"/>
          <w:sz w:val="22"/>
          <w:szCs w:val="22"/>
        </w:rPr>
        <w:t xml:space="preserve"> is given by higher layer parameter </w:t>
      </w:r>
      <w:r w:rsidRPr="00DD0164">
        <w:rPr>
          <w:rFonts w:ascii="Times New Roman" w:hAnsi="Times New Roman" w:cs="Times New Roman"/>
          <w:i/>
          <w:sz w:val="22"/>
          <w:szCs w:val="22"/>
        </w:rPr>
        <w:t>deltaMCS-Enabled</w:t>
      </w:r>
      <w:r w:rsidRPr="00DD0164">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sidRPr="00DD0164">
        <w:rPr>
          <w:sz w:val="22"/>
          <w:szCs w:val="22"/>
        </w:rPr>
        <w:t xml:space="preserve"> </w:t>
      </w:r>
      <w:r w:rsidRPr="00DD0164">
        <w:rPr>
          <w:rFonts w:ascii="Times New Roman" w:hAnsi="Times New Roman" w:cs="Times New Roman"/>
          <w:sz w:val="22"/>
          <w:szCs w:val="22"/>
        </w:rPr>
        <w:t>where K is the code block size.</w:t>
      </w:r>
    </w:p>
    <w:p w14:paraId="1365E7CA" w14:textId="77777777" w:rsidR="00DD0164" w:rsidRPr="00DD0164" w:rsidRDefault="00DD0164" w:rsidP="00DD0164">
      <w:pPr>
        <w:pStyle w:val="af7"/>
        <w:numPr>
          <w:ilvl w:val="0"/>
          <w:numId w:val="22"/>
        </w:numPr>
        <w:rPr>
          <w:sz w:val="22"/>
          <w:szCs w:val="22"/>
        </w:rPr>
      </w:pPr>
      <w:r w:rsidRPr="00DD0164">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sidRPr="00DD0164">
        <w:rPr>
          <w:rFonts w:hint="eastAsia"/>
          <w:sz w:val="22"/>
          <w:szCs w:val="22"/>
        </w:rPr>
        <w:t xml:space="preserve"> </w:t>
      </w:r>
      <w:r w:rsidRPr="00DD0164">
        <w:rPr>
          <w:rFonts w:ascii="Times New Roman" w:hAnsi="Times New Roman" w:cs="Times New Roman"/>
          <w:sz w:val="22"/>
          <w:szCs w:val="22"/>
        </w:rPr>
        <w:t>is given in table based on MCS index if enabled, 0 otherwise.</w:t>
      </w:r>
    </w:p>
    <w:p w14:paraId="4779F5D7" w14:textId="77777777" w:rsidR="00DD0164" w:rsidRPr="00DD0164" w:rsidRDefault="00DD0164" w:rsidP="00DD0164">
      <w:pPr>
        <w:pStyle w:val="af7"/>
        <w:numPr>
          <w:ilvl w:val="0"/>
          <w:numId w:val="22"/>
        </w:numPr>
        <w:rPr>
          <w:sz w:val="22"/>
          <w:szCs w:val="22"/>
        </w:rPr>
      </w:pPr>
      <w:r w:rsidRPr="00DD0164">
        <w:rPr>
          <w:rFonts w:ascii="Times New Roman" w:hAnsi="Times New Roman" w:cs="Times New Roman"/>
          <w:sz w:val="22"/>
          <w:szCs w:val="22"/>
        </w:rPr>
        <w:t>Option 3: A TPC command is introduce to indicate the power offset for NPUSCH with 16-QAM.</w:t>
      </w:r>
    </w:p>
    <w:p w14:paraId="3D70E932" w14:textId="77777777" w:rsidR="00DD0164" w:rsidRPr="00DD0164" w:rsidRDefault="00DD0164" w:rsidP="00DD0164">
      <w:pPr>
        <w:pStyle w:val="af7"/>
        <w:numPr>
          <w:ilvl w:val="0"/>
          <w:numId w:val="22"/>
        </w:numPr>
        <w:rPr>
          <w:sz w:val="22"/>
          <w:szCs w:val="22"/>
        </w:rPr>
      </w:pPr>
      <w:r w:rsidRPr="00DD0164">
        <w:rPr>
          <w:rFonts w:ascii="Times New Roman" w:hAnsi="Times New Roman" w:cs="Times New Roman" w:hint="eastAsia"/>
          <w:sz w:val="22"/>
          <w:szCs w:val="22"/>
        </w:rPr>
        <w:t xml:space="preserve">Option </w:t>
      </w:r>
      <w:r w:rsidRPr="00DD0164">
        <w:rPr>
          <w:rFonts w:ascii="Times New Roman" w:hAnsi="Times New Roman" w:cs="Times New Roman"/>
          <w:sz w:val="22"/>
          <w:szCs w:val="22"/>
        </w:rPr>
        <w:t>4</w:t>
      </w:r>
      <w:r w:rsidRPr="00DD0164">
        <w:rPr>
          <w:rFonts w:ascii="Times New Roman" w:hAnsi="Times New Roman" w:cs="Times New Roman" w:hint="eastAsia"/>
          <w:sz w:val="22"/>
          <w:szCs w:val="22"/>
        </w:rPr>
        <w:t>:</w:t>
      </w:r>
      <w:r w:rsidRPr="00DD0164">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sidRPr="00DD0164">
        <w:rPr>
          <w:rFonts w:hint="eastAsia"/>
          <w:sz w:val="22"/>
          <w:szCs w:val="22"/>
        </w:rPr>
        <w:t xml:space="preserve"> </w:t>
      </w:r>
      <w:r w:rsidRPr="00DD0164">
        <w:rPr>
          <w:rFonts w:ascii="Times New Roman" w:hAnsi="Times New Roman" w:cs="Times New Roman"/>
          <w:sz w:val="22"/>
          <w:szCs w:val="22"/>
        </w:rPr>
        <w:t>is configured by high layer parameter.</w:t>
      </w:r>
    </w:p>
    <w:p w14:paraId="16CFD5B6" w14:textId="2FAF05B2" w:rsidR="00BF2C67" w:rsidRPr="00DD0164" w:rsidRDefault="00DD0164" w:rsidP="00DD0164">
      <w:pPr>
        <w:pStyle w:val="af7"/>
        <w:numPr>
          <w:ilvl w:val="0"/>
          <w:numId w:val="22"/>
        </w:numPr>
        <w:rPr>
          <w:sz w:val="22"/>
          <w:szCs w:val="22"/>
        </w:rPr>
      </w:pPr>
      <w:r w:rsidRPr="00DD0164">
        <w:rPr>
          <w:rFonts w:ascii="Times New Roman" w:hAnsi="Times New Roman" w:cs="Times New Roman"/>
          <w:bCs/>
          <w:sz w:val="22"/>
          <w:szCs w:val="22"/>
          <w:lang w:eastAsia="ja-JP"/>
        </w:rPr>
        <w:t>Option 5: Δ</w:t>
      </w:r>
      <w:r w:rsidRPr="00DD0164">
        <w:rPr>
          <w:rFonts w:ascii="Times New Roman" w:hAnsi="Times New Roman" w:cs="Times New Roman"/>
          <w:bCs/>
          <w:sz w:val="22"/>
          <w:szCs w:val="22"/>
          <w:vertAlign w:val="subscript"/>
          <w:lang w:eastAsia="ja-JP"/>
        </w:rPr>
        <w:t>TF</w:t>
      </w:r>
      <w:r w:rsidRPr="00DD0164">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sidRPr="00DD0164">
        <w:rPr>
          <w:rFonts w:ascii="Times New Roman" w:hAnsi="Times New Roman" w:cs="Times New Roman"/>
          <w:bCs/>
          <w:sz w:val="22"/>
          <w:szCs w:val="22"/>
          <w:lang w:eastAsia="ja-JP"/>
        </w:rPr>
        <w:t xml:space="preserve"> for </w:t>
      </w:r>
      <w:r w:rsidRPr="00DD0164">
        <w:rPr>
          <w:rFonts w:ascii="Times New Roman" w:hAnsi="Times New Roman" w:cs="Times New Roman"/>
          <w:bCs/>
          <w:i/>
          <w:iCs/>
          <w:sz w:val="22"/>
          <w:szCs w:val="22"/>
          <w:lang w:eastAsia="ja-JP"/>
        </w:rPr>
        <w:t>K</w:t>
      </w:r>
      <w:r w:rsidRPr="00DD0164">
        <w:rPr>
          <w:rFonts w:ascii="Times New Roman" w:hAnsi="Times New Roman" w:cs="Times New Roman"/>
          <w:bCs/>
          <w:i/>
          <w:iCs/>
          <w:sz w:val="22"/>
          <w:szCs w:val="22"/>
          <w:vertAlign w:val="subscript"/>
          <w:lang w:eastAsia="ja-JP"/>
        </w:rPr>
        <w:t>s</w:t>
      </w:r>
      <w:r w:rsidRPr="00DD0164">
        <w:rPr>
          <w:rFonts w:ascii="Times New Roman" w:hAnsi="Times New Roman" w:cs="Times New Roman"/>
          <w:bCs/>
          <w:sz w:val="22"/>
          <w:szCs w:val="22"/>
          <w:lang w:eastAsia="ja-JP"/>
        </w:rPr>
        <w:t xml:space="preserve"> = 1.25 or Δ</w:t>
      </w:r>
      <w:r w:rsidRPr="00DD0164">
        <w:rPr>
          <w:rFonts w:ascii="Times New Roman" w:hAnsi="Times New Roman" w:cs="Times New Roman"/>
          <w:bCs/>
          <w:sz w:val="22"/>
          <w:szCs w:val="22"/>
          <w:vertAlign w:val="subscript"/>
          <w:lang w:eastAsia="ja-JP"/>
        </w:rPr>
        <w:t>TF</w:t>
      </w:r>
      <w:r w:rsidRPr="00DD0164">
        <w:rPr>
          <w:rFonts w:ascii="Times New Roman" w:hAnsi="Times New Roman" w:cs="Times New Roman"/>
          <w:bCs/>
          <w:sz w:val="22"/>
          <w:szCs w:val="22"/>
          <w:lang w:eastAsia="ja-JP"/>
        </w:rPr>
        <w:t xml:space="preserve"> = 0 for </w:t>
      </w:r>
      <w:r w:rsidRPr="00DD0164">
        <w:rPr>
          <w:rFonts w:ascii="Times New Roman" w:hAnsi="Times New Roman" w:cs="Times New Roman"/>
          <w:bCs/>
          <w:i/>
          <w:iCs/>
          <w:sz w:val="22"/>
          <w:szCs w:val="22"/>
          <w:lang w:eastAsia="ja-JP"/>
        </w:rPr>
        <w:t>K</w:t>
      </w:r>
      <w:r w:rsidRPr="00DD0164">
        <w:rPr>
          <w:rFonts w:ascii="Times New Roman" w:hAnsi="Times New Roman" w:cs="Times New Roman"/>
          <w:bCs/>
          <w:i/>
          <w:iCs/>
          <w:sz w:val="22"/>
          <w:szCs w:val="22"/>
          <w:vertAlign w:val="subscript"/>
          <w:lang w:eastAsia="ja-JP"/>
        </w:rPr>
        <w:t>s</w:t>
      </w:r>
      <w:r w:rsidRPr="00DD0164">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sidRPr="00DD0164">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sidRPr="00DD0164">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sidRPr="00DD0164">
        <w:rPr>
          <w:rFonts w:ascii="Times New Roman" w:hAnsi="Times New Roman" w:cs="Times New Roman"/>
          <w:bCs/>
          <w:sz w:val="22"/>
          <w:szCs w:val="22"/>
          <w:lang w:eastAsia="ja-JP"/>
        </w:rPr>
        <w:t xml:space="preserve"> is the number of bits per M-ary symbol of the Modulation Scheme.</w:t>
      </w:r>
    </w:p>
    <w:p w14:paraId="6FF89891" w14:textId="77777777" w:rsidR="00DD0164" w:rsidRDefault="00DD0164" w:rsidP="00BF2C67"/>
    <w:p w14:paraId="3E466396" w14:textId="77777777" w:rsidR="00BF2C67" w:rsidRDefault="00BF2C67" w:rsidP="00BF2C67">
      <w:r>
        <w:rPr>
          <w:rFonts w:hint="eastAsia"/>
        </w:rPr>
        <w:t>P</w:t>
      </w:r>
      <w:r>
        <w:t>lease input your preference and reasons on the down-selection, and your comments on the FFS as well:</w:t>
      </w:r>
    </w:p>
    <w:tbl>
      <w:tblPr>
        <w:tblStyle w:val="af1"/>
        <w:tblW w:w="0" w:type="auto"/>
        <w:tblLook w:val="04A0" w:firstRow="1" w:lastRow="0" w:firstColumn="1" w:lastColumn="0" w:noHBand="0" w:noVBand="1"/>
      </w:tblPr>
      <w:tblGrid>
        <w:gridCol w:w="1838"/>
        <w:gridCol w:w="7469"/>
      </w:tblGrid>
      <w:tr w:rsidR="00BF2C67" w14:paraId="5B6158E6" w14:textId="77777777" w:rsidTr="009177B2">
        <w:tc>
          <w:tcPr>
            <w:tcW w:w="1838" w:type="dxa"/>
          </w:tcPr>
          <w:p w14:paraId="2D673B5F" w14:textId="77777777" w:rsidR="00BF2C67" w:rsidRDefault="00BF2C67" w:rsidP="009177B2">
            <w:pPr>
              <w:rPr>
                <w:szCs w:val="20"/>
              </w:rPr>
            </w:pPr>
            <w:r>
              <w:rPr>
                <w:rFonts w:hint="eastAsia"/>
                <w:szCs w:val="20"/>
              </w:rPr>
              <w:t>Comp</w:t>
            </w:r>
            <w:r>
              <w:rPr>
                <w:szCs w:val="20"/>
              </w:rPr>
              <w:t>anies</w:t>
            </w:r>
          </w:p>
        </w:tc>
        <w:tc>
          <w:tcPr>
            <w:tcW w:w="7469" w:type="dxa"/>
          </w:tcPr>
          <w:p w14:paraId="6C5D8918" w14:textId="77777777" w:rsidR="00BF2C67" w:rsidRDefault="00BF2C67" w:rsidP="009177B2">
            <w:pPr>
              <w:rPr>
                <w:szCs w:val="20"/>
              </w:rPr>
            </w:pPr>
            <w:r>
              <w:rPr>
                <w:rFonts w:hint="eastAsia"/>
                <w:szCs w:val="20"/>
              </w:rPr>
              <w:t>Comments</w:t>
            </w:r>
          </w:p>
        </w:tc>
      </w:tr>
      <w:tr w:rsidR="00BF2C67" w14:paraId="4CFF73A0" w14:textId="77777777" w:rsidTr="009177B2">
        <w:tc>
          <w:tcPr>
            <w:tcW w:w="1838" w:type="dxa"/>
          </w:tcPr>
          <w:p w14:paraId="409C6112" w14:textId="77777777" w:rsidR="00BF2C67" w:rsidRDefault="00BF2C67" w:rsidP="009177B2">
            <w:r>
              <w:t>Huawei, HiSilicon</w:t>
            </w:r>
          </w:p>
        </w:tc>
        <w:tc>
          <w:tcPr>
            <w:tcW w:w="7469" w:type="dxa"/>
          </w:tcPr>
          <w:p w14:paraId="4A44D07F" w14:textId="77777777" w:rsidR="00BF2C67" w:rsidRDefault="00BF2C67" w:rsidP="009177B2">
            <w:r>
              <w:rPr>
                <w:rFonts w:hint="eastAsia"/>
              </w:rPr>
              <w:t>W</w:t>
            </w:r>
            <w:r>
              <w:t>e are OK with proposal 7 and support option 1, since it is sufficient to follow the LTE principle and seems no need to introduce a different one.</w:t>
            </w:r>
          </w:p>
        </w:tc>
      </w:tr>
      <w:tr w:rsidR="00BF2C67" w14:paraId="6B06E751" w14:textId="77777777" w:rsidTr="009177B2">
        <w:tc>
          <w:tcPr>
            <w:tcW w:w="1838" w:type="dxa"/>
          </w:tcPr>
          <w:p w14:paraId="7F0392A5" w14:textId="77777777" w:rsidR="00BF2C67" w:rsidRDefault="00BF2C67" w:rsidP="009177B2">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471DB5C2" w14:textId="77777777" w:rsidR="00BF2C67" w:rsidRDefault="00BF2C67" w:rsidP="009177B2">
            <w:pPr>
              <w:rPr>
                <w:rFonts w:asciiTheme="minorHAnsi" w:hAnsiTheme="minorHAnsi" w:cstheme="minorHAnsi"/>
                <w:szCs w:val="20"/>
                <w:lang w:eastAsia="zh-CN"/>
              </w:rPr>
            </w:pPr>
            <w:r>
              <w:rPr>
                <w:rFonts w:asciiTheme="minorHAnsi" w:hAnsiTheme="minorHAnsi" w:cstheme="minorHAnsi"/>
                <w:szCs w:val="20"/>
                <w:lang w:eastAsia="zh-CN"/>
              </w:rPr>
              <w:t>Proposal 7:</w:t>
            </w:r>
          </w:p>
          <w:p w14:paraId="59D2AA04" w14:textId="77777777" w:rsidR="00BF2C67" w:rsidRDefault="00BF2C67" w:rsidP="009177B2">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01D153CB" w14:textId="77777777" w:rsidR="00BF2C67" w:rsidRDefault="00BF2C67" w:rsidP="009177B2">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56883B48" w14:textId="77777777" w:rsidR="00BF2C67" w:rsidRDefault="00BF2C67" w:rsidP="009177B2">
            <w:pPr>
              <w:pStyle w:val="af7"/>
              <w:rPr>
                <w:rFonts w:ascii="Times New Roman" w:hAnsi="Times New Roman"/>
                <w:sz w:val="20"/>
                <w:szCs w:val="20"/>
                <w:lang w:val="en-GB" w:eastAsia="ja-JP"/>
              </w:rPr>
            </w:pPr>
          </w:p>
          <w:p w14:paraId="43571D43" w14:textId="77777777" w:rsidR="00BF2C67" w:rsidRDefault="00BF2C67" w:rsidP="009177B2">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000A7799" w14:textId="77777777" w:rsidR="00BF2C67" w:rsidRDefault="00BF2C67" w:rsidP="009177B2">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2C9ADD68" w14:textId="77777777" w:rsidR="00BF2C67" w:rsidRDefault="00BF2C67" w:rsidP="009177B2">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4C2CBACB" w14:textId="77777777" w:rsidR="00BF2C67" w:rsidRDefault="00BF2C67" w:rsidP="009177B2">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BF2C67" w14:paraId="32F86C1D" w14:textId="77777777" w:rsidTr="009177B2">
        <w:tc>
          <w:tcPr>
            <w:tcW w:w="1838" w:type="dxa"/>
          </w:tcPr>
          <w:p w14:paraId="02E50C02" w14:textId="77777777" w:rsidR="00BF2C67" w:rsidRDefault="00BF2C67" w:rsidP="009177B2">
            <w:pPr>
              <w:rPr>
                <w:szCs w:val="20"/>
                <w:lang w:eastAsia="zh-CN"/>
              </w:rPr>
            </w:pPr>
            <w:r>
              <w:rPr>
                <w:rFonts w:hint="eastAsia"/>
                <w:szCs w:val="20"/>
                <w:lang w:eastAsia="zh-CN"/>
              </w:rPr>
              <w:t>L</w:t>
            </w:r>
            <w:r>
              <w:rPr>
                <w:szCs w:val="20"/>
                <w:lang w:eastAsia="zh-CN"/>
              </w:rPr>
              <w:t>enovo, MotoM</w:t>
            </w:r>
          </w:p>
        </w:tc>
        <w:tc>
          <w:tcPr>
            <w:tcW w:w="7469" w:type="dxa"/>
          </w:tcPr>
          <w:p w14:paraId="280A6CB0" w14:textId="77777777" w:rsidR="00BF2C67" w:rsidRDefault="00BF2C67" w:rsidP="009177B2">
            <w:pPr>
              <w:rPr>
                <w:szCs w:val="20"/>
                <w:lang w:eastAsia="zh-CN"/>
              </w:rPr>
            </w:pPr>
            <w:r>
              <w:rPr>
                <w:rFonts w:hint="eastAsia"/>
              </w:rPr>
              <w:t>W</w:t>
            </w:r>
            <w:r>
              <w:t>e are OK with proposal 7 and support option 1, since it is sufficient to follow the LTE principle and seems no need to introduce a different one.</w:t>
            </w:r>
          </w:p>
        </w:tc>
      </w:tr>
      <w:tr w:rsidR="00BF2C67" w14:paraId="6D0C92D6" w14:textId="77777777" w:rsidTr="009177B2">
        <w:tc>
          <w:tcPr>
            <w:tcW w:w="1838" w:type="dxa"/>
          </w:tcPr>
          <w:p w14:paraId="7F586CA6" w14:textId="77777777" w:rsidR="00BF2C67" w:rsidRDefault="00BF2C67" w:rsidP="009177B2">
            <w:pPr>
              <w:rPr>
                <w:rFonts w:asciiTheme="minorHAnsi" w:hAnsiTheme="minorHAnsi" w:cstheme="minorHAnsi"/>
                <w:szCs w:val="20"/>
                <w:lang w:eastAsia="zh-CN"/>
              </w:rPr>
            </w:pPr>
            <w:r>
              <w:rPr>
                <w:rFonts w:asciiTheme="minorHAnsi" w:hAnsiTheme="minorHAnsi" w:cstheme="minorHAnsi" w:hint="eastAsia"/>
                <w:szCs w:val="20"/>
                <w:lang w:eastAsia="zh-CN"/>
              </w:rPr>
              <w:t>ZTE,Sanechips</w:t>
            </w:r>
          </w:p>
        </w:tc>
        <w:tc>
          <w:tcPr>
            <w:tcW w:w="7469" w:type="dxa"/>
          </w:tcPr>
          <w:p w14:paraId="7E4D0D85" w14:textId="77777777" w:rsidR="00BF2C67" w:rsidRDefault="00BF2C67" w:rsidP="009177B2">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rsidR="00BF2C67" w14:paraId="08EE3B00" w14:textId="77777777" w:rsidTr="009177B2">
        <w:tc>
          <w:tcPr>
            <w:tcW w:w="1838" w:type="dxa"/>
          </w:tcPr>
          <w:p w14:paraId="166A0EC3" w14:textId="77777777" w:rsidR="00BF2C67" w:rsidRDefault="00BF2C67" w:rsidP="009177B2">
            <w:pPr>
              <w:rPr>
                <w:szCs w:val="20"/>
                <w:lang w:eastAsia="zh-CN"/>
              </w:rPr>
            </w:pPr>
            <w:r>
              <w:rPr>
                <w:szCs w:val="20"/>
                <w:lang w:eastAsia="zh-CN"/>
              </w:rPr>
              <w:lastRenderedPageBreak/>
              <w:t>Nokia, NSB</w:t>
            </w:r>
          </w:p>
        </w:tc>
        <w:tc>
          <w:tcPr>
            <w:tcW w:w="7469" w:type="dxa"/>
          </w:tcPr>
          <w:p w14:paraId="7DC4FB6B" w14:textId="77777777" w:rsidR="00BF2C67" w:rsidRDefault="00BF2C67" w:rsidP="009177B2">
            <w:pPr>
              <w:rPr>
                <w:szCs w:val="20"/>
                <w:lang w:eastAsia="zh-CN"/>
              </w:rPr>
            </w:pPr>
            <w:r>
              <w:rPr>
                <w:szCs w:val="20"/>
                <w:lang w:eastAsia="zh-CN"/>
              </w:rPr>
              <w:t>We are fine with proposal 7. Our preference is option 2, which is a simplified version of option 1/5.</w:t>
            </w:r>
          </w:p>
        </w:tc>
      </w:tr>
      <w:tr w:rsidR="00BF2C67" w14:paraId="177937AA" w14:textId="77777777" w:rsidTr="009177B2">
        <w:tc>
          <w:tcPr>
            <w:tcW w:w="1838" w:type="dxa"/>
          </w:tcPr>
          <w:p w14:paraId="365A1DAE" w14:textId="77777777" w:rsidR="00BF2C67" w:rsidRDefault="00BF2C67" w:rsidP="009177B2">
            <w:pPr>
              <w:rPr>
                <w:szCs w:val="20"/>
                <w:lang w:eastAsia="zh-CN"/>
              </w:rPr>
            </w:pPr>
            <w:r>
              <w:rPr>
                <w:szCs w:val="20"/>
                <w:lang w:eastAsia="zh-CN"/>
              </w:rPr>
              <w:t>Qualcomm</w:t>
            </w:r>
          </w:p>
        </w:tc>
        <w:tc>
          <w:tcPr>
            <w:tcW w:w="7469" w:type="dxa"/>
          </w:tcPr>
          <w:p w14:paraId="3A317C45" w14:textId="77777777" w:rsidR="00BF2C67" w:rsidRDefault="00BF2C67" w:rsidP="009177B2">
            <w:pPr>
              <w:rPr>
                <w:szCs w:val="20"/>
                <w:lang w:eastAsia="zh-CN"/>
              </w:rPr>
            </w:pPr>
            <w:r>
              <w:rPr>
                <w:szCs w:val="20"/>
                <w:lang w:eastAsia="zh-CN"/>
              </w:rPr>
              <w:t>We think Option 3 should be removed. The other options can be further discussed.</w:t>
            </w:r>
          </w:p>
        </w:tc>
      </w:tr>
      <w:tr w:rsidR="00BF2C67" w14:paraId="17EEFC7C" w14:textId="77777777" w:rsidTr="009177B2">
        <w:tc>
          <w:tcPr>
            <w:tcW w:w="1838" w:type="dxa"/>
          </w:tcPr>
          <w:p w14:paraId="20592B02" w14:textId="77777777" w:rsidR="00BF2C67" w:rsidRDefault="00BF2C67" w:rsidP="009177B2">
            <w:pPr>
              <w:rPr>
                <w:sz w:val="20"/>
                <w:szCs w:val="20"/>
                <w:lang w:eastAsia="zh-CN"/>
              </w:rPr>
            </w:pPr>
            <w:r>
              <w:rPr>
                <w:sz w:val="20"/>
                <w:szCs w:val="20"/>
                <w:lang w:eastAsia="zh-CN"/>
              </w:rPr>
              <w:t>Ericsson v010</w:t>
            </w:r>
          </w:p>
        </w:tc>
        <w:tc>
          <w:tcPr>
            <w:tcW w:w="7469" w:type="dxa"/>
          </w:tcPr>
          <w:p w14:paraId="17D3B2B0" w14:textId="77777777" w:rsidR="00BF2C67" w:rsidRDefault="00BF2C67" w:rsidP="009177B2">
            <w:pPr>
              <w:rPr>
                <w:sz w:val="20"/>
                <w:szCs w:val="20"/>
                <w:vertAlign w:val="subscript"/>
              </w:rPr>
            </w:pPr>
            <w:r>
              <w:rPr>
                <w:sz w:val="20"/>
                <w:szCs w:val="20"/>
                <w:lang w:eastAsia="zh-CN"/>
              </w:rPr>
              <w:t xml:space="preserve">We kindly request the proponent of Option 1 to provide the numeric value obtained from </w:t>
            </w:r>
            <w:r>
              <w:rPr>
                <w:sz w:val="20"/>
                <w:szCs w:val="20"/>
              </w:rPr>
              <w:t>Δ</w:t>
            </w:r>
            <w:r>
              <w:rPr>
                <w:sz w:val="20"/>
                <w:szCs w:val="20"/>
                <w:vertAlign w:val="subscript"/>
              </w:rPr>
              <w:t>TF.</w:t>
            </w:r>
          </w:p>
          <w:p w14:paraId="2F7ABDF0" w14:textId="77777777" w:rsidR="00BF2C67" w:rsidRDefault="00BF2C67" w:rsidP="009177B2">
            <w:pPr>
              <w:rPr>
                <w:sz w:val="20"/>
                <w:szCs w:val="20"/>
              </w:rPr>
            </w:pPr>
            <w:r>
              <w:rPr>
                <w:sz w:val="20"/>
                <w:szCs w:val="20"/>
                <w:lang w:eastAsia="zh-CN"/>
              </w:rPr>
              <w:t xml:space="preserve">For Option 5, </w:t>
            </w:r>
            <w:r>
              <w:rPr>
                <w:sz w:val="20"/>
                <w:szCs w:val="20"/>
              </w:rPr>
              <w:t>Δ</w:t>
            </w:r>
            <w:r>
              <w:rPr>
                <w:sz w:val="20"/>
                <w:szCs w:val="20"/>
                <w:vertAlign w:val="subscript"/>
              </w:rPr>
              <w:t>TF</w:t>
            </w:r>
            <w:r>
              <w:rPr>
                <w:sz w:val="20"/>
                <w:szCs w:val="20"/>
              </w:rPr>
              <w:t xml:space="preserve"> = 7.2545 dB.</w:t>
            </w:r>
          </w:p>
          <w:p w14:paraId="12D57C47" w14:textId="77777777" w:rsidR="00BF2C67" w:rsidRDefault="00BF2C67" w:rsidP="009177B2">
            <w:pPr>
              <w:rPr>
                <w:sz w:val="20"/>
                <w:szCs w:val="20"/>
                <w:lang w:eastAsia="zh-CN"/>
              </w:rPr>
            </w:pPr>
            <w:r>
              <w:rPr>
                <w:sz w:val="20"/>
                <w:szCs w:val="20"/>
                <w:lang w:eastAsia="zh-CN"/>
              </w:rPr>
              <w:t xml:space="preserve">An equation-based solution as Option 1 and Option 5 provides a single </w:t>
            </w:r>
            <w:r>
              <w:rPr>
                <w:sz w:val="20"/>
                <w:szCs w:val="20"/>
              </w:rPr>
              <w:t>Δ</w:t>
            </w:r>
            <w:r>
              <w:rPr>
                <w:sz w:val="20"/>
                <w:szCs w:val="20"/>
                <w:vertAlign w:val="subscript"/>
              </w:rPr>
              <w:t>TF</w:t>
            </w:r>
            <w:r>
              <w:rPr>
                <w:sz w:val="20"/>
                <w:szCs w:val="20"/>
                <w:lang w:eastAsia="zh-CN"/>
              </w:rPr>
              <w:t xml:space="preserve"> value. Thus, we think that is probably better to have more flexibility through a </w:t>
            </w:r>
            <w:r>
              <w:rPr>
                <w:sz w:val="20"/>
                <w:szCs w:val="20"/>
              </w:rPr>
              <w:t>Δ</w:t>
            </w:r>
            <w:r>
              <w:rPr>
                <w:sz w:val="20"/>
                <w:szCs w:val="20"/>
                <w:vertAlign w:val="subscript"/>
              </w:rPr>
              <w:t>TF</w:t>
            </w:r>
            <w:r>
              <w:rPr>
                <w:sz w:val="20"/>
                <w:szCs w:val="20"/>
                <w:lang w:eastAsia="zh-CN"/>
              </w:rPr>
              <w:t xml:space="preserve"> configured via HL (e.g., Option 4), where </w:t>
            </w:r>
            <w:r>
              <w:rPr>
                <w:sz w:val="20"/>
                <w:szCs w:val="20"/>
              </w:rPr>
              <w:t>Δ</w:t>
            </w:r>
            <w:r>
              <w:rPr>
                <w:sz w:val="20"/>
                <w:szCs w:val="20"/>
                <w:vertAlign w:val="subscript"/>
              </w:rPr>
              <w:t>TF</w:t>
            </w:r>
            <w:r>
              <w:rPr>
                <w:sz w:val="20"/>
                <w:szCs w:val="20"/>
                <w:lang w:eastAsia="zh-CN"/>
              </w:rPr>
              <w:t xml:space="preserve"> is selected from among a set of possible values in a set. For example:</w:t>
            </w:r>
          </w:p>
          <w:p w14:paraId="230D6C56" w14:textId="77777777" w:rsidR="00BF2C67" w:rsidRDefault="00BF2C67" w:rsidP="009177B2">
            <w:pPr>
              <w:pStyle w:val="af7"/>
              <w:rPr>
                <w:rFonts w:ascii="Times New Roman" w:hAnsi="Times New Roman" w:cs="Times New Roman"/>
                <w:sz w:val="20"/>
                <w:szCs w:val="20"/>
              </w:rPr>
            </w:pPr>
            <w:r>
              <w:rPr>
                <w:rFonts w:ascii="Times New Roman" w:hAnsi="Times New Roman" w:cs="Times New Roman"/>
                <w:sz w:val="20"/>
                <w:szCs w:val="20"/>
              </w:rPr>
              <w:t>Δ</w:t>
            </w:r>
            <w:r>
              <w:rPr>
                <w:rFonts w:ascii="Times New Roman" w:hAnsi="Times New Roman" w:cs="Times New Roman"/>
                <w:sz w:val="20"/>
                <w:szCs w:val="20"/>
                <w:vertAlign w:val="subscript"/>
              </w:rPr>
              <w:t>TF</w:t>
            </w:r>
            <w:r>
              <w:rPr>
                <w:rFonts w:ascii="Times New Roman" w:hAnsi="Times New Roman" w:cs="Times New Roman"/>
                <w:sz w:val="20"/>
                <w:szCs w:val="20"/>
              </w:rPr>
              <w:t xml:space="preserve"> = {A</w:t>
            </w:r>
            <w:r>
              <w:rPr>
                <w:rFonts w:ascii="Times New Roman" w:hAnsi="Times New Roman" w:cs="Times New Roman"/>
                <w:i/>
                <w:iCs/>
                <w:sz w:val="20"/>
                <w:szCs w:val="20"/>
              </w:rPr>
              <w:t>dB</w:t>
            </w:r>
            <w:r>
              <w:rPr>
                <w:rFonts w:ascii="Times New Roman" w:hAnsi="Times New Roman" w:cs="Times New Roman"/>
                <w:sz w:val="20"/>
                <w:szCs w:val="20"/>
              </w:rPr>
              <w:t>, B</w:t>
            </w:r>
            <w:r>
              <w:rPr>
                <w:rFonts w:ascii="Times New Roman" w:hAnsi="Times New Roman" w:cs="Times New Roman"/>
                <w:i/>
                <w:iCs/>
                <w:sz w:val="20"/>
                <w:szCs w:val="20"/>
              </w:rPr>
              <w:t>dB</w:t>
            </w:r>
            <w:r>
              <w:rPr>
                <w:rFonts w:ascii="Times New Roman" w:hAnsi="Times New Roman" w:cs="Times New Roman"/>
                <w:sz w:val="20"/>
                <w:szCs w:val="20"/>
              </w:rPr>
              <w:t>, C</w:t>
            </w:r>
            <w:r>
              <w:rPr>
                <w:rFonts w:ascii="Times New Roman" w:hAnsi="Times New Roman" w:cs="Times New Roman"/>
                <w:i/>
                <w:iCs/>
                <w:sz w:val="20"/>
                <w:szCs w:val="20"/>
              </w:rPr>
              <w:t>dB</w:t>
            </w:r>
            <w:r>
              <w:rPr>
                <w:rFonts w:ascii="Times New Roman" w:hAnsi="Times New Roman" w:cs="Times New Roman"/>
                <w:sz w:val="20"/>
                <w:szCs w:val="20"/>
              </w:rPr>
              <w:t>, D</w:t>
            </w:r>
            <w:r>
              <w:rPr>
                <w:rFonts w:ascii="Times New Roman" w:hAnsi="Times New Roman" w:cs="Times New Roman"/>
                <w:i/>
                <w:iCs/>
                <w:sz w:val="20"/>
                <w:szCs w:val="20"/>
              </w:rPr>
              <w:t>dB</w:t>
            </w:r>
            <w:r>
              <w:rPr>
                <w:rFonts w:ascii="Times New Roman" w:hAnsi="Times New Roman" w:cs="Times New Roman"/>
                <w:sz w:val="20"/>
                <w:szCs w:val="20"/>
              </w:rPr>
              <w:t>} is provided by HL parameter, and if this field is absent then 0</w:t>
            </w:r>
            <w:r>
              <w:rPr>
                <w:rFonts w:ascii="Times New Roman" w:hAnsi="Times New Roman" w:cs="Times New Roman"/>
                <w:i/>
                <w:iCs/>
                <w:sz w:val="20"/>
                <w:szCs w:val="20"/>
              </w:rPr>
              <w:t>dB</w:t>
            </w:r>
            <w:r>
              <w:rPr>
                <w:rFonts w:ascii="Times New Roman" w:hAnsi="Times New Roman" w:cs="Times New Roman"/>
                <w:sz w:val="20"/>
                <w:szCs w:val="20"/>
              </w:rPr>
              <w:t xml:space="preserve"> will be used. </w:t>
            </w:r>
          </w:p>
          <w:p w14:paraId="5501F017" w14:textId="77777777" w:rsidR="00BF2C67" w:rsidRDefault="00BF2C67" w:rsidP="009177B2">
            <w:pPr>
              <w:pStyle w:val="af7"/>
              <w:numPr>
                <w:ilvl w:val="0"/>
                <w:numId w:val="23"/>
              </w:numPr>
              <w:rPr>
                <w:rFonts w:ascii="Times New Roman" w:hAnsi="Times New Roman" w:cs="Times New Roman"/>
                <w:sz w:val="20"/>
                <w:szCs w:val="20"/>
              </w:rPr>
            </w:pPr>
            <w:r>
              <w:rPr>
                <w:rFonts w:ascii="Times New Roman" w:hAnsi="Times New Roman" w:cs="Times New Roman"/>
                <w:sz w:val="20"/>
                <w:szCs w:val="20"/>
              </w:rPr>
              <w:t>FFS: A, B, C, D.</w:t>
            </w:r>
          </w:p>
          <w:p w14:paraId="46647BD2" w14:textId="77777777" w:rsidR="00BF2C67" w:rsidRDefault="00BF2C67" w:rsidP="009177B2">
            <w:pPr>
              <w:rPr>
                <w:sz w:val="20"/>
                <w:szCs w:val="20"/>
                <w:lang w:eastAsia="zh-CN"/>
              </w:rPr>
            </w:pPr>
            <w:r>
              <w:rPr>
                <w:sz w:val="20"/>
                <w:szCs w:val="20"/>
                <w:lang w:eastAsia="zh-CN"/>
              </w:rPr>
              <w:t xml:space="preserve">With the above approach, the resulting </w:t>
            </w:r>
            <w:r>
              <w:rPr>
                <w:sz w:val="20"/>
                <w:szCs w:val="20"/>
              </w:rPr>
              <w:t>Δ</w:t>
            </w:r>
            <w:r>
              <w:rPr>
                <w:sz w:val="20"/>
                <w:szCs w:val="20"/>
                <w:vertAlign w:val="subscript"/>
              </w:rPr>
              <w:t>TF</w:t>
            </w:r>
            <w:r>
              <w:rPr>
                <w:sz w:val="20"/>
                <w:szCs w:val="20"/>
                <w:lang w:eastAsia="zh-CN"/>
              </w:rPr>
              <w:t xml:space="preserve"> from e.g., Option 1, Option 5 could be included in the set, which provides flexibility.</w:t>
            </w:r>
          </w:p>
        </w:tc>
      </w:tr>
      <w:tr w:rsidR="00BF2C67" w14:paraId="34719CAD" w14:textId="77777777" w:rsidTr="009177B2">
        <w:tc>
          <w:tcPr>
            <w:tcW w:w="1838" w:type="dxa"/>
          </w:tcPr>
          <w:p w14:paraId="4658E8AE" w14:textId="77777777" w:rsidR="00BF2C67" w:rsidRDefault="00BF2C67" w:rsidP="009177B2">
            <w:pPr>
              <w:rPr>
                <w:szCs w:val="20"/>
                <w:lang w:eastAsia="zh-CN"/>
              </w:rPr>
            </w:pPr>
            <w:r>
              <w:rPr>
                <w:szCs w:val="20"/>
                <w:lang w:eastAsia="zh-CN"/>
              </w:rPr>
              <w:t>Nokia, NSB</w:t>
            </w:r>
          </w:p>
        </w:tc>
        <w:tc>
          <w:tcPr>
            <w:tcW w:w="7469" w:type="dxa"/>
          </w:tcPr>
          <w:p w14:paraId="5BE32790" w14:textId="77777777" w:rsidR="00BF2C67" w:rsidRDefault="00BF2C67" w:rsidP="009177B2">
            <w:pPr>
              <w:rPr>
                <w:szCs w:val="20"/>
                <w:lang w:eastAsia="zh-CN"/>
              </w:rPr>
            </w:pPr>
            <w:r>
              <w:rPr>
                <w:szCs w:val="20"/>
                <w:lang w:eastAsia="zh-CN"/>
              </w:rPr>
              <w:t>We think that a single value per MCS level defined in specifications should be sufficient. There is no need to computer the value for each allocation nor have multiple higher-layer configured values.</w:t>
            </w:r>
          </w:p>
        </w:tc>
      </w:tr>
      <w:tr w:rsidR="00BF2C67" w14:paraId="46336AE4" w14:textId="77777777" w:rsidTr="009177B2">
        <w:tc>
          <w:tcPr>
            <w:tcW w:w="1838" w:type="dxa"/>
          </w:tcPr>
          <w:p w14:paraId="059458C4" w14:textId="77777777" w:rsidR="00BF2C67" w:rsidRDefault="00BF2C67" w:rsidP="009177B2">
            <w:pPr>
              <w:rPr>
                <w:szCs w:val="20"/>
                <w:lang w:eastAsia="zh-CN"/>
              </w:rPr>
            </w:pPr>
            <w:r>
              <w:t>Huawei, HiSilicon</w:t>
            </w:r>
          </w:p>
        </w:tc>
        <w:tc>
          <w:tcPr>
            <w:tcW w:w="7469" w:type="dxa"/>
          </w:tcPr>
          <w:p w14:paraId="271E085C" w14:textId="77777777" w:rsidR="00BF2C67" w:rsidRDefault="00BF2C67" w:rsidP="009177B2">
            <w:r>
              <w:t xml:space="preserve">The specific value is calculated based on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t xml:space="preserve"> 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eastAsia="zh-CN"/>
              </w:rPr>
              <w:t>.</w:t>
            </w:r>
            <w:r>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t>.</w:t>
            </w:r>
            <w:r>
              <w:rPr>
                <w:rFonts w:hint="eastAsia"/>
              </w:rPr>
              <w:t xml:space="preserv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rPr>
              <w:t xml:space="preserve"> is given by higher layer parameter </w:t>
            </w:r>
            <w:r>
              <w:rPr>
                <w:i/>
              </w:rPr>
              <w:t>deltaMCS-Enabled</w:t>
            </w:r>
            <w: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t xml:space="preserve"> where K is the code block size.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hint="eastAsia"/>
                <w:lang w:eastAsia="zh-CN"/>
              </w:rPr>
              <w:t xml:space="preserve"> </w:t>
            </w:r>
            <w:r>
              <w:rPr>
                <w:lang w:eastAsia="zh-CN"/>
              </w:rPr>
              <w:t>is the number of REs for NPUSCH.</w:t>
            </w:r>
          </w:p>
        </w:tc>
      </w:tr>
      <w:tr w:rsidR="00BF2C67" w14:paraId="556CF450" w14:textId="77777777" w:rsidTr="009177B2">
        <w:tc>
          <w:tcPr>
            <w:tcW w:w="1838" w:type="dxa"/>
          </w:tcPr>
          <w:p w14:paraId="3D9892E2" w14:textId="77777777" w:rsidR="00BF2C67" w:rsidRDefault="00BF2C67" w:rsidP="009177B2">
            <w:pPr>
              <w:rPr>
                <w:lang w:eastAsia="zh-CN"/>
              </w:rPr>
            </w:pPr>
            <w:r>
              <w:rPr>
                <w:rFonts w:hint="eastAsia"/>
                <w:lang w:eastAsia="zh-CN"/>
              </w:rPr>
              <w:t>ZTE, Sanechips</w:t>
            </w:r>
          </w:p>
        </w:tc>
        <w:tc>
          <w:tcPr>
            <w:tcW w:w="7469" w:type="dxa"/>
          </w:tcPr>
          <w:p w14:paraId="2147AAB7" w14:textId="77777777" w:rsidR="00BF2C67" w:rsidRDefault="00BF2C67" w:rsidP="009177B2">
            <w:pPr>
              <w:rPr>
                <w:lang w:eastAsia="zh-CN"/>
              </w:rPr>
            </w:pPr>
            <w:r>
              <w:rPr>
                <w:rFonts w:hint="eastAsia"/>
                <w:lang w:eastAsia="zh-CN"/>
              </w:rPr>
              <w:t xml:space="preserve">A repurposed field with 4 bits can be used for TPC command. There are enough states to include all </w:t>
            </w:r>
            <w:r>
              <w:t>power offset</w:t>
            </w:r>
            <w:r>
              <w:rPr>
                <w:rFonts w:hint="eastAsia"/>
                <w:lang w:eastAsia="zh-CN"/>
              </w:rPr>
              <w:t xml:space="preserve"> determined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lang w:eastAsia="zh-CN"/>
              </w:rPr>
              <w:t xml:space="preserve">We do not see any benefits to adopt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lang w:eastAsia="zh-CN"/>
              </w:rPr>
              <w:t>, instead of dynamic TPC control.</w:t>
            </w:r>
          </w:p>
        </w:tc>
      </w:tr>
      <w:tr w:rsidR="00DD0164" w14:paraId="4E059BC7" w14:textId="77777777" w:rsidTr="009177B2">
        <w:tc>
          <w:tcPr>
            <w:tcW w:w="1838" w:type="dxa"/>
          </w:tcPr>
          <w:p w14:paraId="387037D5" w14:textId="77777777" w:rsidR="00DD0164" w:rsidRDefault="00DD0164" w:rsidP="009177B2">
            <w:pPr>
              <w:rPr>
                <w:rFonts w:hint="eastAsia"/>
                <w:lang w:eastAsia="zh-CN"/>
              </w:rPr>
            </w:pPr>
          </w:p>
        </w:tc>
        <w:tc>
          <w:tcPr>
            <w:tcW w:w="7469" w:type="dxa"/>
          </w:tcPr>
          <w:p w14:paraId="441AAA57" w14:textId="77777777" w:rsidR="00DD0164" w:rsidRDefault="00DD0164" w:rsidP="009177B2">
            <w:pPr>
              <w:rPr>
                <w:rFonts w:hint="eastAsia"/>
                <w:lang w:eastAsia="zh-CN"/>
              </w:rPr>
            </w:pPr>
          </w:p>
        </w:tc>
      </w:tr>
      <w:tr w:rsidR="00DD0164" w14:paraId="280A209D" w14:textId="77777777" w:rsidTr="009177B2">
        <w:tc>
          <w:tcPr>
            <w:tcW w:w="1838" w:type="dxa"/>
          </w:tcPr>
          <w:p w14:paraId="510C1CAB" w14:textId="77777777" w:rsidR="00DD0164" w:rsidRDefault="00DD0164" w:rsidP="009177B2">
            <w:pPr>
              <w:rPr>
                <w:rFonts w:hint="eastAsia"/>
                <w:lang w:eastAsia="zh-CN"/>
              </w:rPr>
            </w:pPr>
          </w:p>
        </w:tc>
        <w:tc>
          <w:tcPr>
            <w:tcW w:w="7469" w:type="dxa"/>
          </w:tcPr>
          <w:p w14:paraId="58B4B82B" w14:textId="77777777" w:rsidR="00DD0164" w:rsidRDefault="00DD0164" w:rsidP="009177B2">
            <w:pPr>
              <w:rPr>
                <w:rFonts w:hint="eastAsia"/>
                <w:lang w:eastAsia="zh-CN"/>
              </w:rPr>
            </w:pPr>
          </w:p>
        </w:tc>
      </w:tr>
    </w:tbl>
    <w:p w14:paraId="4FE585FE" w14:textId="77777777" w:rsidR="00BF2C67" w:rsidRDefault="00BF2C67" w:rsidP="00BF2C67">
      <w:pPr>
        <w:autoSpaceDE/>
        <w:autoSpaceDN/>
        <w:adjustRightInd/>
        <w:snapToGrid/>
        <w:spacing w:after="0"/>
        <w:rPr>
          <w:b/>
          <w:szCs w:val="21"/>
          <w:lang w:eastAsia="zh-CN"/>
        </w:rPr>
      </w:pPr>
    </w:p>
    <w:p w14:paraId="33522E73" w14:textId="77777777" w:rsidR="00BF2C67" w:rsidRDefault="00BF2C67" w:rsidP="00BF2C67">
      <w:pPr>
        <w:autoSpaceDE/>
        <w:autoSpaceDN/>
        <w:adjustRightInd/>
        <w:snapToGrid/>
        <w:spacing w:after="0"/>
        <w:rPr>
          <w:b/>
          <w:szCs w:val="21"/>
          <w:lang w:eastAsia="zh-CN"/>
        </w:rPr>
      </w:pPr>
    </w:p>
    <w:p w14:paraId="72CCCF0F" w14:textId="77777777" w:rsidR="00BF2C67" w:rsidRDefault="00BF2C67" w:rsidP="00BF2C67">
      <w:pPr>
        <w:pStyle w:val="2"/>
        <w:rPr>
          <w:lang w:eastAsia="zh-CN"/>
        </w:rPr>
      </w:pPr>
      <w:r>
        <w:rPr>
          <w:lang w:eastAsia="zh-CN"/>
        </w:rPr>
        <w:t>Channel quality reporting</w:t>
      </w:r>
    </w:p>
    <w:p w14:paraId="3630781F" w14:textId="77777777" w:rsidR="00BF2C67" w:rsidRDefault="00BF2C67" w:rsidP="00BF2C67">
      <w:pPr>
        <w:autoSpaceDE/>
        <w:autoSpaceDN/>
        <w:adjustRightInd/>
        <w:snapToGrid/>
        <w:spacing w:after="0"/>
        <w:rPr>
          <w:b/>
          <w:szCs w:val="21"/>
          <w:lang w:eastAsia="zh-CN"/>
        </w:rPr>
      </w:pPr>
    </w:p>
    <w:p w14:paraId="7C7D18E5" w14:textId="77777777" w:rsidR="00BF2C67" w:rsidRDefault="00BF2C67" w:rsidP="00BF2C67">
      <w:pPr>
        <w:pStyle w:val="30"/>
      </w:pPr>
      <w:r>
        <w:rPr>
          <w:lang w:eastAsia="zh-CN"/>
        </w:rPr>
        <w:t>Issue 5: Channel quality reporting</w:t>
      </w:r>
    </w:p>
    <w:p w14:paraId="0319CFD1" w14:textId="0F9DBFB6" w:rsidR="00BF2C67" w:rsidRDefault="00B41910" w:rsidP="00BF2C67">
      <w:pPr>
        <w:spacing w:line="240" w:lineRule="auto"/>
      </w:pPr>
      <w:r>
        <w:t>The following proposal has been achieved</w:t>
      </w:r>
      <w:r w:rsidR="00776FB2">
        <w:t>:</w:t>
      </w:r>
    </w:p>
    <w:p w14:paraId="5624A7B6" w14:textId="77777777" w:rsidR="00776FB2" w:rsidRPr="004B199D" w:rsidRDefault="00776FB2" w:rsidP="00776FB2">
      <w:pPr>
        <w:ind w:leftChars="200" w:left="440"/>
        <w:rPr>
          <w:rFonts w:cs="Times"/>
          <w:szCs w:val="20"/>
          <w:highlight w:val="yellow"/>
          <w:lang w:eastAsia="ja-JP"/>
        </w:rPr>
      </w:pPr>
      <w:r w:rsidRPr="004B199D">
        <w:rPr>
          <w:rFonts w:cs="Times"/>
          <w:szCs w:val="20"/>
          <w:lang w:eastAsia="ja-JP"/>
        </w:rPr>
        <w:t xml:space="preserve">Conclusion </w:t>
      </w:r>
    </w:p>
    <w:p w14:paraId="59D9B265" w14:textId="5742D179" w:rsidR="00776FB2" w:rsidRDefault="00776FB2" w:rsidP="00776FB2">
      <w:pPr>
        <w:spacing w:line="240" w:lineRule="auto"/>
        <w:ind w:leftChars="200" w:left="440"/>
      </w:pPr>
      <w:r w:rsidRPr="004B199D">
        <w:rPr>
          <w:rFonts w:cs="Times"/>
          <w:szCs w:val="20"/>
          <w:lang w:eastAsia="ja-JP"/>
        </w:rPr>
        <w:t>The channel quality report is not supported in Msg3 in connected mode in Rel-17.</w:t>
      </w:r>
    </w:p>
    <w:p w14:paraId="104643B8" w14:textId="77777777" w:rsidR="00BF2C67" w:rsidRDefault="00BF2C67" w:rsidP="00BF2C67">
      <w:pPr>
        <w:spacing w:line="240" w:lineRule="auto"/>
      </w:pPr>
      <w:r>
        <w:t>On the CQI table for downlink 16-QAM, 4 companies (Nokia, NSB, Lenovo, Moto) prefer option 1, 1 company (Ericsson) prefers option 2, and 7 companies (Huawei, HiSilicon, Nokia, NSB, ZTE, Sanechips, MTK) prefer option 3.</w:t>
      </w:r>
    </w:p>
    <w:p w14:paraId="5501D5B1" w14:textId="77777777" w:rsidR="004F1B5C" w:rsidRPr="004F1B5C" w:rsidRDefault="004F1B5C" w:rsidP="004F1B5C">
      <w:pPr>
        <w:pStyle w:val="af"/>
        <w:spacing w:before="0" w:beforeAutospacing="0" w:after="0" w:afterAutospacing="0"/>
        <w:ind w:leftChars="200" w:left="440"/>
        <w:rPr>
          <w:sz w:val="22"/>
          <w:szCs w:val="22"/>
          <w:highlight w:val="green"/>
          <w:lang w:val="sv-SE"/>
        </w:rPr>
      </w:pPr>
      <w:r w:rsidRPr="004F1B5C">
        <w:rPr>
          <w:sz w:val="22"/>
          <w:szCs w:val="22"/>
          <w:highlight w:val="green"/>
          <w:lang w:val="sv-SE"/>
        </w:rPr>
        <w:t>Agreement</w:t>
      </w:r>
    </w:p>
    <w:p w14:paraId="426FC629" w14:textId="77777777" w:rsidR="004F1B5C" w:rsidRPr="004F1B5C" w:rsidRDefault="004F1B5C" w:rsidP="004F1B5C">
      <w:pPr>
        <w:pStyle w:val="af"/>
        <w:spacing w:before="0" w:beforeAutospacing="0" w:after="0" w:afterAutospacing="0"/>
        <w:ind w:leftChars="200" w:left="440"/>
        <w:rPr>
          <w:sz w:val="22"/>
          <w:szCs w:val="22"/>
          <w:lang w:val="sv-SE"/>
        </w:rPr>
      </w:pPr>
      <w:r w:rsidRPr="004F1B5C">
        <w:rPr>
          <w:sz w:val="22"/>
          <w:szCs w:val="22"/>
          <w:lang w:val="sv-SE"/>
        </w:rPr>
        <w:t>For CQI table for downlink 16-QAM, down-select between following options in RAN1#106-e:</w:t>
      </w:r>
    </w:p>
    <w:p w14:paraId="5511EB16" w14:textId="77777777" w:rsidR="004F1B5C" w:rsidRPr="004F1B5C" w:rsidRDefault="004F1B5C" w:rsidP="004F1B5C">
      <w:pPr>
        <w:pStyle w:val="af7"/>
        <w:numPr>
          <w:ilvl w:val="0"/>
          <w:numId w:val="3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sidRPr="004F1B5C">
        <w:rPr>
          <w:rFonts w:ascii="Times New Roman" w:hAnsi="Times New Roman" w:cs="Times New Roman"/>
          <w:sz w:val="22"/>
          <w:szCs w:val="22"/>
        </w:rPr>
        <w:t>Option 1: More than three candidate values for 16-QAM are added in the legacy table.</w:t>
      </w:r>
    </w:p>
    <w:p w14:paraId="2B747CD1" w14:textId="77777777" w:rsidR="004F1B5C" w:rsidRPr="004F1B5C" w:rsidRDefault="004F1B5C" w:rsidP="004F1B5C">
      <w:pPr>
        <w:pStyle w:val="af7"/>
        <w:numPr>
          <w:ilvl w:val="1"/>
          <w:numId w:val="3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sidRPr="004F1B5C">
        <w:rPr>
          <w:rFonts w:ascii="Times New Roman" w:hAnsi="Times New Roman" w:cs="Times New Roman"/>
          <w:sz w:val="22"/>
          <w:szCs w:val="22"/>
        </w:rPr>
        <w:t>FFS: Which of the legacy entries are removed</w:t>
      </w:r>
    </w:p>
    <w:p w14:paraId="2EE51EE4" w14:textId="77777777" w:rsidR="004F1B5C" w:rsidRPr="004F1B5C" w:rsidRDefault="004F1B5C" w:rsidP="004F1B5C">
      <w:pPr>
        <w:pStyle w:val="af7"/>
        <w:numPr>
          <w:ilvl w:val="0"/>
          <w:numId w:val="3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sidRPr="004F1B5C">
        <w:rPr>
          <w:rFonts w:ascii="Times New Roman" w:hAnsi="Times New Roman" w:cs="Times New Roman"/>
          <w:sz w:val="22"/>
          <w:szCs w:val="22"/>
        </w:rPr>
        <w:t>Option 2: Three candidate values for 16-QAM are added in the legacy table.</w:t>
      </w:r>
    </w:p>
    <w:p w14:paraId="26DED6D0" w14:textId="77777777" w:rsidR="004F1B5C" w:rsidRPr="004F1B5C" w:rsidRDefault="004F1B5C" w:rsidP="004F1B5C">
      <w:pPr>
        <w:pStyle w:val="af7"/>
        <w:numPr>
          <w:ilvl w:val="0"/>
          <w:numId w:val="3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sidRPr="004F1B5C">
        <w:rPr>
          <w:rFonts w:ascii="Times New Roman" w:hAnsi="Times New Roman" w:cs="Times New Roman"/>
          <w:sz w:val="22"/>
          <w:szCs w:val="22"/>
        </w:rPr>
        <w:lastRenderedPageBreak/>
        <w:t>Option 3: A new CQI table is defined for 16-QAM based on the eMTC table (CQI Tables in 36.213) as a starting point</w:t>
      </w:r>
    </w:p>
    <w:p w14:paraId="72A0A590" w14:textId="77777777" w:rsidR="00BF2C67" w:rsidRDefault="00BF2C67" w:rsidP="00BF2C67">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7FC6D3E" w14:textId="77777777" w:rsidR="00BF2C67" w:rsidRDefault="00BF2C67" w:rsidP="00BF2C67">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49F7949A" w14:textId="5641F11A" w:rsidR="00BF2C67" w:rsidRDefault="00BF2C67" w:rsidP="00BF2C67">
      <w:pPr>
        <w:spacing w:line="240" w:lineRule="auto"/>
      </w:pPr>
      <w:r>
        <w:rPr>
          <w:rFonts w:hint="eastAsia"/>
        </w:rPr>
        <w:t>The concerns to support option 3 include: no</w:t>
      </w:r>
      <w:r w:rsidR="00F213CA">
        <w:t>t</w:t>
      </w:r>
      <w:r>
        <w:rPr>
          <w:rFonts w:hint="eastAsia"/>
        </w:rPr>
        <w:t xml:space="preserve"> backward compatible, </w:t>
      </w:r>
      <w:r w:rsidR="00D153A0">
        <w:t xml:space="preserve">out of </w:t>
      </w:r>
      <w:r w:rsidR="00B41910">
        <w:t xml:space="preserve">scope of WID, </w:t>
      </w:r>
      <w:r>
        <w:t xml:space="preserve">and </w:t>
      </w:r>
      <w:r>
        <w:rPr>
          <w:rFonts w:hint="eastAsia"/>
        </w:rPr>
        <w:t>additional signaling</w:t>
      </w:r>
      <w:r>
        <w:t>.</w:t>
      </w:r>
    </w:p>
    <w:p w14:paraId="7907AEF8" w14:textId="2492983D" w:rsidR="00C00989" w:rsidRDefault="00E97ECF" w:rsidP="00BF2C67">
      <w:pPr>
        <w:spacing w:line="240" w:lineRule="auto"/>
      </w:pPr>
      <w:r>
        <w:rPr>
          <w:rFonts w:hint="eastAsia"/>
        </w:rPr>
        <w:t>After the GTW session, more discussion is needed regarding the concerns listed above.</w:t>
      </w:r>
    </w:p>
    <w:p w14:paraId="102C651A" w14:textId="77777777" w:rsidR="004623C8" w:rsidRDefault="00BC5AB2" w:rsidP="00BF2C67">
      <w:pPr>
        <w:spacing w:line="240" w:lineRule="auto"/>
        <w:rPr>
          <w:b/>
        </w:rPr>
      </w:pPr>
      <w:r w:rsidRPr="00BC5AB2">
        <w:rPr>
          <w:rFonts w:hint="eastAsia"/>
          <w:b/>
        </w:rPr>
        <w:t xml:space="preserve">Question 1: </w:t>
      </w:r>
      <w:r w:rsidR="004623C8">
        <w:rPr>
          <w:b/>
        </w:rPr>
        <w:t>What’s your first preference between the three options?</w:t>
      </w:r>
    </w:p>
    <w:p w14:paraId="2ECFDED3" w14:textId="3DB4B791" w:rsidR="00BC5AB2" w:rsidRPr="00BC5AB2" w:rsidRDefault="004623C8" w:rsidP="00BF2C67">
      <w:pPr>
        <w:spacing w:line="240" w:lineRule="auto"/>
        <w:rPr>
          <w:b/>
        </w:rPr>
      </w:pPr>
      <w:r>
        <w:rPr>
          <w:b/>
        </w:rPr>
        <w:t>Question 2: Your comments regarding the listed concerns for the preferred option?</w:t>
      </w:r>
      <w:r w:rsidR="00F213CA">
        <w:rPr>
          <w:b/>
        </w:rPr>
        <w:t xml:space="preserve"> </w:t>
      </w:r>
    </w:p>
    <w:p w14:paraId="4171281D" w14:textId="58F310CA" w:rsidR="00BF2C67" w:rsidRDefault="00BF2C67" w:rsidP="00BF2C67">
      <w:pPr>
        <w:spacing w:line="240" w:lineRule="auto"/>
      </w:pPr>
    </w:p>
    <w:tbl>
      <w:tblPr>
        <w:tblStyle w:val="af1"/>
        <w:tblW w:w="0" w:type="auto"/>
        <w:tblLook w:val="04A0" w:firstRow="1" w:lastRow="0" w:firstColumn="1" w:lastColumn="0" w:noHBand="0" w:noVBand="1"/>
      </w:tblPr>
      <w:tblGrid>
        <w:gridCol w:w="1838"/>
        <w:gridCol w:w="7469"/>
      </w:tblGrid>
      <w:tr w:rsidR="00BF2C67" w14:paraId="2018C24E" w14:textId="77777777" w:rsidTr="009177B2">
        <w:tc>
          <w:tcPr>
            <w:tcW w:w="1838" w:type="dxa"/>
          </w:tcPr>
          <w:p w14:paraId="2D1CA9E4" w14:textId="77777777" w:rsidR="00BF2C67" w:rsidRDefault="00BF2C67" w:rsidP="009177B2">
            <w:pPr>
              <w:rPr>
                <w:szCs w:val="20"/>
              </w:rPr>
            </w:pPr>
            <w:r>
              <w:rPr>
                <w:rFonts w:hint="eastAsia"/>
                <w:szCs w:val="20"/>
              </w:rPr>
              <w:t>Comp</w:t>
            </w:r>
            <w:r>
              <w:rPr>
                <w:szCs w:val="20"/>
              </w:rPr>
              <w:t>anies</w:t>
            </w:r>
          </w:p>
        </w:tc>
        <w:tc>
          <w:tcPr>
            <w:tcW w:w="7469" w:type="dxa"/>
          </w:tcPr>
          <w:p w14:paraId="3FAE6300" w14:textId="77777777" w:rsidR="00BF2C67" w:rsidRDefault="00BF2C67" w:rsidP="009177B2">
            <w:pPr>
              <w:rPr>
                <w:szCs w:val="20"/>
              </w:rPr>
            </w:pPr>
            <w:r>
              <w:rPr>
                <w:rFonts w:hint="eastAsia"/>
                <w:szCs w:val="20"/>
              </w:rPr>
              <w:t>Comments</w:t>
            </w:r>
          </w:p>
        </w:tc>
      </w:tr>
      <w:tr w:rsidR="00BF2C67" w14:paraId="0F31808A" w14:textId="77777777" w:rsidTr="009177B2">
        <w:tc>
          <w:tcPr>
            <w:tcW w:w="1838" w:type="dxa"/>
          </w:tcPr>
          <w:p w14:paraId="70E2F2DD" w14:textId="194937A9" w:rsidR="00BF2C67" w:rsidRDefault="00BF2C67" w:rsidP="009177B2"/>
        </w:tc>
        <w:tc>
          <w:tcPr>
            <w:tcW w:w="7469" w:type="dxa"/>
          </w:tcPr>
          <w:p w14:paraId="4D8C01E5" w14:textId="7FD7EA6C" w:rsidR="00BF2C67" w:rsidRDefault="00BF2C67" w:rsidP="009177B2"/>
        </w:tc>
      </w:tr>
      <w:tr w:rsidR="00BF2C67" w14:paraId="23AE5434" w14:textId="77777777" w:rsidTr="009177B2">
        <w:tc>
          <w:tcPr>
            <w:tcW w:w="1838" w:type="dxa"/>
          </w:tcPr>
          <w:p w14:paraId="791CF982" w14:textId="0D36227B" w:rsidR="00BF2C67" w:rsidRDefault="00BF2C67" w:rsidP="009177B2">
            <w:pPr>
              <w:rPr>
                <w:szCs w:val="20"/>
              </w:rPr>
            </w:pPr>
          </w:p>
        </w:tc>
        <w:tc>
          <w:tcPr>
            <w:tcW w:w="7469" w:type="dxa"/>
          </w:tcPr>
          <w:p w14:paraId="0933CF8F" w14:textId="28E8FCC7" w:rsidR="00BF2C67" w:rsidRDefault="00BF2C67" w:rsidP="004623C8">
            <w:pPr>
              <w:rPr>
                <w:rFonts w:hint="eastAsia"/>
              </w:rPr>
            </w:pPr>
          </w:p>
        </w:tc>
      </w:tr>
      <w:tr w:rsidR="00BF2C67" w14:paraId="4A84A965" w14:textId="77777777" w:rsidTr="009177B2">
        <w:tc>
          <w:tcPr>
            <w:tcW w:w="1838" w:type="dxa"/>
          </w:tcPr>
          <w:p w14:paraId="71E10BA8" w14:textId="70D58765" w:rsidR="00BF2C67" w:rsidRDefault="00BF2C67" w:rsidP="009177B2">
            <w:pPr>
              <w:rPr>
                <w:szCs w:val="20"/>
                <w:lang w:eastAsia="zh-CN"/>
              </w:rPr>
            </w:pPr>
          </w:p>
        </w:tc>
        <w:tc>
          <w:tcPr>
            <w:tcW w:w="7469" w:type="dxa"/>
          </w:tcPr>
          <w:p w14:paraId="6ADD6550" w14:textId="77777777" w:rsidR="00BF2C67" w:rsidRDefault="00BF2C67" w:rsidP="009177B2">
            <w:pPr>
              <w:rPr>
                <w:szCs w:val="20"/>
                <w:lang w:eastAsia="zh-CN"/>
              </w:rPr>
            </w:pPr>
          </w:p>
        </w:tc>
      </w:tr>
      <w:tr w:rsidR="00BF2C67" w14:paraId="4B223988" w14:textId="77777777" w:rsidTr="009177B2">
        <w:tc>
          <w:tcPr>
            <w:tcW w:w="1838" w:type="dxa"/>
          </w:tcPr>
          <w:p w14:paraId="5E6360EE" w14:textId="16F659AB" w:rsidR="00BF2C67" w:rsidRDefault="00BF2C67" w:rsidP="009177B2">
            <w:pPr>
              <w:rPr>
                <w:szCs w:val="20"/>
                <w:lang w:eastAsia="zh-CN"/>
              </w:rPr>
            </w:pPr>
          </w:p>
        </w:tc>
        <w:tc>
          <w:tcPr>
            <w:tcW w:w="7469" w:type="dxa"/>
          </w:tcPr>
          <w:p w14:paraId="258A711D" w14:textId="4AB82F2B" w:rsidR="00BF2C67" w:rsidRDefault="00BF2C67" w:rsidP="009177B2">
            <w:pPr>
              <w:rPr>
                <w:szCs w:val="20"/>
                <w:lang w:eastAsia="zh-CN"/>
              </w:rPr>
            </w:pPr>
          </w:p>
        </w:tc>
      </w:tr>
      <w:tr w:rsidR="00BF2C67" w14:paraId="4A3B08BC" w14:textId="77777777" w:rsidTr="009177B2">
        <w:tc>
          <w:tcPr>
            <w:tcW w:w="1838" w:type="dxa"/>
          </w:tcPr>
          <w:p w14:paraId="7B05E1A2" w14:textId="77715C84" w:rsidR="00BF2C67" w:rsidRDefault="00BF2C67" w:rsidP="009177B2">
            <w:pPr>
              <w:rPr>
                <w:szCs w:val="20"/>
                <w:lang w:eastAsia="zh-CN"/>
              </w:rPr>
            </w:pPr>
          </w:p>
        </w:tc>
        <w:tc>
          <w:tcPr>
            <w:tcW w:w="7469" w:type="dxa"/>
          </w:tcPr>
          <w:p w14:paraId="2BADEBC7" w14:textId="03DAAED2" w:rsidR="00BF2C67" w:rsidRDefault="00BF2C67" w:rsidP="009177B2">
            <w:pPr>
              <w:tabs>
                <w:tab w:val="left" w:pos="3130"/>
              </w:tabs>
              <w:rPr>
                <w:szCs w:val="20"/>
                <w:lang w:eastAsia="zh-CN"/>
              </w:rPr>
            </w:pPr>
          </w:p>
        </w:tc>
      </w:tr>
      <w:tr w:rsidR="00BF2C67" w14:paraId="4582FCC7" w14:textId="77777777" w:rsidTr="009177B2">
        <w:trPr>
          <w:trHeight w:val="456"/>
        </w:trPr>
        <w:tc>
          <w:tcPr>
            <w:tcW w:w="1838" w:type="dxa"/>
          </w:tcPr>
          <w:p w14:paraId="55CAED29" w14:textId="71030F6A" w:rsidR="00BF2C67" w:rsidRDefault="00BF2C67" w:rsidP="009177B2">
            <w:pPr>
              <w:rPr>
                <w:szCs w:val="20"/>
                <w:lang w:eastAsia="zh-CN"/>
              </w:rPr>
            </w:pPr>
          </w:p>
        </w:tc>
        <w:tc>
          <w:tcPr>
            <w:tcW w:w="7469" w:type="dxa"/>
          </w:tcPr>
          <w:p w14:paraId="64F92811" w14:textId="52F736ED" w:rsidR="00BF2C67" w:rsidRDefault="00BF2C67" w:rsidP="009177B2">
            <w:pPr>
              <w:tabs>
                <w:tab w:val="left" w:pos="3130"/>
              </w:tabs>
              <w:rPr>
                <w:szCs w:val="20"/>
                <w:lang w:eastAsia="zh-CN"/>
              </w:rPr>
            </w:pPr>
          </w:p>
        </w:tc>
      </w:tr>
      <w:tr w:rsidR="00BF2C67" w14:paraId="62B4B99F" w14:textId="77777777" w:rsidTr="009177B2">
        <w:tc>
          <w:tcPr>
            <w:tcW w:w="1838" w:type="dxa"/>
          </w:tcPr>
          <w:p w14:paraId="4D2827A6" w14:textId="77777777" w:rsidR="00BF2C67" w:rsidRDefault="00BF2C67" w:rsidP="009177B2">
            <w:pPr>
              <w:rPr>
                <w:szCs w:val="20"/>
                <w:lang w:eastAsia="zh-CN"/>
              </w:rPr>
            </w:pPr>
          </w:p>
        </w:tc>
        <w:tc>
          <w:tcPr>
            <w:tcW w:w="7469" w:type="dxa"/>
          </w:tcPr>
          <w:p w14:paraId="1885DE7A" w14:textId="77777777" w:rsidR="00BF2C67" w:rsidRDefault="00BF2C67" w:rsidP="009177B2">
            <w:pPr>
              <w:tabs>
                <w:tab w:val="left" w:pos="3130"/>
              </w:tabs>
              <w:rPr>
                <w:szCs w:val="20"/>
                <w:lang w:eastAsia="zh-CN"/>
              </w:rPr>
            </w:pPr>
          </w:p>
        </w:tc>
      </w:tr>
      <w:tr w:rsidR="00BF2C67" w14:paraId="660B6510" w14:textId="77777777" w:rsidTr="009177B2">
        <w:tc>
          <w:tcPr>
            <w:tcW w:w="1838" w:type="dxa"/>
          </w:tcPr>
          <w:p w14:paraId="4A41F7A8" w14:textId="77777777" w:rsidR="00BF2C67" w:rsidRDefault="00BF2C67" w:rsidP="009177B2">
            <w:pPr>
              <w:rPr>
                <w:szCs w:val="20"/>
                <w:lang w:eastAsia="zh-CN"/>
              </w:rPr>
            </w:pPr>
          </w:p>
        </w:tc>
        <w:tc>
          <w:tcPr>
            <w:tcW w:w="7469" w:type="dxa"/>
          </w:tcPr>
          <w:p w14:paraId="5FC6BB46" w14:textId="77777777" w:rsidR="00BF2C67" w:rsidRDefault="00BF2C67" w:rsidP="009177B2">
            <w:pPr>
              <w:tabs>
                <w:tab w:val="left" w:pos="3130"/>
              </w:tabs>
              <w:rPr>
                <w:szCs w:val="20"/>
                <w:lang w:eastAsia="zh-CN"/>
              </w:rPr>
            </w:pPr>
          </w:p>
        </w:tc>
      </w:tr>
      <w:tr w:rsidR="00BF2C67" w14:paraId="15AF464A" w14:textId="77777777" w:rsidTr="009177B2">
        <w:tc>
          <w:tcPr>
            <w:tcW w:w="1838" w:type="dxa"/>
          </w:tcPr>
          <w:p w14:paraId="5E310195" w14:textId="77777777" w:rsidR="00BF2C67" w:rsidRDefault="00BF2C67" w:rsidP="009177B2">
            <w:pPr>
              <w:rPr>
                <w:szCs w:val="20"/>
                <w:lang w:eastAsia="zh-CN"/>
              </w:rPr>
            </w:pPr>
          </w:p>
        </w:tc>
        <w:tc>
          <w:tcPr>
            <w:tcW w:w="7469" w:type="dxa"/>
          </w:tcPr>
          <w:p w14:paraId="1916AB1D" w14:textId="77777777" w:rsidR="00BF2C67" w:rsidRDefault="00BF2C67" w:rsidP="009177B2">
            <w:pPr>
              <w:tabs>
                <w:tab w:val="left" w:pos="3130"/>
              </w:tabs>
              <w:rPr>
                <w:szCs w:val="20"/>
                <w:lang w:eastAsia="zh-CN"/>
              </w:rPr>
            </w:pPr>
          </w:p>
        </w:tc>
      </w:tr>
    </w:tbl>
    <w:p w14:paraId="002834B1" w14:textId="77777777" w:rsidR="00BF2C67" w:rsidRDefault="00BF2C67" w:rsidP="00BF2C67"/>
    <w:p w14:paraId="217A196F" w14:textId="77777777" w:rsidR="00BF2C67" w:rsidRDefault="00BF2C67" w:rsidP="00BF2C67">
      <w:pPr>
        <w:pStyle w:val="2"/>
        <w:rPr>
          <w:lang w:eastAsia="zh-CN"/>
        </w:rPr>
      </w:pPr>
      <w:r>
        <w:rPr>
          <w:lang w:eastAsia="zh-CN"/>
        </w:rPr>
        <w:t>Others</w:t>
      </w:r>
    </w:p>
    <w:p w14:paraId="642E7477" w14:textId="77777777" w:rsidR="00BF2C67" w:rsidRDefault="00BF2C67" w:rsidP="00BF2C67">
      <w:pPr>
        <w:outlineLvl w:val="2"/>
        <w:rPr>
          <w:b/>
          <w:u w:val="single"/>
        </w:rPr>
      </w:pPr>
      <w:r>
        <w:rPr>
          <w:b/>
          <w:u w:val="single"/>
          <w:lang w:eastAsia="zh-CN"/>
        </w:rPr>
        <w:t xml:space="preserve">Issue 6: </w:t>
      </w:r>
      <w:r>
        <w:rPr>
          <w:rFonts w:hint="eastAsia"/>
          <w:b/>
          <w:u w:val="single"/>
        </w:rPr>
        <w:t>Others</w:t>
      </w:r>
    </w:p>
    <w:p w14:paraId="6536E9D9" w14:textId="77777777" w:rsidR="00BF2C67" w:rsidRDefault="00BF2C67" w:rsidP="00BF2C67">
      <w:r>
        <w:t>Based on previous comments, there are two companies proposing to discuss the CSI reference. Therefore, the following is proposed for discussion:</w:t>
      </w:r>
    </w:p>
    <w:p w14:paraId="06B603E6" w14:textId="77777777" w:rsidR="00BF2C67" w:rsidRDefault="00BF2C67" w:rsidP="00BF2C67">
      <w:pPr>
        <w:rPr>
          <w:b/>
        </w:rPr>
      </w:pPr>
      <w:r>
        <w:rPr>
          <w:rFonts w:hint="eastAsia"/>
          <w:b/>
        </w:rPr>
        <w:t xml:space="preserve">Proposal 10: </w:t>
      </w:r>
      <w:r>
        <w:rPr>
          <w:b/>
          <w:szCs w:val="20"/>
        </w:rPr>
        <w:t>Define CSI reference resource to be used for 16-QAM CQI measurement.</w:t>
      </w:r>
    </w:p>
    <w:p w14:paraId="0FC04EC6" w14:textId="77777777" w:rsidR="00BF2C67" w:rsidRDefault="00BF2C67" w:rsidP="00BF2C67">
      <w:r>
        <w:t xml:space="preserve">Please input your comments to the above proposal or any other issue that can be considered for discussion in this meeting: </w:t>
      </w:r>
    </w:p>
    <w:tbl>
      <w:tblPr>
        <w:tblStyle w:val="af1"/>
        <w:tblW w:w="0" w:type="auto"/>
        <w:tblLook w:val="04A0" w:firstRow="1" w:lastRow="0" w:firstColumn="1" w:lastColumn="0" w:noHBand="0" w:noVBand="1"/>
      </w:tblPr>
      <w:tblGrid>
        <w:gridCol w:w="1838"/>
        <w:gridCol w:w="7469"/>
      </w:tblGrid>
      <w:tr w:rsidR="00BF2C67" w14:paraId="55CA083A" w14:textId="77777777" w:rsidTr="009177B2">
        <w:tc>
          <w:tcPr>
            <w:tcW w:w="1838" w:type="dxa"/>
          </w:tcPr>
          <w:p w14:paraId="5F9AA897" w14:textId="77777777" w:rsidR="00BF2C67" w:rsidRDefault="00BF2C67" w:rsidP="009177B2">
            <w:pPr>
              <w:rPr>
                <w:szCs w:val="20"/>
              </w:rPr>
            </w:pPr>
            <w:r>
              <w:rPr>
                <w:rFonts w:hint="eastAsia"/>
                <w:szCs w:val="20"/>
              </w:rPr>
              <w:t>Comp</w:t>
            </w:r>
            <w:r>
              <w:rPr>
                <w:szCs w:val="20"/>
              </w:rPr>
              <w:t>anies</w:t>
            </w:r>
          </w:p>
        </w:tc>
        <w:tc>
          <w:tcPr>
            <w:tcW w:w="7469" w:type="dxa"/>
          </w:tcPr>
          <w:p w14:paraId="4B429E91" w14:textId="77777777" w:rsidR="00BF2C67" w:rsidRDefault="00BF2C67" w:rsidP="009177B2">
            <w:pPr>
              <w:rPr>
                <w:szCs w:val="20"/>
              </w:rPr>
            </w:pPr>
            <w:r>
              <w:rPr>
                <w:rFonts w:hint="eastAsia"/>
                <w:szCs w:val="20"/>
              </w:rPr>
              <w:t>Comments</w:t>
            </w:r>
          </w:p>
        </w:tc>
      </w:tr>
      <w:tr w:rsidR="00BF2C67" w14:paraId="552F9549" w14:textId="77777777" w:rsidTr="009177B2">
        <w:tc>
          <w:tcPr>
            <w:tcW w:w="1838" w:type="dxa"/>
          </w:tcPr>
          <w:p w14:paraId="42AA73F5" w14:textId="77777777" w:rsidR="00BF2C67" w:rsidRDefault="00BF2C67" w:rsidP="009177B2">
            <w:pPr>
              <w:rPr>
                <w:sz w:val="20"/>
                <w:szCs w:val="18"/>
              </w:rPr>
            </w:pPr>
            <w:r>
              <w:rPr>
                <w:sz w:val="20"/>
                <w:szCs w:val="18"/>
              </w:rPr>
              <w:t>Ericsson v010</w:t>
            </w:r>
          </w:p>
        </w:tc>
        <w:tc>
          <w:tcPr>
            <w:tcW w:w="7469" w:type="dxa"/>
          </w:tcPr>
          <w:p w14:paraId="202F6482" w14:textId="77777777" w:rsidR="00BF2C67" w:rsidRDefault="00BF2C67" w:rsidP="009177B2">
            <w:pPr>
              <w:rPr>
                <w:sz w:val="20"/>
                <w:szCs w:val="18"/>
              </w:rPr>
            </w:pPr>
            <w:r>
              <w:rPr>
                <w:sz w:val="20"/>
                <w:szCs w:val="18"/>
              </w:rPr>
              <w:t>We need to define reference symbols to estimate CQI, NRS seems to be suitable for this purpose in NB-IoT.</w:t>
            </w:r>
          </w:p>
        </w:tc>
      </w:tr>
      <w:tr w:rsidR="00BF2C67" w14:paraId="7A811B66" w14:textId="77777777" w:rsidTr="009177B2">
        <w:tc>
          <w:tcPr>
            <w:tcW w:w="1838" w:type="dxa"/>
          </w:tcPr>
          <w:p w14:paraId="1D7EE4FE" w14:textId="77777777" w:rsidR="00BF2C67" w:rsidRDefault="00BF2C67" w:rsidP="009177B2">
            <w:pPr>
              <w:rPr>
                <w:szCs w:val="20"/>
                <w:lang w:eastAsia="zh-CN"/>
              </w:rPr>
            </w:pPr>
            <w:r>
              <w:rPr>
                <w:szCs w:val="20"/>
                <w:lang w:eastAsia="zh-CN"/>
              </w:rPr>
              <w:t>Nokia, NSB</w:t>
            </w:r>
          </w:p>
        </w:tc>
        <w:tc>
          <w:tcPr>
            <w:tcW w:w="7469" w:type="dxa"/>
          </w:tcPr>
          <w:p w14:paraId="2823A517" w14:textId="77777777" w:rsidR="00BF2C67" w:rsidRDefault="00BF2C67" w:rsidP="009177B2">
            <w:pPr>
              <w:pStyle w:val="a6"/>
              <w:jc w:val="left"/>
              <w:rPr>
                <w:rFonts w:eastAsia="宋体"/>
                <w:b w:val="0"/>
                <w:bCs w:val="0"/>
                <w:szCs w:val="20"/>
              </w:rPr>
            </w:pPr>
            <w:r>
              <w:rPr>
                <w:rFonts w:eastAsia="宋体"/>
                <w:b w:val="0"/>
                <w:bCs w:val="0"/>
                <w:szCs w:val="20"/>
              </w:rPr>
              <w:t>We support this proposal. It can be based on NRS with similar definition as for eMTC.</w:t>
            </w:r>
          </w:p>
        </w:tc>
      </w:tr>
      <w:tr w:rsidR="00BF2C67" w14:paraId="2B4A1200" w14:textId="77777777" w:rsidTr="009177B2">
        <w:tc>
          <w:tcPr>
            <w:tcW w:w="1838" w:type="dxa"/>
          </w:tcPr>
          <w:p w14:paraId="46051329" w14:textId="77777777" w:rsidR="00BF2C67" w:rsidRDefault="00BF2C67" w:rsidP="009177B2">
            <w:pPr>
              <w:rPr>
                <w:szCs w:val="20"/>
                <w:lang w:eastAsia="zh-CN"/>
              </w:rPr>
            </w:pPr>
            <w:r>
              <w:rPr>
                <w:szCs w:val="20"/>
                <w:lang w:eastAsia="zh-CN"/>
              </w:rPr>
              <w:lastRenderedPageBreak/>
              <w:t>MTK</w:t>
            </w:r>
          </w:p>
        </w:tc>
        <w:tc>
          <w:tcPr>
            <w:tcW w:w="7469" w:type="dxa"/>
          </w:tcPr>
          <w:p w14:paraId="4BBCF684" w14:textId="77777777" w:rsidR="00BF2C67" w:rsidRDefault="00BF2C67" w:rsidP="009177B2">
            <w:pPr>
              <w:rPr>
                <w:szCs w:val="20"/>
                <w:lang w:eastAsia="zh-CN"/>
              </w:rPr>
            </w:pPr>
            <w:r>
              <w:rPr>
                <w:szCs w:val="20"/>
                <w:lang w:eastAsia="zh-CN"/>
              </w:rPr>
              <w:t xml:space="preserve">Considering the limited resource, We think it’s better to follow legacy measurement framework (NRS based as well). Definite CSI reference resource might introduce extra latency compared to instant moving-average measurement. </w:t>
            </w:r>
          </w:p>
        </w:tc>
      </w:tr>
      <w:tr w:rsidR="00BF2C67" w14:paraId="7836F3D6" w14:textId="77777777" w:rsidTr="009177B2">
        <w:tc>
          <w:tcPr>
            <w:tcW w:w="1838" w:type="dxa"/>
          </w:tcPr>
          <w:p w14:paraId="53A160FE" w14:textId="77777777" w:rsidR="00BF2C67" w:rsidRDefault="00BF2C67" w:rsidP="009177B2">
            <w:pPr>
              <w:rPr>
                <w:szCs w:val="20"/>
                <w:lang w:eastAsia="zh-CN"/>
              </w:rPr>
            </w:pPr>
            <w:r>
              <w:rPr>
                <w:rFonts w:hint="eastAsia"/>
                <w:szCs w:val="20"/>
                <w:lang w:eastAsia="zh-CN"/>
              </w:rPr>
              <w:t>H</w:t>
            </w:r>
            <w:r>
              <w:rPr>
                <w:szCs w:val="20"/>
                <w:lang w:eastAsia="zh-CN"/>
              </w:rPr>
              <w:t>uawei, HiSilicon</w:t>
            </w:r>
          </w:p>
        </w:tc>
        <w:tc>
          <w:tcPr>
            <w:tcW w:w="7469" w:type="dxa"/>
          </w:tcPr>
          <w:p w14:paraId="7112C5B0" w14:textId="77777777" w:rsidR="00BF2C67" w:rsidRDefault="00BF2C67" w:rsidP="009177B2">
            <w:pPr>
              <w:rPr>
                <w:szCs w:val="20"/>
                <w:lang w:eastAsia="zh-CN"/>
              </w:rPr>
            </w:pPr>
            <w:r>
              <w:rPr>
                <w:szCs w:val="20"/>
                <w:lang w:eastAsia="zh-CN"/>
              </w:rPr>
              <w:t>In channel quality reporting in R16, no reference resource is defined for measurement in the spec. We think there is no need to define this and can follow the legacy.</w:t>
            </w:r>
          </w:p>
        </w:tc>
      </w:tr>
      <w:tr w:rsidR="00BF2C67" w14:paraId="7154A270" w14:textId="77777777" w:rsidTr="009177B2">
        <w:tc>
          <w:tcPr>
            <w:tcW w:w="1838" w:type="dxa"/>
          </w:tcPr>
          <w:p w14:paraId="6F353F2B" w14:textId="77777777" w:rsidR="00BF2C67" w:rsidRDefault="00BF2C67" w:rsidP="009177B2">
            <w:pPr>
              <w:rPr>
                <w:szCs w:val="20"/>
                <w:lang w:eastAsia="zh-CN"/>
              </w:rPr>
            </w:pPr>
            <w:r>
              <w:rPr>
                <w:rFonts w:hint="eastAsia"/>
                <w:szCs w:val="20"/>
                <w:lang w:eastAsia="zh-CN"/>
              </w:rPr>
              <w:t>ZTE, Sanechips</w:t>
            </w:r>
          </w:p>
        </w:tc>
        <w:tc>
          <w:tcPr>
            <w:tcW w:w="7469" w:type="dxa"/>
          </w:tcPr>
          <w:p w14:paraId="68C53A26" w14:textId="77777777" w:rsidR="00BF2C67" w:rsidRDefault="00BF2C67" w:rsidP="009177B2">
            <w:pPr>
              <w:spacing w:beforeLines="50" w:before="120" w:line="276" w:lineRule="auto"/>
              <w:rPr>
                <w:szCs w:val="20"/>
                <w:lang w:eastAsia="zh-CN"/>
              </w:rPr>
            </w:pPr>
            <w:r>
              <w:rPr>
                <w:rFonts w:hint="eastAsia"/>
                <w:szCs w:val="20"/>
                <w:lang w:eastAsia="zh-CN"/>
              </w:rPr>
              <w:t>In the frequency domain, the UE can only measure CQI based on one PRB where UE monitors NPDCCH and the associated NPDSCH. In the time domain, whether to use a single subframe or multiple subframes to measure CQI can be based on UE implementation. In addition, RAN1 has not defined measurement reference resource for channel quality report in Rel-14/16 NB-IoT. Thus, the measurement reference resource does not need to be specified for Rel-17 CQI report.</w:t>
            </w:r>
          </w:p>
        </w:tc>
      </w:tr>
      <w:tr w:rsidR="00BF2C67" w14:paraId="2616048B" w14:textId="77777777" w:rsidTr="009177B2">
        <w:tc>
          <w:tcPr>
            <w:tcW w:w="1838" w:type="dxa"/>
          </w:tcPr>
          <w:p w14:paraId="56E88C56" w14:textId="77777777" w:rsidR="00BF2C67" w:rsidRDefault="00BF2C67" w:rsidP="009177B2">
            <w:pPr>
              <w:rPr>
                <w:szCs w:val="20"/>
                <w:lang w:eastAsia="zh-CN"/>
              </w:rPr>
            </w:pPr>
          </w:p>
        </w:tc>
        <w:tc>
          <w:tcPr>
            <w:tcW w:w="7469" w:type="dxa"/>
          </w:tcPr>
          <w:p w14:paraId="325C9D94" w14:textId="77777777" w:rsidR="00BF2C67" w:rsidRDefault="00BF2C67" w:rsidP="009177B2">
            <w:pPr>
              <w:spacing w:beforeLines="50" w:before="120" w:line="276" w:lineRule="auto"/>
              <w:rPr>
                <w:szCs w:val="20"/>
                <w:lang w:eastAsia="zh-CN"/>
              </w:rPr>
            </w:pPr>
          </w:p>
        </w:tc>
      </w:tr>
    </w:tbl>
    <w:p w14:paraId="039B083A" w14:textId="77777777" w:rsidR="00BF2C67" w:rsidRPr="00BF2C67" w:rsidRDefault="00BF2C67" w:rsidP="00BF2C67">
      <w:pPr>
        <w:rPr>
          <w:rFonts w:hint="eastAsia"/>
          <w:lang w:eastAsia="zh-CN"/>
        </w:rPr>
      </w:pPr>
    </w:p>
    <w:p w14:paraId="43E6AB80" w14:textId="6377FFB5" w:rsidR="000E5B94" w:rsidRDefault="00F243F5">
      <w:pPr>
        <w:pStyle w:val="1"/>
        <w:rPr>
          <w:lang w:eastAsia="zh-CN"/>
        </w:rPr>
      </w:pPr>
      <w:r>
        <w:rPr>
          <w:lang w:eastAsia="zh-CN"/>
        </w:rPr>
        <w:t xml:space="preserve">Round 2 </w:t>
      </w:r>
      <w:r w:rsidR="00A353A5">
        <w:rPr>
          <w:rFonts w:hint="eastAsia"/>
          <w:lang w:eastAsia="zh-CN"/>
        </w:rPr>
        <w:t>Discussion</w:t>
      </w:r>
    </w:p>
    <w:p w14:paraId="43E6AB81" w14:textId="77777777" w:rsidR="000E5B94" w:rsidRDefault="00A353A5">
      <w:pPr>
        <w:pStyle w:val="2"/>
        <w:rPr>
          <w:lang w:eastAsia="zh-CN"/>
        </w:rPr>
      </w:pPr>
      <w:r>
        <w:rPr>
          <w:lang w:eastAsia="zh-CN"/>
        </w:rPr>
        <w:t>Applicability</w:t>
      </w:r>
    </w:p>
    <w:p w14:paraId="43E6AB82" w14:textId="77777777" w:rsidR="000E5B94" w:rsidRDefault="00A353A5">
      <w:pPr>
        <w:pStyle w:val="30"/>
      </w:pPr>
      <w:r>
        <w:rPr>
          <w:lang w:eastAsia="zh-CN"/>
        </w:rPr>
        <w:t>Issue 1: Applicability</w:t>
      </w:r>
    </w:p>
    <w:p w14:paraId="43E6AB83" w14:textId="77777777" w:rsidR="000E5B94" w:rsidRDefault="00A353A5">
      <w:pPr>
        <w:spacing w:line="240" w:lineRule="auto"/>
      </w:pPr>
      <w:r>
        <w:rPr>
          <w:rFonts w:hint="eastAsia"/>
        </w:rPr>
        <w:t>The following has been achieved in online discussion:</w:t>
      </w:r>
    </w:p>
    <w:p w14:paraId="43E6AB84" w14:textId="77777777" w:rsidR="000E5B94" w:rsidRDefault="00A353A5">
      <w:pPr>
        <w:ind w:leftChars="200" w:left="440"/>
        <w:rPr>
          <w:highlight w:val="green"/>
        </w:rPr>
      </w:pPr>
      <w:r>
        <w:rPr>
          <w:rFonts w:hint="eastAsia"/>
          <w:highlight w:val="green"/>
          <w:lang w:eastAsia="zh-CN"/>
        </w:rPr>
        <w:t>Agreement</w:t>
      </w:r>
      <w:r>
        <w:rPr>
          <w:highlight w:val="green"/>
        </w:rPr>
        <w:t>:</w:t>
      </w:r>
    </w:p>
    <w:p w14:paraId="43E6AB85" w14:textId="77777777" w:rsidR="000E5B94" w:rsidRDefault="00A353A5">
      <w:pPr>
        <w:ind w:leftChars="200" w:left="440"/>
        <w:rPr>
          <w:highlight w:val="cyan"/>
          <w:lang w:eastAsia="zh-CN"/>
        </w:rPr>
      </w:pPr>
      <w:r>
        <w:t>Confirm the following working assumption:</w:t>
      </w:r>
    </w:p>
    <w:p w14:paraId="43E6AB86" w14:textId="77777777" w:rsidR="000E5B94" w:rsidRDefault="00A353A5">
      <w:pPr>
        <w:numPr>
          <w:ilvl w:val="0"/>
          <w:numId w:val="12"/>
        </w:numPr>
        <w:autoSpaceDE/>
        <w:autoSpaceDN/>
        <w:adjustRightInd/>
        <w:snapToGrid/>
        <w:spacing w:after="0" w:line="240" w:lineRule="auto"/>
        <w:ind w:leftChars="364" w:left="1161"/>
        <w:jc w:val="left"/>
      </w:pPr>
      <w:r>
        <w:t>Working Assumption</w:t>
      </w:r>
    </w:p>
    <w:p w14:paraId="43E6AB87" w14:textId="77777777" w:rsidR="000E5B94" w:rsidRDefault="00A353A5">
      <w:pPr>
        <w:numPr>
          <w:ilvl w:val="1"/>
          <w:numId w:val="12"/>
        </w:numPr>
        <w:autoSpaceDE/>
        <w:autoSpaceDN/>
        <w:adjustRightInd/>
        <w:snapToGrid/>
        <w:spacing w:after="0" w:line="240" w:lineRule="auto"/>
        <w:ind w:leftChars="691" w:left="1880"/>
        <w:jc w:val="left"/>
        <w:rPr>
          <w:rFonts w:eastAsia="Batang" w:cs="Times"/>
        </w:rPr>
      </w:pPr>
      <w:r>
        <w:rPr>
          <w:rFonts w:eastAsia="Batang" w:cs="Times"/>
        </w:rPr>
        <w:t>Support 16-QAM for NPUSCH in PUR procedure.</w:t>
      </w:r>
    </w:p>
    <w:p w14:paraId="43E6AB88" w14:textId="77777777" w:rsidR="000E5B94" w:rsidRDefault="000E5B94">
      <w:pPr>
        <w:spacing w:line="240" w:lineRule="auto"/>
      </w:pPr>
    </w:p>
    <w:p w14:paraId="43E6AB89" w14:textId="77777777" w:rsidR="000E5B94" w:rsidRDefault="00A353A5">
      <w:pPr>
        <w:spacing w:before="120" w:line="240" w:lineRule="auto"/>
        <w:rPr>
          <w:lang w:val="en-GB"/>
        </w:rPr>
      </w:pPr>
      <w:r>
        <w:rPr>
          <w:rFonts w:hint="eastAsia"/>
          <w:lang w:val="en-GB"/>
        </w:rPr>
        <w:t xml:space="preserve">On the </w:t>
      </w:r>
      <w:r>
        <w:rPr>
          <w:lang w:val="en-GB"/>
        </w:rPr>
        <w:t>support of 16-QAM for NPDSCH in PUR procedure, it seems several companies can accept 16-QAM for PUR NPDSCH, if no further enhancement for CQI during PUR procedure. The following is proposed:</w:t>
      </w:r>
    </w:p>
    <w:p w14:paraId="43E6AB8A" w14:textId="77777777" w:rsidR="000E5B94" w:rsidRDefault="00A353A5">
      <w:pPr>
        <w:pStyle w:val="a6"/>
        <w:jc w:val="left"/>
        <w:rPr>
          <w:sz w:val="22"/>
        </w:rPr>
      </w:pPr>
      <w:r>
        <w:rPr>
          <w:sz w:val="22"/>
        </w:rPr>
        <w:t>Proposal</w:t>
      </w:r>
      <w:r>
        <w:t xml:space="preserve"> 1</w:t>
      </w:r>
      <w:r>
        <w:rPr>
          <w:sz w:val="22"/>
        </w:rPr>
        <w:t>: Support 16-QAM for NPDSCH in PUR procedure</w:t>
      </w:r>
    </w:p>
    <w:p w14:paraId="43E6AB8B" w14:textId="77777777" w:rsidR="000E5B94" w:rsidRDefault="00A353A5">
      <w:pPr>
        <w:pStyle w:val="a6"/>
        <w:numPr>
          <w:ilvl w:val="0"/>
          <w:numId w:val="13"/>
        </w:numPr>
        <w:jc w:val="left"/>
        <w:rPr>
          <w:sz w:val="22"/>
        </w:rPr>
      </w:pPr>
      <w:r>
        <w:rPr>
          <w:sz w:val="22"/>
        </w:rPr>
        <w:t>CSI report is not supported/expected during PUR procedure</w:t>
      </w:r>
    </w:p>
    <w:p w14:paraId="43E6AB8C" w14:textId="77777777" w:rsidR="000E5B94" w:rsidRDefault="00A353A5">
      <w:pPr>
        <w:pStyle w:val="a6"/>
        <w:numPr>
          <w:ilvl w:val="0"/>
          <w:numId w:val="13"/>
        </w:numPr>
        <w:jc w:val="left"/>
        <w:rPr>
          <w:sz w:val="22"/>
        </w:rPr>
      </w:pPr>
      <w:r>
        <w:rPr>
          <w:sz w:val="22"/>
        </w:rPr>
        <w:t>The power ratios between NRS and NPDSCH is pre-configured for NPDSCH in PUR procedure</w:t>
      </w:r>
    </w:p>
    <w:p w14:paraId="43E6AB8D" w14:textId="77777777" w:rsidR="000E5B94" w:rsidRDefault="00A353A5">
      <w:pPr>
        <w:spacing w:line="240" w:lineRule="auto"/>
      </w:pPr>
      <w:r>
        <w:rPr>
          <w:rFonts w:hint="eastAsia"/>
        </w:rPr>
        <w:t>With the support of 16-QAM for P</w:t>
      </w:r>
      <w:r>
        <w:t>UR NPUSCH, companies (Nokia, NSB, QC) proposed the corresponding enhancement on the configuration of PUR, therefore, the following is proposed:</w:t>
      </w:r>
    </w:p>
    <w:p w14:paraId="43E6AB8E" w14:textId="77777777" w:rsidR="000E5B94" w:rsidRDefault="00A353A5">
      <w:pPr>
        <w:spacing w:after="0" w:line="240" w:lineRule="auto"/>
        <w:rPr>
          <w:b/>
        </w:rPr>
      </w:pPr>
      <w:r>
        <w:rPr>
          <w:b/>
        </w:rPr>
        <w:t>Proposal 2: To support 16-QAM for NPUSCH in PUR procedure,</w:t>
      </w:r>
    </w:p>
    <w:p w14:paraId="43E6AB8F" w14:textId="77777777" w:rsidR="000E5B94" w:rsidRDefault="00A353A5">
      <w:pPr>
        <w:pStyle w:val="af7"/>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14:paraId="43E6AB90" w14:textId="77777777" w:rsidR="000E5B94" w:rsidRDefault="00A353A5">
      <w:pPr>
        <w:pStyle w:val="af7"/>
        <w:numPr>
          <w:ilvl w:val="1"/>
          <w:numId w:val="14"/>
        </w:numPr>
        <w:spacing w:after="120" w:line="240" w:lineRule="auto"/>
        <w:rPr>
          <w:rFonts w:ascii="Times New Roman" w:hAnsi="Times New Roman" w:cs="Times New Roman"/>
          <w:b/>
          <w:sz w:val="22"/>
          <w:szCs w:val="22"/>
        </w:rPr>
      </w:pPr>
      <w:r>
        <w:rPr>
          <w:rFonts w:ascii="Times New Roman" w:eastAsia="Times New Roman" w:hAnsi="Times New Roman" w:cs="Times New Roman"/>
          <w:b/>
          <w:sz w:val="22"/>
          <w:szCs w:val="20"/>
        </w:rPr>
        <w:t xml:space="preserve">When 16-QAM is enabled, the RRC IE </w:t>
      </w:r>
      <w:r>
        <w:rPr>
          <w:rFonts w:ascii="Times New Roman" w:eastAsia="Times New Roman" w:hAnsi="Times New Roman" w:cs="Times New Roman"/>
          <w:b/>
          <w:i/>
          <w:iCs/>
          <w:sz w:val="22"/>
          <w:szCs w:val="20"/>
        </w:rPr>
        <w:t>multiTone</w:t>
      </w:r>
      <w:r>
        <w:rPr>
          <w:rFonts w:ascii="Times New Roman" w:eastAsia="Times New Roman" w:hAnsi="Times New Roman" w:cs="Times New Roman"/>
          <w:b/>
          <w:sz w:val="22"/>
          <w:szCs w:val="20"/>
        </w:rPr>
        <w:t xml:space="preserve"> in </w:t>
      </w:r>
      <w:r>
        <w:rPr>
          <w:rFonts w:ascii="Times New Roman" w:eastAsia="Times New Roman" w:hAnsi="Times New Roman" w:cs="Times New Roman"/>
          <w:b/>
          <w:i/>
          <w:sz w:val="22"/>
          <w:szCs w:val="20"/>
        </w:rPr>
        <w:t>npusch-MCS</w:t>
      </w:r>
      <w:r>
        <w:rPr>
          <w:rFonts w:ascii="Times New Roman" w:eastAsia="Times New Roman" w:hAnsi="Times New Roman" w:cs="Times New Roman"/>
          <w:b/>
          <w:sz w:val="22"/>
          <w:szCs w:val="20"/>
        </w:rPr>
        <w:t xml:space="preserve"> in</w:t>
      </w:r>
      <w:r>
        <w:rPr>
          <w:rFonts w:ascii="Times New Roman" w:eastAsia="Times New Roman" w:hAnsi="Times New Roman" w:cs="Times New Roman"/>
          <w:b/>
          <w:i/>
          <w:iCs/>
          <w:sz w:val="22"/>
          <w:szCs w:val="20"/>
        </w:rPr>
        <w:t xml:space="preserve"> pur-PhysicalConfig</w:t>
      </w:r>
      <w:r>
        <w:rPr>
          <w:rFonts w:ascii="Times New Roman" w:eastAsia="Times New Roman" w:hAnsi="Times New Roman" w:cs="Times New Roman"/>
          <w:b/>
          <w:sz w:val="22"/>
          <w:szCs w:val="20"/>
        </w:rPr>
        <w:t xml:space="preserve"> indicates the TBS indices for 16-QAM.</w:t>
      </w:r>
    </w:p>
    <w:p w14:paraId="43E6AB91" w14:textId="77777777" w:rsidR="000E5B94" w:rsidRDefault="00A353A5">
      <w:pPr>
        <w:spacing w:line="240" w:lineRule="auto"/>
      </w:pPr>
      <w:r>
        <w:rPr>
          <w:rFonts w:hint="eastAsia"/>
        </w:rPr>
        <w:t xml:space="preserve">Please input your comments </w:t>
      </w:r>
      <w:r>
        <w:t>on the above proposals</w:t>
      </w:r>
      <w:r>
        <w:rPr>
          <w:rFonts w:hint="eastAsia"/>
        </w:rPr>
        <w:t>:</w:t>
      </w:r>
    </w:p>
    <w:tbl>
      <w:tblPr>
        <w:tblStyle w:val="af1"/>
        <w:tblW w:w="0" w:type="auto"/>
        <w:tblLook w:val="04A0" w:firstRow="1" w:lastRow="0" w:firstColumn="1" w:lastColumn="0" w:noHBand="0" w:noVBand="1"/>
      </w:tblPr>
      <w:tblGrid>
        <w:gridCol w:w="1838"/>
        <w:gridCol w:w="7469"/>
      </w:tblGrid>
      <w:tr w:rsidR="000E5B94" w14:paraId="43E6AB94" w14:textId="77777777">
        <w:tc>
          <w:tcPr>
            <w:tcW w:w="1838" w:type="dxa"/>
          </w:tcPr>
          <w:p w14:paraId="43E6AB92" w14:textId="77777777" w:rsidR="000E5B94" w:rsidRDefault="00A353A5">
            <w:pPr>
              <w:rPr>
                <w:szCs w:val="20"/>
              </w:rPr>
            </w:pPr>
            <w:r>
              <w:rPr>
                <w:rFonts w:hint="eastAsia"/>
                <w:szCs w:val="20"/>
              </w:rPr>
              <w:t>Comp</w:t>
            </w:r>
            <w:r>
              <w:rPr>
                <w:szCs w:val="20"/>
              </w:rPr>
              <w:t>anies</w:t>
            </w:r>
          </w:p>
        </w:tc>
        <w:tc>
          <w:tcPr>
            <w:tcW w:w="7469" w:type="dxa"/>
          </w:tcPr>
          <w:p w14:paraId="43E6AB93" w14:textId="77777777" w:rsidR="000E5B94" w:rsidRDefault="00A353A5">
            <w:pPr>
              <w:rPr>
                <w:szCs w:val="20"/>
              </w:rPr>
            </w:pPr>
            <w:r>
              <w:rPr>
                <w:rFonts w:hint="eastAsia"/>
                <w:szCs w:val="20"/>
              </w:rPr>
              <w:t>Comments</w:t>
            </w:r>
          </w:p>
        </w:tc>
      </w:tr>
      <w:tr w:rsidR="000E5B94" w14:paraId="43E6AB9E" w14:textId="77777777">
        <w:tc>
          <w:tcPr>
            <w:tcW w:w="1838" w:type="dxa"/>
          </w:tcPr>
          <w:p w14:paraId="43E6AB95" w14:textId="77777777" w:rsidR="000E5B94" w:rsidRDefault="00A353A5">
            <w:pPr>
              <w:rPr>
                <w:sz w:val="20"/>
                <w:szCs w:val="20"/>
              </w:rPr>
            </w:pPr>
            <w:r>
              <w:rPr>
                <w:sz w:val="20"/>
                <w:szCs w:val="20"/>
              </w:rPr>
              <w:t>Ericsson v010</w:t>
            </w:r>
          </w:p>
        </w:tc>
        <w:tc>
          <w:tcPr>
            <w:tcW w:w="7469" w:type="dxa"/>
          </w:tcPr>
          <w:p w14:paraId="43E6AB96" w14:textId="77777777" w:rsidR="000E5B94" w:rsidRDefault="00A353A5">
            <w:pPr>
              <w:pStyle w:val="af7"/>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1: Even if the CSI report were not supported, other DL related elements would have to be pre-configured such as data-to-pilot power ratios, and MCS ranges. If after </w:t>
            </w:r>
            <w:r>
              <w:rPr>
                <w:rFonts w:ascii="Times New Roman" w:hAnsi="Times New Roman" w:cs="Times New Roman"/>
                <w:sz w:val="20"/>
                <w:szCs w:val="20"/>
                <w:u w:val="single"/>
              </w:rPr>
              <w:t>truly pondering</w:t>
            </w:r>
            <w:r>
              <w:rPr>
                <w:rFonts w:ascii="Times New Roman" w:hAnsi="Times New Roman" w:cs="Times New Roman"/>
                <w:sz w:val="20"/>
                <w:szCs w:val="20"/>
              </w:rPr>
              <w:t xml:space="preserve"> the importance of the DL use-case (recall 64 QAM </w:t>
            </w:r>
            <w:r>
              <w:rPr>
                <w:rFonts w:ascii="Times New Roman" w:hAnsi="Times New Roman" w:cs="Times New Roman"/>
                <w:sz w:val="20"/>
                <w:szCs w:val="20"/>
              </w:rPr>
              <w:lastRenderedPageBreak/>
              <w:t>in DL was not supported for PUR) versus the specification impacts, the interest still prevails, then aiming at being constructive we could accept proposal 1 subject to have an agreement stating that: “</w:t>
            </w:r>
            <w:r>
              <w:rPr>
                <w:rFonts w:ascii="Times New Roman" w:hAnsi="Times New Roman" w:cs="Times New Roman"/>
                <w:i/>
                <w:iCs/>
                <w:sz w:val="20"/>
                <w:szCs w:val="20"/>
              </w:rPr>
              <w:t>Two new optional IEs for DL and UL 16QAM are introduced in the PUR configuration</w:t>
            </w:r>
            <w:r>
              <w:rPr>
                <w:rFonts w:ascii="Times New Roman" w:hAnsi="Times New Roman" w:cs="Times New Roman"/>
                <w:sz w:val="20"/>
                <w:szCs w:val="20"/>
              </w:rPr>
              <w:t>”. The above as to be able to control DL and UL separately in PUR.</w:t>
            </w:r>
          </w:p>
          <w:p w14:paraId="43E6AB97" w14:textId="77777777" w:rsidR="000E5B94" w:rsidRDefault="00A353A5">
            <w:pPr>
              <w:pStyle w:val="af7"/>
              <w:rPr>
                <w:rFonts w:ascii="Times New Roman" w:hAnsi="Times New Roman" w:cs="Times New Roman"/>
                <w:sz w:val="20"/>
                <w:szCs w:val="20"/>
              </w:rPr>
            </w:pPr>
            <w:r>
              <w:rPr>
                <w:rFonts w:ascii="Times New Roman" w:hAnsi="Times New Roman" w:cs="Times New Roman"/>
                <w:sz w:val="20"/>
                <w:szCs w:val="20"/>
              </w:rPr>
              <w:t xml:space="preserve"> </w:t>
            </w:r>
          </w:p>
          <w:p w14:paraId="43E6AB98" w14:textId="77777777" w:rsidR="000E5B94" w:rsidRDefault="00A353A5">
            <w:pPr>
              <w:pStyle w:val="af7"/>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2: It seems that </w:t>
            </w:r>
            <w:r>
              <w:rPr>
                <w:rFonts w:ascii="Times New Roman" w:hAnsi="Times New Roman" w:cs="Times New Roman"/>
                <w:sz w:val="20"/>
                <w:szCs w:val="20"/>
                <w:u w:val="single"/>
              </w:rPr>
              <w:t>extending</w:t>
            </w:r>
            <w:r>
              <w:rPr>
                <w:rFonts w:ascii="Times New Roman" w:hAnsi="Times New Roman" w:cs="Times New Roman"/>
                <w:sz w:val="20"/>
                <w:szCs w:val="20"/>
              </w:rPr>
              <w:t xml:space="preserve"> the RRC IE </w:t>
            </w:r>
            <w:r>
              <w:rPr>
                <w:rFonts w:ascii="Times New Roman" w:hAnsi="Times New Roman" w:cs="Times New Roman"/>
                <w:i/>
                <w:iCs/>
                <w:sz w:val="20"/>
                <w:szCs w:val="20"/>
              </w:rPr>
              <w:t>multiTone</w:t>
            </w:r>
            <w:r>
              <w:rPr>
                <w:rFonts w:ascii="Times New Roman" w:hAnsi="Times New Roman" w:cs="Times New Roman"/>
                <w:sz w:val="20"/>
                <w:szCs w:val="20"/>
              </w:rPr>
              <w:t xml:space="preserve"> is not needed, since the following approach will allow to save bits.</w:t>
            </w:r>
          </w:p>
          <w:p w14:paraId="43E6AB99" w14:textId="77777777" w:rsidR="000E5B94" w:rsidRDefault="000E5B94">
            <w:pPr>
              <w:pStyle w:val="af7"/>
              <w:rPr>
                <w:rFonts w:ascii="Times New Roman" w:hAnsi="Times New Roman" w:cs="Times New Roman"/>
                <w:sz w:val="20"/>
                <w:szCs w:val="20"/>
              </w:rPr>
            </w:pPr>
          </w:p>
          <w:p w14:paraId="43E6AB9A" w14:textId="77777777" w:rsidR="000E5B94" w:rsidRDefault="00A353A5">
            <w:pPr>
              <w:ind w:left="720"/>
              <w:rPr>
                <w:rFonts w:eastAsiaTheme="minorHAnsi"/>
                <w:b/>
                <w:bCs/>
                <w:sz w:val="20"/>
                <w:szCs w:val="20"/>
                <w:lang w:eastAsia="ar-SA"/>
              </w:rPr>
            </w:pPr>
            <w:r>
              <w:rPr>
                <w:b/>
                <w:bCs/>
                <w:sz w:val="20"/>
                <w:szCs w:val="20"/>
                <w:lang w:eastAsia="ar-SA"/>
              </w:rPr>
              <w:t>To support 16-QAM for NPUSCH in PUR procedure,</w:t>
            </w:r>
          </w:p>
          <w:p w14:paraId="43E6AB9B" w14:textId="77777777" w:rsidR="000E5B94" w:rsidRDefault="00A353A5">
            <w:pPr>
              <w:numPr>
                <w:ilvl w:val="0"/>
                <w:numId w:val="12"/>
              </w:numPr>
              <w:autoSpaceDE/>
              <w:autoSpaceDN/>
              <w:adjustRightInd/>
              <w:snapToGrid/>
              <w:spacing w:after="0" w:line="240" w:lineRule="auto"/>
              <w:ind w:left="1440"/>
              <w:jc w:val="left"/>
              <w:rPr>
                <w:rFonts w:ascii="Calibri" w:eastAsia="Times New Roman" w:hAnsi="Calibri" w:cs="Calibri"/>
                <w:sz w:val="20"/>
                <w:szCs w:val="20"/>
                <w:lang w:eastAsia="zh-CN"/>
              </w:rPr>
            </w:pPr>
            <w:r>
              <w:rPr>
                <w:rFonts w:eastAsia="Times New Roman"/>
                <w:sz w:val="20"/>
                <w:szCs w:val="20"/>
                <w:lang w:eastAsia="zh-CN"/>
              </w:rPr>
              <w:t xml:space="preserve">One RRC IE is introduced in </w:t>
            </w:r>
            <w:r>
              <w:rPr>
                <w:rFonts w:eastAsia="Times New Roman"/>
                <w:i/>
                <w:iCs/>
                <w:sz w:val="20"/>
                <w:szCs w:val="20"/>
                <w:lang w:eastAsia="zh-CN"/>
              </w:rPr>
              <w:t>pur-PhysicalConfig</w:t>
            </w:r>
            <w:r>
              <w:rPr>
                <w:rFonts w:eastAsia="Times New Roman"/>
                <w:sz w:val="20"/>
                <w:szCs w:val="20"/>
                <w:lang w:eastAsia="zh-CN"/>
              </w:rPr>
              <w:t xml:space="preserve"> to enable the use of 16-QAM.</w:t>
            </w:r>
          </w:p>
          <w:p w14:paraId="43E6AB9C" w14:textId="77777777" w:rsidR="000E5B94" w:rsidRDefault="00A353A5">
            <w:pPr>
              <w:numPr>
                <w:ilvl w:val="1"/>
                <w:numId w:val="12"/>
              </w:numPr>
              <w:autoSpaceDE/>
              <w:autoSpaceDN/>
              <w:adjustRightInd/>
              <w:snapToGrid/>
              <w:spacing w:after="0" w:line="240" w:lineRule="auto"/>
              <w:ind w:left="2160"/>
              <w:jc w:val="left"/>
              <w:rPr>
                <w:rFonts w:ascii="Times" w:eastAsia="Times New Roman" w:hAnsi="Times" w:cs="Times"/>
                <w:color w:val="ED7D31"/>
                <w:sz w:val="20"/>
                <w:szCs w:val="20"/>
                <w:lang w:eastAsia="zh-CN"/>
              </w:rPr>
            </w:pPr>
            <w:r>
              <w:rPr>
                <w:rFonts w:eastAsia="Times New Roman"/>
                <w:color w:val="ED7D31"/>
                <w:sz w:val="20"/>
                <w:szCs w:val="20"/>
                <w:lang w:eastAsia="zh-CN"/>
              </w:rPr>
              <w:t xml:space="preserve">When 16-QAM is enabled, </w:t>
            </w:r>
            <w:r>
              <w:rPr>
                <w:rFonts w:eastAsia="Times New Roman"/>
                <w:sz w:val="20"/>
                <w:szCs w:val="20"/>
                <w:lang w:eastAsia="zh-CN"/>
              </w:rPr>
              <w:t xml:space="preserve">the RRC IE </w:t>
            </w:r>
            <w:r>
              <w:rPr>
                <w:rFonts w:eastAsia="Times New Roman"/>
                <w:i/>
                <w:iCs/>
                <w:sz w:val="20"/>
                <w:szCs w:val="20"/>
                <w:lang w:eastAsia="zh-CN"/>
              </w:rPr>
              <w:t>multiTone</w:t>
            </w:r>
            <w:r>
              <w:rPr>
                <w:rFonts w:eastAsia="Times New Roman"/>
                <w:sz w:val="20"/>
                <w:szCs w:val="20"/>
                <w:lang w:eastAsia="zh-CN"/>
              </w:rPr>
              <w:t xml:space="preserve"> in npusch-MCS in</w:t>
            </w:r>
            <w:r>
              <w:rPr>
                <w:rFonts w:eastAsia="Times New Roman"/>
                <w:i/>
                <w:iCs/>
                <w:sz w:val="20"/>
                <w:szCs w:val="20"/>
                <w:lang w:eastAsia="zh-CN"/>
              </w:rPr>
              <w:t xml:space="preserve"> pur-PhysicalConfig</w:t>
            </w:r>
            <w:r>
              <w:rPr>
                <w:rFonts w:eastAsia="Times New Roman"/>
                <w:sz w:val="20"/>
                <w:szCs w:val="20"/>
                <w:lang w:eastAsia="zh-CN"/>
              </w:rPr>
              <w:t xml:space="preserve"> </w:t>
            </w:r>
            <w:r>
              <w:rPr>
                <w:rFonts w:eastAsia="Times New Roman"/>
                <w:color w:val="ED7D31"/>
                <w:sz w:val="20"/>
                <w:szCs w:val="20"/>
                <w:lang w:eastAsia="zh-CN"/>
              </w:rPr>
              <w:t>indicates MCS from 14 to 21.</w:t>
            </w:r>
          </w:p>
          <w:p w14:paraId="43E6AB9D" w14:textId="77777777" w:rsidR="000E5B94" w:rsidRDefault="000E5B94">
            <w:pPr>
              <w:pStyle w:val="af7"/>
              <w:rPr>
                <w:rFonts w:ascii="Times New Roman" w:hAnsi="Times New Roman" w:cs="Times New Roman"/>
                <w:sz w:val="20"/>
                <w:szCs w:val="20"/>
              </w:rPr>
            </w:pPr>
          </w:p>
        </w:tc>
      </w:tr>
      <w:tr w:rsidR="000E5B94" w14:paraId="43E6ABA2" w14:textId="77777777">
        <w:tc>
          <w:tcPr>
            <w:tcW w:w="1838" w:type="dxa"/>
          </w:tcPr>
          <w:p w14:paraId="43E6AB9F" w14:textId="77777777" w:rsidR="000E5B94" w:rsidRDefault="00A353A5">
            <w:pPr>
              <w:rPr>
                <w:szCs w:val="20"/>
              </w:rPr>
            </w:pPr>
            <w:r>
              <w:rPr>
                <w:szCs w:val="20"/>
              </w:rPr>
              <w:lastRenderedPageBreak/>
              <w:t>Nokia, NSB</w:t>
            </w:r>
          </w:p>
        </w:tc>
        <w:tc>
          <w:tcPr>
            <w:tcW w:w="7469" w:type="dxa"/>
          </w:tcPr>
          <w:p w14:paraId="43E6ABA0" w14:textId="77777777" w:rsidR="000E5B94" w:rsidRDefault="00A353A5">
            <w:r>
              <w:t>We support Proposal 1.</w:t>
            </w:r>
          </w:p>
          <w:p w14:paraId="43E6ABA1" w14:textId="77777777" w:rsidR="000E5B94" w:rsidRDefault="00A353A5">
            <w:r>
              <w:t>On Proposal 2, our original proposal was to only extend the multiTone field for UE capable of 16-QAM (i.e. no need to enable the use of 16-QAM separately). However, we have no strong view and can also accept Ericsson’s proposal to introduce two optional IEs.</w:t>
            </w:r>
          </w:p>
        </w:tc>
      </w:tr>
      <w:tr w:rsidR="000E5B94" w14:paraId="43E6ABA5" w14:textId="77777777">
        <w:tc>
          <w:tcPr>
            <w:tcW w:w="1838" w:type="dxa"/>
          </w:tcPr>
          <w:p w14:paraId="43E6ABA3" w14:textId="77777777" w:rsidR="000E5B94" w:rsidRDefault="00A353A5">
            <w:pPr>
              <w:rPr>
                <w:szCs w:val="20"/>
                <w:lang w:eastAsia="zh-CN"/>
              </w:rPr>
            </w:pPr>
            <w:r>
              <w:rPr>
                <w:szCs w:val="20"/>
                <w:lang w:eastAsia="zh-CN"/>
              </w:rPr>
              <w:t>MTK</w:t>
            </w:r>
          </w:p>
        </w:tc>
        <w:tc>
          <w:tcPr>
            <w:tcW w:w="7469" w:type="dxa"/>
          </w:tcPr>
          <w:p w14:paraId="43E6ABA4" w14:textId="77777777" w:rsidR="000E5B94" w:rsidRDefault="00A353A5">
            <w:pPr>
              <w:rPr>
                <w:szCs w:val="20"/>
                <w:lang w:eastAsia="zh-CN"/>
              </w:rPr>
            </w:pPr>
            <w:r>
              <w:rPr>
                <w:szCs w:val="20"/>
                <w:lang w:eastAsia="zh-CN"/>
              </w:rPr>
              <w:t>We are ok with Proposa1 and prefer the modified proposal2 from Ericsson.</w:t>
            </w:r>
          </w:p>
        </w:tc>
      </w:tr>
      <w:tr w:rsidR="000E5B94" w14:paraId="43E6ABA8" w14:textId="77777777">
        <w:tc>
          <w:tcPr>
            <w:tcW w:w="1838" w:type="dxa"/>
          </w:tcPr>
          <w:p w14:paraId="43E6ABA6" w14:textId="77777777" w:rsidR="000E5B94" w:rsidRDefault="00A353A5">
            <w:pPr>
              <w:rPr>
                <w:szCs w:val="20"/>
                <w:lang w:eastAsia="zh-CN"/>
              </w:rPr>
            </w:pPr>
            <w:r>
              <w:rPr>
                <w:rFonts w:hint="eastAsia"/>
                <w:szCs w:val="20"/>
                <w:lang w:eastAsia="zh-CN"/>
              </w:rPr>
              <w:t>H</w:t>
            </w:r>
            <w:r>
              <w:rPr>
                <w:szCs w:val="20"/>
                <w:lang w:eastAsia="zh-CN"/>
              </w:rPr>
              <w:t>uawei, HiSilicon</w:t>
            </w:r>
          </w:p>
        </w:tc>
        <w:tc>
          <w:tcPr>
            <w:tcW w:w="7469" w:type="dxa"/>
          </w:tcPr>
          <w:p w14:paraId="43E6ABA7" w14:textId="77777777" w:rsidR="000E5B94" w:rsidRDefault="00A353A5">
            <w:pPr>
              <w:rPr>
                <w:szCs w:val="20"/>
                <w:lang w:eastAsia="zh-CN"/>
              </w:rPr>
            </w:pPr>
            <w:r>
              <w:rPr>
                <w:rFonts w:hint="eastAsia"/>
                <w:szCs w:val="20"/>
                <w:lang w:eastAsia="zh-CN"/>
              </w:rPr>
              <w:t>F</w:t>
            </w:r>
            <w:r>
              <w:rPr>
                <w:szCs w:val="20"/>
                <w:lang w:eastAsia="zh-CN"/>
              </w:rPr>
              <w:t>or proposal 2 the detailed signaling can be up to RAN2. We are also fine with proposal 1.</w:t>
            </w:r>
          </w:p>
        </w:tc>
      </w:tr>
      <w:tr w:rsidR="000E5B94" w14:paraId="43E6ABAC" w14:textId="77777777">
        <w:tc>
          <w:tcPr>
            <w:tcW w:w="1838" w:type="dxa"/>
          </w:tcPr>
          <w:p w14:paraId="43E6ABA9" w14:textId="77777777" w:rsidR="000E5B94" w:rsidRDefault="00A353A5">
            <w:pPr>
              <w:rPr>
                <w:szCs w:val="20"/>
                <w:lang w:eastAsia="zh-CN"/>
              </w:rPr>
            </w:pPr>
            <w:r>
              <w:rPr>
                <w:rFonts w:hint="eastAsia"/>
                <w:szCs w:val="20"/>
                <w:lang w:eastAsia="zh-CN"/>
              </w:rPr>
              <w:t>ZTE, Sanechips</w:t>
            </w:r>
          </w:p>
        </w:tc>
        <w:tc>
          <w:tcPr>
            <w:tcW w:w="7469" w:type="dxa"/>
          </w:tcPr>
          <w:p w14:paraId="43E6ABAA" w14:textId="77777777" w:rsidR="000E5B94" w:rsidRDefault="00A353A5">
            <w:pPr>
              <w:rPr>
                <w:szCs w:val="20"/>
                <w:lang w:eastAsia="zh-CN"/>
              </w:rPr>
            </w:pPr>
            <w:r>
              <w:rPr>
                <w:rFonts w:hint="eastAsia"/>
                <w:szCs w:val="20"/>
                <w:lang w:eastAsia="zh-CN"/>
              </w:rPr>
              <w:t>For proposal1, we can compromise to accept this proposal unless there is no any further optimization.</w:t>
            </w:r>
          </w:p>
          <w:p w14:paraId="43E6ABAB" w14:textId="77777777" w:rsidR="000E5B94" w:rsidRDefault="00A353A5">
            <w:pPr>
              <w:rPr>
                <w:szCs w:val="20"/>
                <w:lang w:eastAsia="zh-CN"/>
              </w:rPr>
            </w:pPr>
            <w:r>
              <w:rPr>
                <w:rFonts w:hint="eastAsia"/>
                <w:szCs w:val="20"/>
                <w:lang w:eastAsia="zh-CN"/>
              </w:rPr>
              <w:t xml:space="preserve">For proposal2, alternatively, a new 5bits field, e.g., </w:t>
            </w:r>
            <w:r>
              <w:rPr>
                <w:b/>
                <w:i/>
              </w:rPr>
              <w:t>multiTone</w:t>
            </w:r>
            <w:r>
              <w:rPr>
                <w:rFonts w:hint="eastAsia"/>
                <w:b/>
                <w:i/>
                <w:lang w:eastAsia="zh-CN"/>
              </w:rPr>
              <w:t>-r17</w:t>
            </w:r>
            <w:r>
              <w:rPr>
                <w:rFonts w:hint="eastAsia"/>
                <w:bCs/>
                <w:iCs/>
                <w:lang w:eastAsia="zh-CN"/>
              </w:rPr>
              <w:t xml:space="preserve">, can also be used for enabling 16-QAM and corresponding MCS value. We think it is up to RAN2 decision. </w:t>
            </w:r>
            <w:r>
              <w:rPr>
                <w:b/>
              </w:rPr>
              <w:t xml:space="preserve"> </w:t>
            </w:r>
            <w:r>
              <w:rPr>
                <w:rFonts w:hint="eastAsia"/>
                <w:szCs w:val="20"/>
                <w:lang w:eastAsia="zh-CN"/>
              </w:rPr>
              <w:t xml:space="preserve"> </w:t>
            </w:r>
          </w:p>
        </w:tc>
      </w:tr>
      <w:tr w:rsidR="000E5B94" w14:paraId="43E6ABB6" w14:textId="77777777">
        <w:tc>
          <w:tcPr>
            <w:tcW w:w="1838" w:type="dxa"/>
          </w:tcPr>
          <w:p w14:paraId="43E6ABAD" w14:textId="77777777" w:rsidR="000E5B94" w:rsidRDefault="00A353A5">
            <w:pPr>
              <w:rPr>
                <w:szCs w:val="20"/>
                <w:lang w:eastAsia="zh-CN"/>
              </w:rPr>
            </w:pPr>
            <w:r>
              <w:rPr>
                <w:rFonts w:hint="eastAsia"/>
                <w:szCs w:val="20"/>
                <w:lang w:eastAsia="zh-CN"/>
              </w:rPr>
              <w:t>M</w:t>
            </w:r>
            <w:r>
              <w:rPr>
                <w:szCs w:val="20"/>
                <w:lang w:eastAsia="zh-CN"/>
              </w:rPr>
              <w:t>oderator</w:t>
            </w:r>
          </w:p>
        </w:tc>
        <w:tc>
          <w:tcPr>
            <w:tcW w:w="7469" w:type="dxa"/>
          </w:tcPr>
          <w:p w14:paraId="43E6ABAE" w14:textId="77777777" w:rsidR="000E5B94" w:rsidRDefault="00A353A5">
            <w:pPr>
              <w:rPr>
                <w:szCs w:val="20"/>
                <w:lang w:eastAsia="zh-CN"/>
              </w:rPr>
            </w:pPr>
            <w:r>
              <w:rPr>
                <w:rFonts w:hint="eastAsia"/>
                <w:szCs w:val="20"/>
                <w:lang w:eastAsia="zh-CN"/>
              </w:rPr>
              <w:t>On comments from Ericsson, for NPDSCH in PUR procedure, the MCS is not pre-configured but scheduled from DCI</w:t>
            </w:r>
            <w:r>
              <w:rPr>
                <w:szCs w:val="20"/>
                <w:lang w:eastAsia="zh-CN"/>
              </w:rPr>
              <w:t xml:space="preserve">, so this new IE is not needed. </w:t>
            </w:r>
          </w:p>
          <w:p w14:paraId="43E6ABAF" w14:textId="77777777" w:rsidR="000E5B94" w:rsidRDefault="00A353A5">
            <w:pPr>
              <w:rPr>
                <w:szCs w:val="20"/>
                <w:lang w:eastAsia="zh-CN"/>
              </w:rPr>
            </w:pPr>
            <w:r>
              <w:rPr>
                <w:szCs w:val="20"/>
                <w:lang w:eastAsia="zh-CN"/>
              </w:rPr>
              <w:t>R</w:t>
            </w:r>
            <w:r>
              <w:rPr>
                <w:rFonts w:hint="eastAsia"/>
                <w:szCs w:val="20"/>
                <w:lang w:eastAsia="zh-CN"/>
              </w:rPr>
              <w:t xml:space="preserve">egarding </w:t>
            </w:r>
            <w:r>
              <w:rPr>
                <w:szCs w:val="20"/>
                <w:lang w:eastAsia="zh-CN"/>
              </w:rPr>
              <w:t>the comments, proposals are updated as below:</w:t>
            </w:r>
          </w:p>
          <w:p w14:paraId="43E6ABB0" w14:textId="77777777" w:rsidR="000E5B94" w:rsidRDefault="00A353A5">
            <w:pPr>
              <w:pStyle w:val="a6"/>
              <w:jc w:val="left"/>
              <w:rPr>
                <w:sz w:val="22"/>
              </w:rPr>
            </w:pPr>
            <w:r>
              <w:rPr>
                <w:sz w:val="22"/>
              </w:rPr>
              <w:t>Proposal</w:t>
            </w:r>
            <w:r>
              <w:t xml:space="preserve"> 1</w:t>
            </w:r>
            <w:r>
              <w:rPr>
                <w:sz w:val="22"/>
              </w:rPr>
              <w:t>: Support 16-QAM for NPDSCH in PUR procedure</w:t>
            </w:r>
          </w:p>
          <w:p w14:paraId="43E6ABB1" w14:textId="77777777" w:rsidR="000E5B94" w:rsidRDefault="00A353A5">
            <w:pPr>
              <w:pStyle w:val="a6"/>
              <w:numPr>
                <w:ilvl w:val="0"/>
                <w:numId w:val="13"/>
              </w:numPr>
              <w:jc w:val="left"/>
              <w:rPr>
                <w:sz w:val="22"/>
              </w:rPr>
            </w:pPr>
            <w:r>
              <w:rPr>
                <w:sz w:val="22"/>
              </w:rPr>
              <w:t>CSI report is not supported/expected during PUR procedure</w:t>
            </w:r>
          </w:p>
          <w:p w14:paraId="43E6ABB2" w14:textId="77777777" w:rsidR="000E5B94" w:rsidRDefault="00A353A5">
            <w:pPr>
              <w:pStyle w:val="a6"/>
              <w:numPr>
                <w:ilvl w:val="0"/>
                <w:numId w:val="13"/>
              </w:numPr>
              <w:jc w:val="left"/>
            </w:pPr>
            <w:r>
              <w:t>The power ratios between NRS and NPDSCH is pre-configured for NPDSCH in PUR procedure</w:t>
            </w:r>
          </w:p>
          <w:p w14:paraId="43E6ABB3" w14:textId="77777777" w:rsidR="000E5B94" w:rsidRDefault="00A353A5">
            <w:pPr>
              <w:spacing w:after="0" w:line="240" w:lineRule="auto"/>
              <w:rPr>
                <w:b/>
              </w:rPr>
            </w:pPr>
            <w:r>
              <w:rPr>
                <w:b/>
              </w:rPr>
              <w:t>Proposal 2: To support 16-QAM for NPUSCH in PUR procedure,</w:t>
            </w:r>
          </w:p>
          <w:p w14:paraId="43E6ABB4" w14:textId="77777777" w:rsidR="000E5B94" w:rsidRDefault="00A353A5">
            <w:pPr>
              <w:pStyle w:val="af7"/>
              <w:numPr>
                <w:ilvl w:val="0"/>
                <w:numId w:val="14"/>
              </w:numPr>
              <w:spacing w:line="240" w:lineRule="auto"/>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14:paraId="43E6ABB5" w14:textId="77777777" w:rsidR="000E5B94" w:rsidRDefault="00A353A5">
            <w:pPr>
              <w:pStyle w:val="af7"/>
              <w:numPr>
                <w:ilvl w:val="1"/>
                <w:numId w:val="14"/>
              </w:numPr>
              <w:spacing w:line="240" w:lineRule="auto"/>
              <w:rPr>
                <w:rFonts w:ascii="Times New Roman" w:hAnsi="Times New Roman" w:cs="Times New Roman"/>
                <w:b/>
                <w:sz w:val="22"/>
                <w:szCs w:val="22"/>
              </w:rPr>
            </w:pPr>
            <w:r>
              <w:rPr>
                <w:rFonts w:ascii="Times New Roman" w:eastAsia="Times New Roman" w:hAnsi="Times New Roman" w:cs="Times New Roman"/>
                <w:b/>
                <w:sz w:val="22"/>
                <w:szCs w:val="20"/>
              </w:rPr>
              <w:t xml:space="preserve">When 16-QAM is enabled, the RRC IE </w:t>
            </w:r>
            <w:r>
              <w:rPr>
                <w:rFonts w:ascii="Times New Roman" w:eastAsia="Times New Roman" w:hAnsi="Times New Roman" w:cs="Times New Roman"/>
                <w:b/>
                <w:i/>
                <w:iCs/>
                <w:sz w:val="22"/>
                <w:szCs w:val="20"/>
              </w:rPr>
              <w:t>multiTone</w:t>
            </w:r>
            <w:r>
              <w:rPr>
                <w:rFonts w:ascii="Times New Roman" w:eastAsia="Times New Roman" w:hAnsi="Times New Roman" w:cs="Times New Roman"/>
                <w:b/>
                <w:sz w:val="22"/>
                <w:szCs w:val="20"/>
              </w:rPr>
              <w:t xml:space="preserve"> in npusch-MCS in</w:t>
            </w:r>
            <w:r>
              <w:rPr>
                <w:rFonts w:ascii="Times New Roman" w:eastAsia="Times New Roman" w:hAnsi="Times New Roman" w:cs="Times New Roman"/>
                <w:b/>
                <w:i/>
                <w:iCs/>
                <w:sz w:val="22"/>
                <w:szCs w:val="20"/>
              </w:rPr>
              <w:t xml:space="preserve"> pur-PhysicalConfig</w:t>
            </w:r>
            <w:r>
              <w:rPr>
                <w:rFonts w:ascii="Times New Roman" w:eastAsia="Times New Roman" w:hAnsi="Times New Roman" w:cs="Times New Roman"/>
                <w:b/>
                <w:sz w:val="22"/>
                <w:szCs w:val="20"/>
              </w:rPr>
              <w:t xml:space="preserve"> indicates the TBS indices for 16-QAM.</w:t>
            </w:r>
          </w:p>
        </w:tc>
      </w:tr>
      <w:tr w:rsidR="000E5B94" w14:paraId="43E6ABBA" w14:textId="77777777">
        <w:tc>
          <w:tcPr>
            <w:tcW w:w="1838" w:type="dxa"/>
          </w:tcPr>
          <w:p w14:paraId="43E6ABB7" w14:textId="77777777" w:rsidR="000E5B94" w:rsidRDefault="00A353A5">
            <w:pPr>
              <w:rPr>
                <w:szCs w:val="20"/>
                <w:lang w:eastAsia="zh-CN"/>
              </w:rPr>
            </w:pPr>
            <w:r>
              <w:rPr>
                <w:szCs w:val="20"/>
                <w:lang w:eastAsia="zh-CN"/>
              </w:rPr>
              <w:t>Ericsson v016</w:t>
            </w:r>
          </w:p>
        </w:tc>
        <w:tc>
          <w:tcPr>
            <w:tcW w:w="7469" w:type="dxa"/>
          </w:tcPr>
          <w:p w14:paraId="43E6ABB8" w14:textId="77777777" w:rsidR="000E5B94" w:rsidRDefault="00A353A5">
            <w:pPr>
              <w:rPr>
                <w:szCs w:val="20"/>
                <w:lang w:eastAsia="zh-CN"/>
              </w:rPr>
            </w:pPr>
            <w:r>
              <w:rPr>
                <w:szCs w:val="20"/>
                <w:lang w:eastAsia="zh-CN"/>
              </w:rPr>
              <w:t xml:space="preserve">In my understanding there are elements of DL that somehow need to be pre-configured. If it is not the case, then why your proposal 1 includes the “power ratios … </w:t>
            </w:r>
            <w:r>
              <w:t>for NPDSCH in PUR procedure</w:t>
            </w:r>
            <w:r>
              <w:rPr>
                <w:szCs w:val="20"/>
                <w:lang w:eastAsia="zh-CN"/>
              </w:rPr>
              <w:t xml:space="preserve">”??? </w:t>
            </w:r>
          </w:p>
          <w:p w14:paraId="43E6ABB9" w14:textId="77777777" w:rsidR="000E5B94" w:rsidRDefault="00A353A5">
            <w:pPr>
              <w:rPr>
                <w:sz w:val="20"/>
                <w:szCs w:val="20"/>
              </w:rPr>
            </w:pPr>
            <w:r>
              <w:rPr>
                <w:szCs w:val="20"/>
                <w:lang w:eastAsia="zh-CN"/>
              </w:rPr>
              <w:t xml:space="preserve">That is why, if 16-QAM in UL and DL is to be supported in PUR, we can be ok with it subject to have </w:t>
            </w:r>
            <w:r>
              <w:rPr>
                <w:sz w:val="20"/>
                <w:szCs w:val="20"/>
              </w:rPr>
              <w:t>“</w:t>
            </w:r>
            <w:r>
              <w:rPr>
                <w:i/>
                <w:iCs/>
                <w:sz w:val="20"/>
                <w:szCs w:val="20"/>
              </w:rPr>
              <w:t xml:space="preserve">Two new optional IEs for DL and UL 16QAM are introduced in </w:t>
            </w:r>
            <w:r>
              <w:rPr>
                <w:i/>
                <w:iCs/>
                <w:sz w:val="20"/>
                <w:szCs w:val="20"/>
              </w:rPr>
              <w:lastRenderedPageBreak/>
              <w:t>the PUR configuration</w:t>
            </w:r>
            <w:r>
              <w:rPr>
                <w:sz w:val="20"/>
                <w:szCs w:val="20"/>
              </w:rPr>
              <w:t>”</w:t>
            </w:r>
            <w:r>
              <w:rPr>
                <w:szCs w:val="20"/>
                <w:lang w:eastAsia="zh-CN"/>
              </w:rPr>
              <w:t>. The above as to be able to control DL and UL separately in PUR.</w:t>
            </w:r>
          </w:p>
        </w:tc>
      </w:tr>
      <w:tr w:rsidR="000E5B94" w14:paraId="43E6ABC0" w14:textId="77777777">
        <w:tc>
          <w:tcPr>
            <w:tcW w:w="1838" w:type="dxa"/>
          </w:tcPr>
          <w:p w14:paraId="43E6ABBB" w14:textId="77777777" w:rsidR="000E5B94" w:rsidRDefault="00A353A5">
            <w:pPr>
              <w:rPr>
                <w:szCs w:val="20"/>
                <w:lang w:eastAsia="zh-CN"/>
              </w:rPr>
            </w:pPr>
            <w:r>
              <w:rPr>
                <w:rFonts w:hint="eastAsia"/>
                <w:szCs w:val="20"/>
                <w:lang w:eastAsia="zh-CN"/>
              </w:rPr>
              <w:lastRenderedPageBreak/>
              <w:t>ZTE, Sanechips</w:t>
            </w:r>
          </w:p>
        </w:tc>
        <w:tc>
          <w:tcPr>
            <w:tcW w:w="7469" w:type="dxa"/>
          </w:tcPr>
          <w:p w14:paraId="43E6ABBC" w14:textId="77777777" w:rsidR="000E5B94" w:rsidRDefault="00A353A5">
            <w:pPr>
              <w:rPr>
                <w:szCs w:val="20"/>
                <w:lang w:eastAsia="zh-CN"/>
              </w:rPr>
            </w:pPr>
            <w:r>
              <w:rPr>
                <w:rFonts w:hint="eastAsia"/>
                <w:szCs w:val="20"/>
                <w:lang w:eastAsia="zh-CN"/>
              </w:rPr>
              <w:t>Whether to introduce a new RRC IE or reuse the RRC IE is up to RAN2 decision.</w:t>
            </w:r>
          </w:p>
          <w:p w14:paraId="43E6ABBD" w14:textId="77777777" w:rsidR="000E5B94" w:rsidRDefault="00A353A5">
            <w:pPr>
              <w:rPr>
                <w:szCs w:val="20"/>
                <w:lang w:eastAsia="zh-CN"/>
              </w:rPr>
            </w:pPr>
            <w:r>
              <w:rPr>
                <w:rFonts w:hint="eastAsia"/>
                <w:szCs w:val="20"/>
                <w:lang w:eastAsia="zh-CN"/>
              </w:rPr>
              <w:t>Modify the proposal 2 as following:</w:t>
            </w:r>
          </w:p>
          <w:p w14:paraId="43E6ABBE" w14:textId="77777777" w:rsidR="000E5B94" w:rsidRDefault="00A353A5">
            <w:pPr>
              <w:numPr>
                <w:ilvl w:val="0"/>
                <w:numId w:val="16"/>
              </w:numPr>
              <w:rPr>
                <w:b/>
                <w:bCs/>
                <w:szCs w:val="20"/>
                <w:lang w:eastAsia="zh-CN"/>
              </w:rPr>
            </w:pPr>
            <w:r>
              <w:rPr>
                <w:rFonts w:hint="eastAsia"/>
                <w:b/>
                <w:bCs/>
                <w:szCs w:val="20"/>
                <w:lang w:eastAsia="zh-CN"/>
              </w:rPr>
              <w:t xml:space="preserve">QAM for PUR can be enabled/disabled by UE specific RRC signalling. </w:t>
            </w:r>
          </w:p>
          <w:p w14:paraId="43E6ABBF" w14:textId="77777777" w:rsidR="000E5B94" w:rsidRDefault="00A353A5">
            <w:pPr>
              <w:numPr>
                <w:ilvl w:val="0"/>
                <w:numId w:val="17"/>
              </w:numPr>
              <w:rPr>
                <w:szCs w:val="20"/>
                <w:lang w:eastAsia="zh-CN"/>
              </w:rPr>
            </w:pPr>
            <w:r>
              <w:rPr>
                <w:rFonts w:hint="eastAsia"/>
                <w:b/>
                <w:bCs/>
                <w:szCs w:val="20"/>
                <w:lang w:eastAsia="zh-CN"/>
              </w:rPr>
              <w:t>when 16-QAM for PUR is enabled, TBS for PUR can be indicated by UE specific RRC signalling</w:t>
            </w:r>
          </w:p>
        </w:tc>
      </w:tr>
      <w:tr w:rsidR="005C55F8" w14:paraId="6BE433E1" w14:textId="77777777">
        <w:tc>
          <w:tcPr>
            <w:tcW w:w="1838" w:type="dxa"/>
          </w:tcPr>
          <w:p w14:paraId="600F980A" w14:textId="15A5AED5" w:rsidR="005C55F8" w:rsidRDefault="005C55F8">
            <w:pPr>
              <w:rPr>
                <w:szCs w:val="20"/>
                <w:lang w:eastAsia="zh-CN"/>
              </w:rPr>
            </w:pPr>
            <w:r>
              <w:rPr>
                <w:szCs w:val="20"/>
                <w:lang w:eastAsia="zh-CN"/>
              </w:rPr>
              <w:t>Nokia, NSB</w:t>
            </w:r>
          </w:p>
        </w:tc>
        <w:tc>
          <w:tcPr>
            <w:tcW w:w="7469" w:type="dxa"/>
          </w:tcPr>
          <w:p w14:paraId="0452EB40" w14:textId="77777777" w:rsidR="005C55F8" w:rsidRDefault="005C55F8">
            <w:pPr>
              <w:rPr>
                <w:szCs w:val="20"/>
                <w:lang w:eastAsia="zh-CN"/>
              </w:rPr>
            </w:pPr>
            <w:r>
              <w:rPr>
                <w:szCs w:val="20"/>
                <w:lang w:eastAsia="zh-CN"/>
              </w:rPr>
              <w:t>We are fine with Proposal 1.</w:t>
            </w:r>
          </w:p>
          <w:p w14:paraId="5148AB65" w14:textId="5BE2DE46" w:rsidR="005C55F8" w:rsidRPr="00D806DF" w:rsidRDefault="005C55F8">
            <w:pPr>
              <w:rPr>
                <w:szCs w:val="20"/>
                <w:lang w:eastAsia="zh-CN"/>
              </w:rPr>
            </w:pPr>
            <w:r>
              <w:rPr>
                <w:szCs w:val="20"/>
                <w:lang w:eastAsia="zh-CN"/>
              </w:rPr>
              <w:t>On Proposal 2, we have s</w:t>
            </w:r>
            <w:r w:rsidR="00D806DF">
              <w:rPr>
                <w:szCs w:val="20"/>
                <w:lang w:eastAsia="zh-CN"/>
              </w:rPr>
              <w:t xml:space="preserve">imilar view / preference as ZTE that the </w:t>
            </w:r>
            <w:r w:rsidR="00D806DF">
              <w:rPr>
                <w:b/>
                <w:bCs/>
                <w:i/>
                <w:iCs/>
                <w:szCs w:val="20"/>
                <w:lang w:eastAsia="zh-CN"/>
              </w:rPr>
              <w:t xml:space="preserve">multitone </w:t>
            </w:r>
            <w:r w:rsidR="00D806DF">
              <w:rPr>
                <w:szCs w:val="20"/>
                <w:lang w:eastAsia="zh-CN"/>
              </w:rPr>
              <w:t>field can be used. But we have no strong preference here so we could also accept the proposal if that is the majority view.</w:t>
            </w:r>
          </w:p>
        </w:tc>
      </w:tr>
    </w:tbl>
    <w:p w14:paraId="43E6ABC1" w14:textId="77777777" w:rsidR="000E5B94" w:rsidRDefault="000E5B94">
      <w:pPr>
        <w:rPr>
          <w:b/>
        </w:rPr>
      </w:pPr>
    </w:p>
    <w:p w14:paraId="43E6ABC2" w14:textId="77777777" w:rsidR="000E5B94" w:rsidRDefault="00A353A5">
      <w:pPr>
        <w:pStyle w:val="2"/>
        <w:rPr>
          <w:lang w:eastAsia="zh-CN"/>
        </w:rPr>
      </w:pPr>
      <w:r>
        <w:rPr>
          <w:lang w:eastAsia="zh-CN"/>
        </w:rPr>
        <w:t>DCI</w:t>
      </w:r>
    </w:p>
    <w:p w14:paraId="43E6ABC3" w14:textId="77777777" w:rsidR="000E5B94" w:rsidRDefault="00A353A5">
      <w:pPr>
        <w:pStyle w:val="30"/>
      </w:pPr>
      <w:r>
        <w:rPr>
          <w:lang w:eastAsia="zh-CN"/>
        </w:rPr>
        <w:t>Issue 2: DCI design</w:t>
      </w:r>
    </w:p>
    <w:p w14:paraId="43E6ABC4" w14:textId="77777777" w:rsidR="000E5B94" w:rsidRDefault="00A353A5">
      <w:r>
        <w:rPr>
          <w:rFonts w:hint="eastAsia"/>
        </w:rPr>
        <w:t>The following have been achieved:</w:t>
      </w:r>
    </w:p>
    <w:p w14:paraId="43E6ABC5" w14:textId="77777777" w:rsidR="000E5B94" w:rsidRDefault="00A353A5">
      <w:pPr>
        <w:ind w:leftChars="200" w:left="440"/>
        <w:rPr>
          <w:highlight w:val="green"/>
          <w:lang w:eastAsia="zh-CN"/>
        </w:rPr>
      </w:pPr>
      <w:r>
        <w:rPr>
          <w:highlight w:val="green"/>
          <w:lang w:eastAsia="zh-CN"/>
        </w:rPr>
        <w:t>Confirm the working assumption:</w:t>
      </w:r>
    </w:p>
    <w:p w14:paraId="43E6ABC6" w14:textId="77777777" w:rsidR="000E5B94" w:rsidRDefault="00A353A5">
      <w:pPr>
        <w:ind w:leftChars="200" w:left="440"/>
        <w:rPr>
          <w:rFonts w:eastAsia="Batang"/>
        </w:rPr>
      </w:pPr>
      <w:r>
        <w:rPr>
          <w:rFonts w:eastAsia="Batang"/>
        </w:rPr>
        <w:t>Working Assumption</w:t>
      </w:r>
    </w:p>
    <w:p w14:paraId="43E6ABC7" w14:textId="77777777" w:rsidR="000E5B94" w:rsidRDefault="00A353A5">
      <w:pPr>
        <w:ind w:leftChars="400" w:left="880"/>
        <w:rPr>
          <w:rFonts w:eastAsia="Batang"/>
          <w:lang w:eastAsia="zh-CN"/>
        </w:rPr>
      </w:pPr>
      <w:r>
        <w:rPr>
          <w:rFonts w:eastAsia="Batang"/>
        </w:rPr>
        <w:t>For the indication of 16-QAM in uplink</w:t>
      </w:r>
    </w:p>
    <w:p w14:paraId="43E6ABC8" w14:textId="77777777" w:rsidR="000E5B94" w:rsidRDefault="00A353A5">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The “Modulation and coding scheme” field in DCI Format N0 is utilized as in legacy for scheduling QPSK.</w:t>
      </w:r>
    </w:p>
    <w:p w14:paraId="43E6ABC9" w14:textId="77777777" w:rsidR="000E5B94" w:rsidRDefault="00A353A5">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One reserved state in the “Modulation and coding scheme” field in DCI Format N0 is utilized to indicate the use of 16QAM.</w:t>
      </w:r>
    </w:p>
    <w:p w14:paraId="43E6ABCA" w14:textId="77777777" w:rsidR="000E5B94" w:rsidRDefault="00A353A5">
      <w:pPr>
        <w:numPr>
          <w:ilvl w:val="0"/>
          <w:numId w:val="18"/>
        </w:numPr>
        <w:overflowPunct w:val="0"/>
        <w:autoSpaceDE/>
        <w:autoSpaceDN/>
        <w:adjustRightInd/>
        <w:snapToGrid/>
        <w:spacing w:after="180" w:line="240" w:lineRule="auto"/>
        <w:ind w:leftChars="564" w:left="1601"/>
        <w:contextualSpacing/>
        <w:jc w:val="left"/>
        <w:textAlignment w:val="baseline"/>
        <w:rPr>
          <w:szCs w:val="20"/>
          <w:lang w:eastAsia="zh-CN"/>
        </w:rPr>
      </w:pPr>
      <w:r>
        <w:rPr>
          <w:rFonts w:eastAsia="Batang"/>
        </w:rPr>
        <w:t>The “Repetition number” field in DCI Format N0 is utilized to indicate the TBS indices (i.e., I_TBS indices from 14 to 21) for 16-QAM in UL.</w:t>
      </w:r>
    </w:p>
    <w:p w14:paraId="43E6ABCB" w14:textId="77777777" w:rsidR="000E5B94" w:rsidRDefault="00A353A5">
      <w:pPr>
        <w:ind w:leftChars="200" w:left="440"/>
        <w:rPr>
          <w:highlight w:val="green"/>
          <w:lang w:eastAsia="zh-CN"/>
        </w:rPr>
      </w:pPr>
      <w:r>
        <w:rPr>
          <w:highlight w:val="green"/>
          <w:lang w:eastAsia="zh-CN"/>
        </w:rPr>
        <w:t>Agreement</w:t>
      </w:r>
    </w:p>
    <w:p w14:paraId="43E6ABCC" w14:textId="77777777" w:rsidR="000E5B94" w:rsidRDefault="00A353A5">
      <w:pPr>
        <w:ind w:leftChars="200" w:left="440"/>
      </w:pPr>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p>
    <w:p w14:paraId="43E6ABCD" w14:textId="77777777" w:rsidR="000E5B94" w:rsidRDefault="000E5B94"/>
    <w:p w14:paraId="43E6ABCE" w14:textId="77777777" w:rsidR="000E5B94" w:rsidRDefault="00A353A5">
      <w:r>
        <w:rPr>
          <w:rFonts w:hint="eastAsia"/>
        </w:rPr>
        <w:t xml:space="preserve">Regarding the comments that </w:t>
      </w:r>
      <w:r>
        <w:t>inbandCarrierInfo can also be in Msg3, maybe we can have a proposal to correct it as below:</w:t>
      </w:r>
    </w:p>
    <w:p w14:paraId="43E6ABCF" w14:textId="77777777" w:rsidR="000E5B94" w:rsidRDefault="00A353A5">
      <w:pPr>
        <w:rPr>
          <w:b/>
        </w:rPr>
      </w:pPr>
      <w:r>
        <w:rPr>
          <w:b/>
        </w:rPr>
        <w:t>Proposal 3: the agreement below is updated as</w:t>
      </w:r>
    </w:p>
    <w:p w14:paraId="43E6ABD0" w14:textId="77777777" w:rsidR="000E5B94" w:rsidRDefault="00A353A5">
      <w:pPr>
        <w:ind w:leftChars="200" w:left="440"/>
        <w:rPr>
          <w:highlight w:val="green"/>
          <w:lang w:eastAsia="zh-CN"/>
        </w:rPr>
      </w:pPr>
      <w:r>
        <w:rPr>
          <w:highlight w:val="green"/>
          <w:lang w:eastAsia="zh-CN"/>
        </w:rPr>
        <w:t>Agreement</w:t>
      </w:r>
    </w:p>
    <w:p w14:paraId="43E6ABD1" w14:textId="77777777" w:rsidR="000E5B94" w:rsidRDefault="00A353A5">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w:t>
      </w:r>
      <w:r>
        <w:rPr>
          <w:b/>
          <w:strike/>
          <w:color w:val="FF0000"/>
        </w:rPr>
        <w:t>in SIB</w:t>
      </w:r>
      <w:r>
        <w:rPr>
          <w:b/>
        </w:rPr>
        <w:t>.</w:t>
      </w:r>
    </w:p>
    <w:p w14:paraId="43E6ABD2" w14:textId="77777777" w:rsidR="000E5B94" w:rsidRDefault="000E5B94"/>
    <w:p w14:paraId="43E6ABD3" w14:textId="77777777" w:rsidR="000E5B94" w:rsidRDefault="00A353A5">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0E5B94" w14:paraId="43E6ABD6" w14:textId="77777777">
        <w:tc>
          <w:tcPr>
            <w:tcW w:w="1838" w:type="dxa"/>
          </w:tcPr>
          <w:p w14:paraId="43E6ABD4" w14:textId="77777777" w:rsidR="000E5B94" w:rsidRDefault="00A353A5">
            <w:pPr>
              <w:rPr>
                <w:szCs w:val="20"/>
              </w:rPr>
            </w:pPr>
            <w:r>
              <w:rPr>
                <w:rFonts w:hint="eastAsia"/>
                <w:szCs w:val="20"/>
              </w:rPr>
              <w:t>Comp</w:t>
            </w:r>
            <w:r>
              <w:rPr>
                <w:szCs w:val="20"/>
              </w:rPr>
              <w:t>anies</w:t>
            </w:r>
          </w:p>
        </w:tc>
        <w:tc>
          <w:tcPr>
            <w:tcW w:w="7469" w:type="dxa"/>
          </w:tcPr>
          <w:p w14:paraId="43E6ABD5" w14:textId="77777777" w:rsidR="000E5B94" w:rsidRDefault="00A353A5">
            <w:pPr>
              <w:rPr>
                <w:szCs w:val="20"/>
              </w:rPr>
            </w:pPr>
            <w:r>
              <w:rPr>
                <w:rFonts w:hint="eastAsia"/>
                <w:szCs w:val="20"/>
              </w:rPr>
              <w:t>Comments</w:t>
            </w:r>
          </w:p>
        </w:tc>
      </w:tr>
      <w:tr w:rsidR="000E5B94" w14:paraId="43E6ABD9" w14:textId="77777777">
        <w:tc>
          <w:tcPr>
            <w:tcW w:w="1838" w:type="dxa"/>
          </w:tcPr>
          <w:p w14:paraId="43E6ABD7" w14:textId="77777777" w:rsidR="000E5B94" w:rsidRDefault="00A353A5">
            <w:pPr>
              <w:rPr>
                <w:sz w:val="20"/>
                <w:szCs w:val="20"/>
              </w:rPr>
            </w:pPr>
            <w:r>
              <w:rPr>
                <w:sz w:val="20"/>
                <w:szCs w:val="20"/>
              </w:rPr>
              <w:t>Ericsson v016</w:t>
            </w:r>
          </w:p>
        </w:tc>
        <w:tc>
          <w:tcPr>
            <w:tcW w:w="7469" w:type="dxa"/>
          </w:tcPr>
          <w:p w14:paraId="43E6ABD8" w14:textId="77777777" w:rsidR="000E5B94" w:rsidRDefault="00A353A5">
            <w:pPr>
              <w:rPr>
                <w:sz w:val="20"/>
                <w:szCs w:val="20"/>
              </w:rPr>
            </w:pPr>
            <w:r>
              <w:rPr>
                <w:sz w:val="20"/>
                <w:szCs w:val="20"/>
              </w:rPr>
              <w:t>Due that “</w:t>
            </w:r>
            <w:r>
              <w:rPr>
                <w:i/>
                <w:iCs/>
                <w:sz w:val="20"/>
                <w:szCs w:val="20"/>
              </w:rPr>
              <w:t>operationModeInfo</w:t>
            </w:r>
            <w:r>
              <w:rPr>
                <w:sz w:val="20"/>
                <w:szCs w:val="20"/>
              </w:rPr>
              <w:t>” refers to “MIB”, proposal 3 looks asymmetrical. We do not see the problem in just adding “/msg4” as to have “</w:t>
            </w:r>
            <w:r>
              <w:rPr>
                <w:i/>
                <w:iCs/>
                <w:sz w:val="20"/>
                <w:szCs w:val="20"/>
              </w:rPr>
              <w:t>inbandCarrierInfo</w:t>
            </w:r>
            <w:r>
              <w:rPr>
                <w:sz w:val="20"/>
                <w:szCs w:val="20"/>
              </w:rPr>
              <w:t xml:space="preserve"> in SIB/msg4”.</w:t>
            </w:r>
          </w:p>
        </w:tc>
      </w:tr>
      <w:tr w:rsidR="000E5B94" w14:paraId="43E6ABDD" w14:textId="77777777">
        <w:tc>
          <w:tcPr>
            <w:tcW w:w="1838" w:type="dxa"/>
          </w:tcPr>
          <w:p w14:paraId="43E6ABDA" w14:textId="77777777" w:rsidR="000E5B94" w:rsidRDefault="00A353A5">
            <w:pPr>
              <w:rPr>
                <w:szCs w:val="20"/>
                <w:lang w:eastAsia="zh-CN"/>
              </w:rPr>
            </w:pPr>
            <w:r>
              <w:rPr>
                <w:rFonts w:hint="eastAsia"/>
                <w:szCs w:val="20"/>
                <w:lang w:eastAsia="zh-CN"/>
              </w:rPr>
              <w:lastRenderedPageBreak/>
              <w:t>ZTE, Sanechips</w:t>
            </w:r>
          </w:p>
        </w:tc>
        <w:tc>
          <w:tcPr>
            <w:tcW w:w="7469" w:type="dxa"/>
          </w:tcPr>
          <w:p w14:paraId="43E6ABDB" w14:textId="77777777" w:rsidR="000E5B94" w:rsidRDefault="00A353A5">
            <w:pPr>
              <w:rPr>
                <w:lang w:eastAsia="zh-CN"/>
              </w:rPr>
            </w:pPr>
            <w:r>
              <w:rPr>
                <w:rFonts w:hint="eastAsia"/>
                <w:lang w:eastAsia="zh-CN"/>
              </w:rPr>
              <w:t>We do not need to change the agreement. Just add a new agreement to capture msg4 is fine.</w:t>
            </w:r>
          </w:p>
          <w:p w14:paraId="43E6ABDC" w14:textId="77777777" w:rsidR="000E5B94" w:rsidRDefault="00A353A5">
            <w:pPr>
              <w:rPr>
                <w:lang w:eastAsia="zh-CN"/>
              </w:rPr>
            </w:pPr>
            <w:r>
              <w:rPr>
                <w:b/>
              </w:rPr>
              <w:t xml:space="preserve">For the UE configured with 16-QAM for NPDSCH, the deployment of the carrier </w:t>
            </w:r>
            <w:r>
              <w:rPr>
                <w:rFonts w:hint="eastAsia"/>
                <w:b/>
                <w:lang w:eastAsia="zh-CN"/>
              </w:rPr>
              <w:t>also can be</w:t>
            </w:r>
            <w:r>
              <w:rPr>
                <w:b/>
              </w:rPr>
              <w:t xml:space="preserve"> signaled by </w:t>
            </w:r>
            <w:r>
              <w:rPr>
                <w:b/>
                <w:i/>
              </w:rPr>
              <w:t>inbandCarrierInfo</w:t>
            </w:r>
            <w:r>
              <w:rPr>
                <w:b/>
              </w:rPr>
              <w:t xml:space="preserve"> </w:t>
            </w:r>
            <w:r>
              <w:rPr>
                <w:rFonts w:hint="eastAsia"/>
                <w:b/>
                <w:color w:val="FF0000"/>
                <w:lang w:eastAsia="zh-CN"/>
              </w:rPr>
              <w:t>in UE-specific RRC signalling</w:t>
            </w:r>
            <w:r>
              <w:rPr>
                <w:b/>
              </w:rPr>
              <w:t>.</w:t>
            </w:r>
          </w:p>
        </w:tc>
      </w:tr>
      <w:tr w:rsidR="000E5B94" w14:paraId="43E6ABE0" w14:textId="77777777">
        <w:tc>
          <w:tcPr>
            <w:tcW w:w="1838" w:type="dxa"/>
          </w:tcPr>
          <w:p w14:paraId="43E6ABDE" w14:textId="19A4FE44" w:rsidR="000E5B94" w:rsidRDefault="005752B6">
            <w:pPr>
              <w:rPr>
                <w:szCs w:val="20"/>
                <w:lang w:eastAsia="zh-CN"/>
              </w:rPr>
            </w:pPr>
            <w:r>
              <w:rPr>
                <w:szCs w:val="20"/>
                <w:lang w:eastAsia="zh-CN"/>
              </w:rPr>
              <w:t>Nokia, NSB</w:t>
            </w:r>
          </w:p>
        </w:tc>
        <w:tc>
          <w:tcPr>
            <w:tcW w:w="7469" w:type="dxa"/>
          </w:tcPr>
          <w:p w14:paraId="43E6ABDF" w14:textId="48D1381A" w:rsidR="000E5B94" w:rsidRDefault="005752B6">
            <w:pPr>
              <w:rPr>
                <w:szCs w:val="20"/>
                <w:lang w:eastAsia="zh-CN"/>
              </w:rPr>
            </w:pPr>
            <w:r>
              <w:rPr>
                <w:szCs w:val="20"/>
                <w:lang w:eastAsia="zh-CN"/>
              </w:rPr>
              <w:t>We think it’s better to add</w:t>
            </w:r>
            <w:r w:rsidR="00D45987">
              <w:rPr>
                <w:szCs w:val="20"/>
                <w:lang w:eastAsia="zh-CN"/>
              </w:rPr>
              <w:t xml:space="preserve"> clarification text as proposed by Ericsson rather than to delete “in SIB”.</w:t>
            </w:r>
          </w:p>
        </w:tc>
      </w:tr>
    </w:tbl>
    <w:p w14:paraId="43E6ABE1" w14:textId="77777777" w:rsidR="000E5B94" w:rsidRDefault="000E5B94"/>
    <w:p w14:paraId="43E6ABE2" w14:textId="77777777" w:rsidR="000E5B94" w:rsidRDefault="000E5B94"/>
    <w:p w14:paraId="43E6ABE3" w14:textId="77777777" w:rsidR="000E5B94" w:rsidRDefault="00A353A5">
      <w:pPr>
        <w:pStyle w:val="2"/>
        <w:rPr>
          <w:lang w:eastAsia="zh-CN"/>
        </w:rPr>
      </w:pPr>
      <w:r>
        <w:rPr>
          <w:lang w:eastAsia="zh-CN"/>
        </w:rPr>
        <w:t>Power allocation and power control</w:t>
      </w:r>
    </w:p>
    <w:p w14:paraId="43E6ABE4" w14:textId="77777777" w:rsidR="000E5B94" w:rsidRDefault="00A353A5">
      <w:pPr>
        <w:pStyle w:val="30"/>
      </w:pPr>
      <w:r>
        <w:rPr>
          <w:lang w:eastAsia="zh-CN"/>
        </w:rPr>
        <w:t>Issue 3: downlink power allocation</w:t>
      </w:r>
    </w:p>
    <w:p w14:paraId="43E6ABE5" w14:textId="77777777" w:rsidR="000E5B94" w:rsidRDefault="00A353A5">
      <w:pPr>
        <w:spacing w:line="240" w:lineRule="auto"/>
      </w:pPr>
      <w:r>
        <w:t>The following has been achieved:</w:t>
      </w:r>
    </w:p>
    <w:p w14:paraId="43E6ABE6" w14:textId="77777777" w:rsidR="000E5B94" w:rsidRDefault="00A353A5">
      <w:pPr>
        <w:autoSpaceDE/>
        <w:autoSpaceDN/>
        <w:adjustRightInd/>
        <w:snapToGrid/>
        <w:spacing w:after="0" w:line="240" w:lineRule="auto"/>
        <w:ind w:leftChars="200" w:left="440"/>
        <w:jc w:val="left"/>
        <w:rPr>
          <w:rFonts w:ascii="Times" w:hAnsi="Times"/>
          <w:b/>
          <w:sz w:val="20"/>
          <w:szCs w:val="24"/>
          <w:highlight w:val="green"/>
          <w:lang w:val="en-GB"/>
        </w:rPr>
      </w:pPr>
      <w:r>
        <w:rPr>
          <w:rFonts w:ascii="Times" w:hAnsi="Times"/>
          <w:b/>
          <w:sz w:val="20"/>
          <w:szCs w:val="24"/>
          <w:highlight w:val="green"/>
          <w:lang w:val="en-GB"/>
        </w:rPr>
        <w:t>Confirm working assumption:</w:t>
      </w:r>
    </w:p>
    <w:p w14:paraId="43E6ABE7" w14:textId="77777777" w:rsidR="000E5B94" w:rsidRDefault="00A353A5">
      <w:pPr>
        <w:overflowPunct w:val="0"/>
        <w:autoSpaceDE/>
        <w:autoSpaceDN/>
        <w:adjustRightInd/>
        <w:snapToGrid/>
        <w:spacing w:after="0" w:line="240" w:lineRule="auto"/>
        <w:ind w:leftChars="200" w:left="44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Working Assumption</w:t>
      </w:r>
    </w:p>
    <w:p w14:paraId="43E6ABE8" w14:textId="77777777" w:rsidR="000E5B94" w:rsidRDefault="00A353A5">
      <w:pPr>
        <w:overflowPunct w:val="0"/>
        <w:autoSpaceDE/>
        <w:autoSpaceDN/>
        <w:adjustRightInd/>
        <w:snapToGrid/>
        <w:spacing w:after="0" w:line="240" w:lineRule="auto"/>
        <w:ind w:leftChars="400" w:left="88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For downlink power allocation to support 16QAM:</w:t>
      </w:r>
    </w:p>
    <w:p w14:paraId="43E6ABE9" w14:textId="77777777" w:rsidR="000E5B94" w:rsidRDefault="00A353A5">
      <w:pPr>
        <w:numPr>
          <w:ilvl w:val="0"/>
          <w:numId w:val="19"/>
        </w:numPr>
        <w:autoSpaceDE/>
        <w:autoSpaceDN/>
        <w:adjustRightInd/>
        <w:snapToGrid/>
        <w:spacing w:after="0" w:line="240" w:lineRule="auto"/>
        <w:ind w:leftChars="564" w:left="1601"/>
        <w:jc w:val="left"/>
        <w:rPr>
          <w:rFonts w:ascii="Times" w:hAnsi="Times" w:cs="Times"/>
          <w:sz w:val="20"/>
          <w:szCs w:val="20"/>
          <w:lang w:val="en-GB" w:eastAsia="ja-JP"/>
        </w:rPr>
      </w:pPr>
      <w:r>
        <w:rPr>
          <w:rFonts w:ascii="Times" w:hAnsi="Times" w:cs="Times"/>
          <w:sz w:val="20"/>
          <w:szCs w:val="20"/>
          <w:lang w:val="en-GB" w:eastAsia="ja-JP"/>
        </w:rPr>
        <w:t>For standalone and guard-band deployments:</w:t>
      </w:r>
    </w:p>
    <w:p w14:paraId="43E6ABEA" w14:textId="77777777" w:rsidR="000E5B94" w:rsidRDefault="00A353A5">
      <w:pPr>
        <w:numPr>
          <w:ilvl w:val="1"/>
          <w:numId w:val="19"/>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One power ratio is signaled optionally</w:t>
      </w:r>
    </w:p>
    <w:p w14:paraId="43E6ABEB" w14:textId="77777777" w:rsidR="000E5B94" w:rsidRDefault="00A353A5">
      <w:pPr>
        <w:numPr>
          <w:ilvl w:val="2"/>
          <w:numId w:val="19"/>
        </w:numPr>
        <w:autoSpaceDE/>
        <w:autoSpaceDN/>
        <w:adjustRightInd/>
        <w:snapToGrid/>
        <w:spacing w:after="0" w:line="240" w:lineRule="auto"/>
        <w:ind w:leftChars="1218" w:left="3040"/>
        <w:jc w:val="left"/>
        <w:rPr>
          <w:rFonts w:ascii="Times" w:hAnsi="Times" w:cs="Times"/>
          <w:sz w:val="20"/>
          <w:szCs w:val="20"/>
          <w:lang w:val="en-GB" w:eastAsia="ja-JP"/>
        </w:rPr>
      </w:pPr>
      <w:r>
        <w:rPr>
          <w:rFonts w:ascii="Times" w:hAnsi="Times" w:cs="Times"/>
          <w:sz w:val="20"/>
          <w:szCs w:val="20"/>
          <w:lang w:val="en-GB" w:eastAsia="ja-JP"/>
        </w:rPr>
        <w:t>NPDSCH EPRE to NRS EPRE in symbols without NRS</w:t>
      </w:r>
    </w:p>
    <w:p w14:paraId="43E6ABEC" w14:textId="77777777" w:rsidR="000E5B94" w:rsidRDefault="00A353A5">
      <w:pPr>
        <w:numPr>
          <w:ilvl w:val="1"/>
          <w:numId w:val="19"/>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The same transmit power is assumed across different symbols.</w:t>
      </w:r>
    </w:p>
    <w:p w14:paraId="43E6ABED" w14:textId="77777777" w:rsidR="000E5B94" w:rsidRDefault="00A353A5">
      <w:pPr>
        <w:numPr>
          <w:ilvl w:val="1"/>
          <w:numId w:val="19"/>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If the signalling is not indicated, the legacy power allocation is used.</w:t>
      </w:r>
    </w:p>
    <w:p w14:paraId="43E6ABEE" w14:textId="77777777" w:rsidR="000E5B94" w:rsidRDefault="00A353A5">
      <w:pPr>
        <w:numPr>
          <w:ilvl w:val="2"/>
          <w:numId w:val="19"/>
        </w:numPr>
        <w:autoSpaceDE/>
        <w:autoSpaceDN/>
        <w:adjustRightInd/>
        <w:snapToGrid/>
        <w:spacing w:after="0" w:line="240" w:lineRule="auto"/>
        <w:ind w:leftChars="1218" w:left="3040"/>
        <w:jc w:val="left"/>
        <w:rPr>
          <w:rFonts w:ascii="Times" w:hAnsi="Times" w:cs="Times"/>
          <w:sz w:val="20"/>
          <w:szCs w:val="20"/>
          <w:lang w:val="en-GB" w:eastAsia="ja-JP"/>
        </w:rPr>
      </w:pPr>
      <w:r>
        <w:rPr>
          <w:rFonts w:ascii="Times" w:hAnsi="Times" w:cs="Times"/>
          <w:sz w:val="20"/>
          <w:szCs w:val="20"/>
          <w:lang w:val="en-GB" w:eastAsia="ja-JP"/>
        </w:rPr>
        <w:t>i.e., the ratio of NPDSCH EPRE to NRS EPRE is 0dB for one NRS antenna port, and -3dB for two NRS antenna ports</w:t>
      </w:r>
    </w:p>
    <w:p w14:paraId="43E6ABEF" w14:textId="77777777" w:rsidR="000E5B94" w:rsidRDefault="00A353A5">
      <w:pPr>
        <w:numPr>
          <w:ilvl w:val="0"/>
          <w:numId w:val="19"/>
        </w:numPr>
        <w:autoSpaceDE/>
        <w:autoSpaceDN/>
        <w:adjustRightInd/>
        <w:snapToGrid/>
        <w:spacing w:after="0" w:line="240" w:lineRule="auto"/>
        <w:ind w:leftChars="564" w:left="1601"/>
        <w:jc w:val="left"/>
        <w:rPr>
          <w:rFonts w:ascii="Times" w:hAnsi="Times" w:cs="Times"/>
          <w:sz w:val="20"/>
          <w:szCs w:val="20"/>
          <w:lang w:val="en-GB" w:eastAsia="ja-JP"/>
        </w:rPr>
      </w:pPr>
      <w:r>
        <w:rPr>
          <w:rFonts w:ascii="Times" w:hAnsi="Times" w:cs="Times"/>
          <w:sz w:val="20"/>
          <w:szCs w:val="20"/>
          <w:lang w:val="en-GB" w:eastAsia="ja-JP"/>
        </w:rPr>
        <w:t>UE specific signalling is used</w:t>
      </w:r>
    </w:p>
    <w:p w14:paraId="43E6ABF0" w14:textId="77777777" w:rsidR="000E5B94" w:rsidRDefault="000E5B94">
      <w:pPr>
        <w:spacing w:line="240" w:lineRule="auto"/>
      </w:pPr>
    </w:p>
    <w:p w14:paraId="43E6ABF1" w14:textId="77777777" w:rsidR="000E5B94" w:rsidRDefault="00A353A5">
      <w:pPr>
        <w:spacing w:line="240" w:lineRule="auto"/>
      </w:pPr>
      <w:r>
        <w:rPr>
          <w:rFonts w:hint="eastAsia"/>
        </w:rPr>
        <w:t>For inband, there</w:t>
      </w:r>
      <w:r>
        <w:t>’s still following two alternatives:</w:t>
      </w:r>
    </w:p>
    <w:p w14:paraId="43E6ABF2" w14:textId="77777777" w:rsidR="000E5B94" w:rsidRDefault="00A353A5">
      <w:pPr>
        <w:numPr>
          <w:ilvl w:val="0"/>
          <w:numId w:val="20"/>
        </w:numPr>
        <w:autoSpaceDE/>
        <w:autoSpaceDN/>
        <w:adjustRightInd/>
        <w:snapToGrid/>
        <w:spacing w:after="0" w:line="240" w:lineRule="auto"/>
        <w:jc w:val="left"/>
        <w:rPr>
          <w:rFonts w:cs="Times"/>
          <w:szCs w:val="20"/>
          <w:lang w:eastAsia="zh-CN"/>
        </w:rPr>
      </w:pPr>
      <w:r>
        <w:rPr>
          <w:rFonts w:cs="Times"/>
          <w:szCs w:val="20"/>
          <w:lang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14:paraId="43E6ABF3" w14:textId="77777777" w:rsidR="000E5B94" w:rsidRDefault="00A353A5">
      <w:pPr>
        <w:numPr>
          <w:ilvl w:val="1"/>
          <w:numId w:val="20"/>
        </w:numPr>
        <w:autoSpaceDE/>
        <w:autoSpaceDN/>
        <w:adjustRightInd/>
        <w:snapToGrid/>
        <w:spacing w:after="0" w:line="240" w:lineRule="auto"/>
        <w:jc w:val="left"/>
        <w:rPr>
          <w:rFonts w:cs="Times"/>
          <w:szCs w:val="20"/>
          <w:lang w:eastAsia="zh-CN"/>
        </w:rPr>
      </w:pPr>
      <w:r>
        <w:rPr>
          <w:rFonts w:cs="Times"/>
          <w:szCs w:val="20"/>
          <w:lang w:eastAsia="zh-CN"/>
        </w:rPr>
        <w:t>Alt 1:</w:t>
      </w:r>
    </w:p>
    <w:p w14:paraId="43E6ABF4" w14:textId="77777777" w:rsidR="000E5B94" w:rsidRDefault="00A353A5">
      <w:pPr>
        <w:numPr>
          <w:ilvl w:val="2"/>
          <w:numId w:val="20"/>
        </w:numPr>
        <w:autoSpaceDE/>
        <w:autoSpaceDN/>
        <w:adjustRightInd/>
        <w:snapToGrid/>
        <w:spacing w:after="0" w:line="240" w:lineRule="auto"/>
        <w:jc w:val="left"/>
        <w:rPr>
          <w:rFonts w:cs="Times"/>
          <w:szCs w:val="20"/>
          <w:lang w:eastAsia="zh-CN"/>
        </w:rPr>
      </w:pPr>
      <w:r>
        <w:rPr>
          <w:rFonts w:cs="Times"/>
          <w:szCs w:val="20"/>
          <w:lang w:eastAsia="zh-CN"/>
        </w:rPr>
        <w:t>The existing parameter nrs-CRS-PowerOffset is reused for same PCI case, and is signaled</w:t>
      </w:r>
      <w:r>
        <w:rPr>
          <w:szCs w:val="20"/>
          <w:lang w:eastAsia="zh-CN"/>
        </w:rPr>
        <w:t xml:space="preserve"> for different PCI case.</w:t>
      </w:r>
    </w:p>
    <w:p w14:paraId="43E6ABF5" w14:textId="77777777" w:rsidR="000E5B94" w:rsidRDefault="00A353A5">
      <w:pPr>
        <w:numPr>
          <w:ilvl w:val="2"/>
          <w:numId w:val="20"/>
        </w:numPr>
        <w:autoSpaceDE/>
        <w:autoSpaceDN/>
        <w:adjustRightInd/>
        <w:snapToGrid/>
        <w:spacing w:after="0" w:line="240" w:lineRule="auto"/>
        <w:jc w:val="left"/>
        <w:rPr>
          <w:szCs w:val="20"/>
          <w:lang w:eastAsia="zh-CN"/>
        </w:rPr>
      </w:pPr>
      <w:r>
        <w:rPr>
          <w:szCs w:val="20"/>
          <w:lang w:eastAsia="zh-CN"/>
        </w:rPr>
        <w:t xml:space="preserve">The same transmit power of different symbols is assumed as to derive from </w:t>
      </w:r>
      <w:r>
        <w:rPr>
          <w:i/>
          <w:iCs/>
          <w:szCs w:val="20"/>
          <w:lang w:eastAsia="zh-CN"/>
        </w:rPr>
        <w:t>nrs-CRS-PowerOffset</w:t>
      </w:r>
      <w:r>
        <w:rPr>
          <w:szCs w:val="20"/>
          <w:lang w:eastAsia="zh-CN"/>
        </w:rPr>
        <w:t xml:space="preserve"> the NPDSCH EPRE in symbols with CRS.</w:t>
      </w:r>
    </w:p>
    <w:p w14:paraId="43E6ABF6" w14:textId="77777777" w:rsidR="000E5B94" w:rsidRDefault="00A353A5">
      <w:pPr>
        <w:numPr>
          <w:ilvl w:val="1"/>
          <w:numId w:val="20"/>
        </w:numPr>
        <w:autoSpaceDE/>
        <w:autoSpaceDN/>
        <w:adjustRightInd/>
        <w:snapToGrid/>
        <w:spacing w:after="0" w:line="240" w:lineRule="auto"/>
        <w:jc w:val="left"/>
        <w:rPr>
          <w:rFonts w:cs="Times"/>
          <w:szCs w:val="20"/>
          <w:lang w:eastAsia="zh-CN"/>
        </w:rPr>
      </w:pPr>
      <w:r>
        <w:rPr>
          <w:rFonts w:cs="Times"/>
          <w:szCs w:val="20"/>
          <w:lang w:eastAsia="zh-CN"/>
        </w:rPr>
        <w:t xml:space="preserve">Alt 2: </w:t>
      </w:r>
    </w:p>
    <w:p w14:paraId="43E6ABF7" w14:textId="77777777" w:rsidR="000E5B94" w:rsidRDefault="00A353A5">
      <w:pPr>
        <w:numPr>
          <w:ilvl w:val="2"/>
          <w:numId w:val="20"/>
        </w:numPr>
        <w:autoSpaceDE/>
        <w:autoSpaceDN/>
        <w:adjustRightInd/>
        <w:snapToGrid/>
        <w:spacing w:after="0" w:line="240" w:lineRule="auto"/>
        <w:jc w:val="left"/>
        <w:rPr>
          <w:szCs w:val="20"/>
          <w:lang w:eastAsia="zh-CN"/>
        </w:rPr>
      </w:pPr>
      <w:r>
        <w:rPr>
          <w:szCs w:val="20"/>
          <w:lang w:eastAsia="zh-CN"/>
        </w:rPr>
        <w:t>the power ratio between NPDSCH EPRE and NRS EPRE in symbols with CRS is signaled</w:t>
      </w:r>
    </w:p>
    <w:p w14:paraId="43E6ABF8" w14:textId="77777777" w:rsidR="000E5B94" w:rsidRDefault="000E5B94">
      <w:pPr>
        <w:spacing w:line="240" w:lineRule="auto"/>
      </w:pPr>
    </w:p>
    <w:p w14:paraId="43E6ABF9" w14:textId="77777777" w:rsidR="000E5B94" w:rsidRDefault="00A353A5">
      <w:pPr>
        <w:spacing w:line="240" w:lineRule="auto"/>
      </w:pPr>
      <w:r>
        <w:t>For inband, 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0E5B94" w14:paraId="43E6ACB0" w14:textId="77777777">
        <w:tc>
          <w:tcPr>
            <w:tcW w:w="4653" w:type="dxa"/>
          </w:tcPr>
          <w:p w14:paraId="43E6ABFA" w14:textId="77777777" w:rsidR="000E5B94" w:rsidRDefault="00A353A5">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0E5B94" w14:paraId="43E6ABFE" w14:textId="77777777">
              <w:trPr>
                <w:trHeight w:val="300"/>
                <w:jc w:val="center"/>
              </w:trPr>
              <w:tc>
                <w:tcPr>
                  <w:tcW w:w="960" w:type="dxa"/>
                  <w:shd w:val="clear" w:color="000000" w:fill="FFC7CE"/>
                  <w:noWrap/>
                  <w:vAlign w:val="bottom"/>
                </w:tcPr>
                <w:p w14:paraId="43E6ABFB" w14:textId="77777777" w:rsidR="000E5B94" w:rsidRDefault="00A353A5">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43E6ABFC"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43E6ABFD" w14:textId="77777777" w:rsidR="000E5B94" w:rsidRDefault="00A353A5">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0E5B94" w14:paraId="43E6AC02" w14:textId="77777777">
              <w:trPr>
                <w:trHeight w:val="300"/>
                <w:jc w:val="center"/>
              </w:trPr>
              <w:tc>
                <w:tcPr>
                  <w:tcW w:w="960" w:type="dxa"/>
                  <w:shd w:val="clear" w:color="000000" w:fill="FFEB9C"/>
                  <w:noWrap/>
                  <w:vAlign w:val="bottom"/>
                </w:tcPr>
                <w:p w14:paraId="43E6ABFF"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06" w14:textId="77777777">
              <w:trPr>
                <w:trHeight w:val="300"/>
                <w:jc w:val="center"/>
              </w:trPr>
              <w:tc>
                <w:tcPr>
                  <w:tcW w:w="960" w:type="dxa"/>
                  <w:shd w:val="clear" w:color="000000" w:fill="FFEB9C"/>
                  <w:noWrap/>
                  <w:vAlign w:val="bottom"/>
                </w:tcPr>
                <w:p w14:paraId="43E6AC03"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4"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5"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0A" w14:textId="77777777">
              <w:trPr>
                <w:trHeight w:val="300"/>
                <w:jc w:val="center"/>
              </w:trPr>
              <w:tc>
                <w:tcPr>
                  <w:tcW w:w="960" w:type="dxa"/>
                  <w:shd w:val="clear" w:color="000000" w:fill="FFEB9C"/>
                  <w:noWrap/>
                  <w:vAlign w:val="bottom"/>
                </w:tcPr>
                <w:p w14:paraId="43E6AC07"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0E" w14:textId="77777777">
              <w:trPr>
                <w:trHeight w:val="300"/>
                <w:jc w:val="center"/>
              </w:trPr>
              <w:tc>
                <w:tcPr>
                  <w:tcW w:w="960" w:type="dxa"/>
                  <w:shd w:val="clear" w:color="000000" w:fill="FFEB9C"/>
                  <w:noWrap/>
                  <w:vAlign w:val="bottom"/>
                </w:tcPr>
                <w:p w14:paraId="43E6AC0B"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0C"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0D"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12" w14:textId="77777777">
              <w:trPr>
                <w:trHeight w:val="300"/>
                <w:jc w:val="center"/>
              </w:trPr>
              <w:tc>
                <w:tcPr>
                  <w:tcW w:w="960" w:type="dxa"/>
                  <w:shd w:val="clear" w:color="000000" w:fill="FFEB9C"/>
                  <w:noWrap/>
                  <w:vAlign w:val="bottom"/>
                </w:tcPr>
                <w:p w14:paraId="43E6AC0F"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1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1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16" w14:textId="77777777">
              <w:trPr>
                <w:trHeight w:val="300"/>
                <w:jc w:val="center"/>
              </w:trPr>
              <w:tc>
                <w:tcPr>
                  <w:tcW w:w="960" w:type="dxa"/>
                  <w:shd w:val="clear" w:color="000000" w:fill="FFC7CE"/>
                  <w:noWrap/>
                  <w:vAlign w:val="bottom"/>
                </w:tcPr>
                <w:p w14:paraId="43E6AC13" w14:textId="77777777" w:rsidR="000E5B94" w:rsidRDefault="00A353A5">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43E6AC14"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43E6AC15" w14:textId="77777777" w:rsidR="000E5B94" w:rsidRDefault="00A353A5">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0E5B94" w14:paraId="43E6AC1A" w14:textId="77777777">
              <w:trPr>
                <w:trHeight w:val="300"/>
                <w:jc w:val="center"/>
              </w:trPr>
              <w:tc>
                <w:tcPr>
                  <w:tcW w:w="960" w:type="dxa"/>
                  <w:shd w:val="clear" w:color="000000" w:fill="FFEB9C"/>
                  <w:noWrap/>
                  <w:vAlign w:val="bottom"/>
                </w:tcPr>
                <w:p w14:paraId="43E6AC17"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1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1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1E" w14:textId="77777777">
              <w:trPr>
                <w:trHeight w:val="300"/>
                <w:jc w:val="center"/>
              </w:trPr>
              <w:tc>
                <w:tcPr>
                  <w:tcW w:w="960" w:type="dxa"/>
                  <w:shd w:val="clear" w:color="000000" w:fill="FFEB9C"/>
                  <w:noWrap/>
                  <w:vAlign w:val="bottom"/>
                </w:tcPr>
                <w:p w14:paraId="43E6AC1B"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1C"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1D"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22" w14:textId="77777777">
              <w:trPr>
                <w:trHeight w:val="300"/>
                <w:jc w:val="center"/>
              </w:trPr>
              <w:tc>
                <w:tcPr>
                  <w:tcW w:w="960" w:type="dxa"/>
                  <w:shd w:val="clear" w:color="000000" w:fill="FFEB9C"/>
                  <w:noWrap/>
                  <w:vAlign w:val="bottom"/>
                </w:tcPr>
                <w:p w14:paraId="43E6AC1F"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20"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21"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26" w14:textId="77777777">
              <w:trPr>
                <w:trHeight w:val="300"/>
                <w:jc w:val="center"/>
              </w:trPr>
              <w:tc>
                <w:tcPr>
                  <w:tcW w:w="960" w:type="dxa"/>
                  <w:shd w:val="clear" w:color="000000" w:fill="FFEB9C"/>
                  <w:noWrap/>
                  <w:vAlign w:val="bottom"/>
                </w:tcPr>
                <w:p w14:paraId="43E6AC23"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24"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25"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0E5B94" w14:paraId="43E6AC2A" w14:textId="77777777">
              <w:trPr>
                <w:trHeight w:val="300"/>
                <w:jc w:val="center"/>
              </w:trPr>
              <w:tc>
                <w:tcPr>
                  <w:tcW w:w="960" w:type="dxa"/>
                  <w:shd w:val="clear" w:color="000000" w:fill="FFEB9C"/>
                  <w:noWrap/>
                  <w:vAlign w:val="bottom"/>
                </w:tcPr>
                <w:p w14:paraId="43E6AC27"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3E6AC28"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3E6AC29" w14:textId="77777777" w:rsidR="000E5B94" w:rsidRDefault="00A353A5">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43E6AC2B" w14:textId="77777777" w:rsidR="000E5B94" w:rsidRDefault="000E5B94">
            <w:pPr>
              <w:spacing w:line="240" w:lineRule="auto"/>
            </w:pPr>
          </w:p>
        </w:tc>
        <w:tc>
          <w:tcPr>
            <w:tcW w:w="4654" w:type="dxa"/>
            <w:vMerge w:val="restart"/>
          </w:tcPr>
          <w:p w14:paraId="43E6AC2C" w14:textId="77777777" w:rsidR="000E5B94" w:rsidRDefault="00A353A5">
            <w:pPr>
              <w:pStyle w:val="a6"/>
              <w:keepNext/>
            </w:pPr>
            <w:r>
              <w:t>Figure 3 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0E5B94" w14:paraId="43E6AC36" w14:textId="77777777">
              <w:trPr>
                <w:trHeight w:val="300"/>
                <w:jc w:val="center"/>
              </w:trPr>
              <w:tc>
                <w:tcPr>
                  <w:tcW w:w="960" w:type="dxa"/>
                  <w:vMerge w:val="restart"/>
                  <w:shd w:val="clear" w:color="auto" w:fill="FFFFFF" w:themeFill="background1"/>
                </w:tcPr>
                <w:p w14:paraId="43E6AC2D" w14:textId="77777777" w:rsidR="000E5B94" w:rsidRDefault="000E5B94">
                  <w:pPr>
                    <w:spacing w:after="0"/>
                    <w:jc w:val="right"/>
                    <w:rPr>
                      <w:rFonts w:ascii="Calibri" w:hAnsi="Calibri" w:cs="Calibri"/>
                    </w:rPr>
                  </w:pPr>
                </w:p>
                <w:p w14:paraId="43E6AC2E" w14:textId="77777777" w:rsidR="000E5B94" w:rsidRDefault="000E5B94">
                  <w:pPr>
                    <w:spacing w:after="0"/>
                    <w:jc w:val="right"/>
                    <w:rPr>
                      <w:rFonts w:ascii="Calibri" w:hAnsi="Calibri" w:cs="Calibri"/>
                    </w:rPr>
                  </w:pPr>
                </w:p>
                <w:p w14:paraId="43E6AC2F" w14:textId="77777777" w:rsidR="000E5B94" w:rsidRDefault="000E5B94">
                  <w:pPr>
                    <w:spacing w:after="0"/>
                    <w:jc w:val="right"/>
                    <w:rPr>
                      <w:rFonts w:ascii="Calibri" w:hAnsi="Calibri" w:cs="Calibri"/>
                    </w:rPr>
                  </w:pPr>
                </w:p>
                <w:p w14:paraId="43E6AC30" w14:textId="77777777" w:rsidR="000E5B94" w:rsidRDefault="000E5B94">
                  <w:pPr>
                    <w:spacing w:after="0"/>
                    <w:jc w:val="right"/>
                    <w:rPr>
                      <w:rFonts w:ascii="Calibri" w:hAnsi="Calibri" w:cs="Calibri"/>
                    </w:rPr>
                  </w:pPr>
                </w:p>
                <w:p w14:paraId="43E6AC31" w14:textId="77777777" w:rsidR="000E5B94" w:rsidRDefault="000E5B94">
                  <w:pPr>
                    <w:spacing w:after="0"/>
                    <w:jc w:val="right"/>
                    <w:rPr>
                      <w:rFonts w:ascii="Calibri" w:hAnsi="Calibri" w:cs="Calibri"/>
                    </w:rPr>
                  </w:pPr>
                </w:p>
                <w:p w14:paraId="43E6AC32" w14:textId="77777777" w:rsidR="000E5B94" w:rsidRDefault="00A353A5">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3E6AC33"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C34"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C35"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C3B" w14:textId="77777777">
              <w:trPr>
                <w:trHeight w:val="300"/>
                <w:jc w:val="center"/>
              </w:trPr>
              <w:tc>
                <w:tcPr>
                  <w:tcW w:w="960" w:type="dxa"/>
                  <w:vMerge/>
                  <w:shd w:val="clear" w:color="auto" w:fill="FFFFFF" w:themeFill="background1"/>
                </w:tcPr>
                <w:p w14:paraId="43E6AC37"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38"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39"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3A"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0" w14:textId="77777777">
              <w:trPr>
                <w:trHeight w:val="300"/>
                <w:jc w:val="center"/>
              </w:trPr>
              <w:tc>
                <w:tcPr>
                  <w:tcW w:w="960" w:type="dxa"/>
                  <w:vMerge/>
                  <w:shd w:val="clear" w:color="auto" w:fill="FFFFFF" w:themeFill="background1"/>
                </w:tcPr>
                <w:p w14:paraId="43E6AC3C"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3D"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3E"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3F"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5" w14:textId="77777777">
              <w:trPr>
                <w:trHeight w:val="300"/>
                <w:jc w:val="center"/>
              </w:trPr>
              <w:tc>
                <w:tcPr>
                  <w:tcW w:w="960" w:type="dxa"/>
                  <w:vMerge/>
                  <w:shd w:val="clear" w:color="auto" w:fill="FFFFFF" w:themeFill="background1"/>
                </w:tcPr>
                <w:p w14:paraId="43E6AC41"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42"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43"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44"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A" w14:textId="77777777">
              <w:trPr>
                <w:trHeight w:val="300"/>
                <w:jc w:val="center"/>
              </w:trPr>
              <w:tc>
                <w:tcPr>
                  <w:tcW w:w="960" w:type="dxa"/>
                  <w:vMerge/>
                  <w:shd w:val="clear" w:color="auto" w:fill="FFFFFF" w:themeFill="background1"/>
                </w:tcPr>
                <w:p w14:paraId="43E6AC46"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47"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48"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49"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4F" w14:textId="77777777">
              <w:trPr>
                <w:trHeight w:val="300"/>
                <w:jc w:val="center"/>
              </w:trPr>
              <w:tc>
                <w:tcPr>
                  <w:tcW w:w="960" w:type="dxa"/>
                  <w:vMerge/>
                  <w:shd w:val="clear" w:color="auto" w:fill="FFFFFF" w:themeFill="background1"/>
                </w:tcPr>
                <w:p w14:paraId="43E6AC4B"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4C"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4D"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4E"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54" w14:textId="77777777">
              <w:trPr>
                <w:trHeight w:val="300"/>
                <w:jc w:val="center"/>
              </w:trPr>
              <w:tc>
                <w:tcPr>
                  <w:tcW w:w="960" w:type="dxa"/>
                  <w:vMerge/>
                  <w:shd w:val="clear" w:color="auto" w:fill="FFFFFF" w:themeFill="background1"/>
                </w:tcPr>
                <w:p w14:paraId="43E6AC50" w14:textId="77777777" w:rsidR="000E5B94" w:rsidRDefault="000E5B94">
                  <w:pPr>
                    <w:spacing w:after="0"/>
                    <w:jc w:val="right"/>
                    <w:rPr>
                      <w:rFonts w:ascii="Calibri" w:hAnsi="Calibri" w:cs="Calibri"/>
                    </w:rPr>
                  </w:pPr>
                </w:p>
              </w:tc>
              <w:tc>
                <w:tcPr>
                  <w:tcW w:w="960" w:type="dxa"/>
                  <w:shd w:val="clear" w:color="000000" w:fill="FFC7CE"/>
                  <w:noWrap/>
                  <w:vAlign w:val="bottom"/>
                </w:tcPr>
                <w:p w14:paraId="43E6AC51"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C52"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C53"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C59" w14:textId="77777777">
              <w:trPr>
                <w:trHeight w:val="300"/>
                <w:jc w:val="center"/>
              </w:trPr>
              <w:tc>
                <w:tcPr>
                  <w:tcW w:w="960" w:type="dxa"/>
                  <w:vMerge/>
                  <w:shd w:val="clear" w:color="auto" w:fill="FFFFFF" w:themeFill="background1"/>
                </w:tcPr>
                <w:p w14:paraId="43E6AC55"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56"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57"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58"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5E" w14:textId="77777777">
              <w:trPr>
                <w:trHeight w:val="300"/>
                <w:jc w:val="center"/>
              </w:trPr>
              <w:tc>
                <w:tcPr>
                  <w:tcW w:w="960" w:type="dxa"/>
                  <w:vMerge/>
                  <w:shd w:val="clear" w:color="auto" w:fill="FFFFFF" w:themeFill="background1"/>
                </w:tcPr>
                <w:p w14:paraId="43E6AC5A"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5B"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5C"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5D"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63" w14:textId="77777777">
              <w:trPr>
                <w:trHeight w:val="300"/>
                <w:jc w:val="center"/>
              </w:trPr>
              <w:tc>
                <w:tcPr>
                  <w:tcW w:w="960" w:type="dxa"/>
                  <w:vMerge/>
                  <w:shd w:val="clear" w:color="auto" w:fill="FFFFFF" w:themeFill="background1"/>
                </w:tcPr>
                <w:p w14:paraId="43E6AC5F"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60"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61"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62"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68" w14:textId="77777777">
              <w:trPr>
                <w:trHeight w:val="300"/>
                <w:jc w:val="center"/>
              </w:trPr>
              <w:tc>
                <w:tcPr>
                  <w:tcW w:w="960" w:type="dxa"/>
                  <w:vMerge/>
                  <w:shd w:val="clear" w:color="auto" w:fill="FFFFFF" w:themeFill="background1"/>
                </w:tcPr>
                <w:p w14:paraId="43E6AC64"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65"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66"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67"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6D" w14:textId="77777777">
              <w:trPr>
                <w:trHeight w:val="300"/>
                <w:jc w:val="center"/>
              </w:trPr>
              <w:tc>
                <w:tcPr>
                  <w:tcW w:w="960" w:type="dxa"/>
                  <w:vMerge/>
                  <w:shd w:val="clear" w:color="auto" w:fill="FFFFFF" w:themeFill="background1"/>
                </w:tcPr>
                <w:p w14:paraId="43E6AC69"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C6A"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C6B"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C6C"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C77" w14:textId="77777777">
              <w:trPr>
                <w:trHeight w:val="300"/>
                <w:jc w:val="center"/>
              </w:trPr>
              <w:tc>
                <w:tcPr>
                  <w:tcW w:w="960" w:type="dxa"/>
                  <w:vMerge w:val="restart"/>
                  <w:shd w:val="clear" w:color="auto" w:fill="FFFFFF" w:themeFill="background1"/>
                </w:tcPr>
                <w:p w14:paraId="43E6AC6E" w14:textId="77777777" w:rsidR="000E5B94" w:rsidRDefault="000E5B94">
                  <w:pPr>
                    <w:spacing w:after="0"/>
                    <w:jc w:val="right"/>
                    <w:rPr>
                      <w:rFonts w:ascii="Calibri" w:hAnsi="Calibri" w:cs="Calibri"/>
                    </w:rPr>
                  </w:pPr>
                </w:p>
                <w:p w14:paraId="43E6AC6F" w14:textId="77777777" w:rsidR="000E5B94" w:rsidRDefault="000E5B94">
                  <w:pPr>
                    <w:spacing w:after="0"/>
                    <w:jc w:val="right"/>
                    <w:rPr>
                      <w:rFonts w:ascii="Calibri" w:hAnsi="Calibri" w:cs="Calibri"/>
                    </w:rPr>
                  </w:pPr>
                </w:p>
                <w:p w14:paraId="43E6AC70" w14:textId="77777777" w:rsidR="000E5B94" w:rsidRDefault="000E5B94">
                  <w:pPr>
                    <w:spacing w:after="0"/>
                    <w:jc w:val="right"/>
                    <w:rPr>
                      <w:rFonts w:ascii="Calibri" w:hAnsi="Calibri" w:cs="Calibri"/>
                    </w:rPr>
                  </w:pPr>
                </w:p>
                <w:p w14:paraId="43E6AC71" w14:textId="77777777" w:rsidR="000E5B94" w:rsidRDefault="000E5B94">
                  <w:pPr>
                    <w:spacing w:after="0"/>
                    <w:jc w:val="right"/>
                    <w:rPr>
                      <w:rFonts w:ascii="Calibri" w:hAnsi="Calibri" w:cs="Calibri"/>
                    </w:rPr>
                  </w:pPr>
                </w:p>
                <w:p w14:paraId="43E6AC72" w14:textId="77777777" w:rsidR="000E5B94" w:rsidRDefault="000E5B94">
                  <w:pPr>
                    <w:spacing w:after="0"/>
                    <w:jc w:val="right"/>
                    <w:rPr>
                      <w:rFonts w:ascii="Calibri" w:hAnsi="Calibri" w:cs="Calibri"/>
                    </w:rPr>
                  </w:pPr>
                </w:p>
                <w:p w14:paraId="43E6AC73" w14:textId="77777777" w:rsidR="000E5B94" w:rsidRDefault="00A353A5">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43E6AC74"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75"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6"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7C" w14:textId="77777777">
              <w:trPr>
                <w:trHeight w:val="300"/>
                <w:jc w:val="center"/>
              </w:trPr>
              <w:tc>
                <w:tcPr>
                  <w:tcW w:w="960" w:type="dxa"/>
                  <w:vMerge/>
                  <w:shd w:val="clear" w:color="auto" w:fill="FFFFFF" w:themeFill="background1"/>
                </w:tcPr>
                <w:p w14:paraId="43E6AC78"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79"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A"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B"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81" w14:textId="77777777">
              <w:trPr>
                <w:trHeight w:val="300"/>
                <w:jc w:val="center"/>
              </w:trPr>
              <w:tc>
                <w:tcPr>
                  <w:tcW w:w="960" w:type="dxa"/>
                  <w:vMerge/>
                  <w:shd w:val="clear" w:color="auto" w:fill="FFFFFF" w:themeFill="background1"/>
                </w:tcPr>
                <w:p w14:paraId="43E6AC7D"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7E"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7F"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0"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86" w14:textId="77777777">
              <w:trPr>
                <w:trHeight w:val="300"/>
                <w:jc w:val="center"/>
              </w:trPr>
              <w:tc>
                <w:tcPr>
                  <w:tcW w:w="960" w:type="dxa"/>
                  <w:vMerge/>
                  <w:shd w:val="clear" w:color="auto" w:fill="FFFFFF" w:themeFill="background1"/>
                </w:tcPr>
                <w:p w14:paraId="43E6AC82"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83"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4"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5"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8B" w14:textId="77777777">
              <w:trPr>
                <w:trHeight w:val="300"/>
                <w:jc w:val="center"/>
              </w:trPr>
              <w:tc>
                <w:tcPr>
                  <w:tcW w:w="960" w:type="dxa"/>
                  <w:vMerge/>
                  <w:shd w:val="clear" w:color="auto" w:fill="FFFFFF" w:themeFill="background1"/>
                </w:tcPr>
                <w:p w14:paraId="43E6AC87"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88"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9"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A"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0" w14:textId="77777777">
              <w:trPr>
                <w:trHeight w:val="300"/>
                <w:jc w:val="center"/>
              </w:trPr>
              <w:tc>
                <w:tcPr>
                  <w:tcW w:w="960" w:type="dxa"/>
                  <w:vMerge/>
                  <w:shd w:val="clear" w:color="auto" w:fill="FFFFFF" w:themeFill="background1"/>
                </w:tcPr>
                <w:p w14:paraId="43E6AC8C"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8D"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E"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8F"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5" w14:textId="77777777">
              <w:trPr>
                <w:trHeight w:val="300"/>
                <w:jc w:val="center"/>
              </w:trPr>
              <w:tc>
                <w:tcPr>
                  <w:tcW w:w="960" w:type="dxa"/>
                  <w:vMerge/>
                  <w:shd w:val="clear" w:color="auto" w:fill="FFFFFF" w:themeFill="background1"/>
                </w:tcPr>
                <w:p w14:paraId="43E6AC91" w14:textId="77777777" w:rsidR="000E5B94" w:rsidRDefault="000E5B94">
                  <w:pPr>
                    <w:spacing w:after="0"/>
                    <w:jc w:val="right"/>
                    <w:rPr>
                      <w:rFonts w:ascii="Calibri" w:hAnsi="Calibri" w:cs="Calibri"/>
                      <w:color w:val="9C0006"/>
                    </w:rPr>
                  </w:pPr>
                </w:p>
              </w:tc>
              <w:tc>
                <w:tcPr>
                  <w:tcW w:w="960" w:type="dxa"/>
                  <w:shd w:val="clear" w:color="000000" w:fill="FFC7CE"/>
                  <w:noWrap/>
                  <w:vAlign w:val="bottom"/>
                </w:tcPr>
                <w:p w14:paraId="43E6AC92"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93"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4"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A" w14:textId="77777777">
              <w:trPr>
                <w:trHeight w:val="300"/>
                <w:jc w:val="center"/>
              </w:trPr>
              <w:tc>
                <w:tcPr>
                  <w:tcW w:w="960" w:type="dxa"/>
                  <w:vMerge/>
                  <w:shd w:val="clear" w:color="auto" w:fill="FFFFFF" w:themeFill="background1"/>
                </w:tcPr>
                <w:p w14:paraId="43E6AC96"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97"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8"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9"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9F" w14:textId="77777777">
              <w:trPr>
                <w:trHeight w:val="300"/>
                <w:jc w:val="center"/>
              </w:trPr>
              <w:tc>
                <w:tcPr>
                  <w:tcW w:w="960" w:type="dxa"/>
                  <w:vMerge/>
                  <w:shd w:val="clear" w:color="auto" w:fill="FFFFFF" w:themeFill="background1"/>
                </w:tcPr>
                <w:p w14:paraId="43E6AC9B"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9C"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D"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9E"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A4" w14:textId="77777777">
              <w:trPr>
                <w:trHeight w:val="300"/>
                <w:jc w:val="center"/>
              </w:trPr>
              <w:tc>
                <w:tcPr>
                  <w:tcW w:w="960" w:type="dxa"/>
                  <w:vMerge/>
                  <w:shd w:val="clear" w:color="auto" w:fill="FFFFFF" w:themeFill="background1"/>
                </w:tcPr>
                <w:p w14:paraId="43E6ACA0"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A1"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2"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3"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A9" w14:textId="77777777">
              <w:trPr>
                <w:trHeight w:val="300"/>
                <w:jc w:val="center"/>
              </w:trPr>
              <w:tc>
                <w:tcPr>
                  <w:tcW w:w="960" w:type="dxa"/>
                  <w:vMerge/>
                  <w:shd w:val="clear" w:color="auto" w:fill="FFFFFF" w:themeFill="background1"/>
                </w:tcPr>
                <w:p w14:paraId="43E6ACA5"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A6"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7"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8" w14:textId="77777777" w:rsidR="000E5B94" w:rsidRDefault="00A353A5">
                  <w:pPr>
                    <w:spacing w:after="0"/>
                    <w:jc w:val="right"/>
                    <w:rPr>
                      <w:rFonts w:ascii="Calibri" w:hAnsi="Calibri" w:cs="Calibri"/>
                      <w:color w:val="9C5700"/>
                    </w:rPr>
                  </w:pPr>
                  <w:r>
                    <w:rPr>
                      <w:rFonts w:ascii="Calibri" w:hAnsi="Calibri" w:cs="Calibri"/>
                      <w:color w:val="9C5700"/>
                    </w:rPr>
                    <w:t>0</w:t>
                  </w:r>
                </w:p>
              </w:tc>
            </w:tr>
            <w:tr w:rsidR="000E5B94" w14:paraId="43E6ACAE" w14:textId="77777777">
              <w:trPr>
                <w:trHeight w:val="300"/>
                <w:jc w:val="center"/>
              </w:trPr>
              <w:tc>
                <w:tcPr>
                  <w:tcW w:w="960" w:type="dxa"/>
                  <w:vMerge/>
                  <w:shd w:val="clear" w:color="auto" w:fill="FFFFFF" w:themeFill="background1"/>
                </w:tcPr>
                <w:p w14:paraId="43E6ACAA" w14:textId="77777777" w:rsidR="000E5B94" w:rsidRDefault="000E5B94">
                  <w:pPr>
                    <w:spacing w:after="0"/>
                    <w:jc w:val="right"/>
                    <w:rPr>
                      <w:rFonts w:ascii="Calibri" w:hAnsi="Calibri" w:cs="Calibri"/>
                      <w:color w:val="9C5700"/>
                    </w:rPr>
                  </w:pPr>
                </w:p>
              </w:tc>
              <w:tc>
                <w:tcPr>
                  <w:tcW w:w="960" w:type="dxa"/>
                  <w:shd w:val="clear" w:color="auto" w:fill="F7CAAC" w:themeFill="accent2" w:themeFillTint="66"/>
                  <w:noWrap/>
                  <w:vAlign w:val="bottom"/>
                </w:tcPr>
                <w:p w14:paraId="43E6ACAB"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C" w14:textId="77777777" w:rsidR="000E5B94" w:rsidRDefault="00A353A5">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E6ACAD" w14:textId="77777777" w:rsidR="000E5B94" w:rsidRDefault="00A353A5">
                  <w:pPr>
                    <w:spacing w:after="0"/>
                    <w:jc w:val="right"/>
                    <w:rPr>
                      <w:rFonts w:ascii="Calibri" w:hAnsi="Calibri" w:cs="Calibri"/>
                      <w:color w:val="9C5700"/>
                    </w:rPr>
                  </w:pPr>
                  <w:r>
                    <w:rPr>
                      <w:rFonts w:ascii="Calibri" w:hAnsi="Calibri" w:cs="Calibri"/>
                      <w:color w:val="9C5700"/>
                    </w:rPr>
                    <w:t>0</w:t>
                  </w:r>
                </w:p>
              </w:tc>
            </w:tr>
          </w:tbl>
          <w:p w14:paraId="43E6ACAF" w14:textId="77777777" w:rsidR="000E5B94" w:rsidRDefault="000E5B94">
            <w:pPr>
              <w:spacing w:line="240" w:lineRule="auto"/>
            </w:pPr>
          </w:p>
        </w:tc>
      </w:tr>
      <w:tr w:rsidR="000E5B94" w14:paraId="43E6ACE4" w14:textId="77777777">
        <w:tc>
          <w:tcPr>
            <w:tcW w:w="4653" w:type="dxa"/>
          </w:tcPr>
          <w:p w14:paraId="43E6ACB1" w14:textId="77777777" w:rsidR="000E5B94" w:rsidRDefault="00A353A5">
            <w:pPr>
              <w:pStyle w:val="a6"/>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0E5B94" w14:paraId="43E6ACB5" w14:textId="77777777">
              <w:trPr>
                <w:trHeight w:val="300"/>
                <w:jc w:val="center"/>
              </w:trPr>
              <w:tc>
                <w:tcPr>
                  <w:tcW w:w="960" w:type="dxa"/>
                  <w:shd w:val="clear" w:color="000000" w:fill="FFC7CE"/>
                  <w:noWrap/>
                  <w:vAlign w:val="bottom"/>
                </w:tcPr>
                <w:p w14:paraId="43E6ACB2"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B3"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B4"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B9" w14:textId="77777777">
              <w:trPr>
                <w:trHeight w:val="300"/>
                <w:jc w:val="center"/>
              </w:trPr>
              <w:tc>
                <w:tcPr>
                  <w:tcW w:w="960" w:type="dxa"/>
                  <w:shd w:val="clear" w:color="auto" w:fill="F7CAAC" w:themeFill="accent2" w:themeFillTint="66"/>
                  <w:noWrap/>
                  <w:vAlign w:val="bottom"/>
                </w:tcPr>
                <w:p w14:paraId="43E6ACB6"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B7"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B8"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BD" w14:textId="77777777">
              <w:trPr>
                <w:trHeight w:val="300"/>
                <w:jc w:val="center"/>
              </w:trPr>
              <w:tc>
                <w:tcPr>
                  <w:tcW w:w="960" w:type="dxa"/>
                  <w:shd w:val="clear" w:color="auto" w:fill="F7CAAC" w:themeFill="accent2" w:themeFillTint="66"/>
                  <w:noWrap/>
                  <w:vAlign w:val="bottom"/>
                </w:tcPr>
                <w:p w14:paraId="43E6ACBA"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BB"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BC"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1" w14:textId="77777777">
              <w:trPr>
                <w:trHeight w:val="300"/>
                <w:jc w:val="center"/>
              </w:trPr>
              <w:tc>
                <w:tcPr>
                  <w:tcW w:w="960" w:type="dxa"/>
                  <w:shd w:val="clear" w:color="auto" w:fill="F7CAAC" w:themeFill="accent2" w:themeFillTint="66"/>
                  <w:noWrap/>
                  <w:vAlign w:val="bottom"/>
                </w:tcPr>
                <w:p w14:paraId="43E6ACBE"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BF"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0"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5" w14:textId="77777777">
              <w:trPr>
                <w:trHeight w:val="300"/>
                <w:jc w:val="center"/>
              </w:trPr>
              <w:tc>
                <w:tcPr>
                  <w:tcW w:w="960" w:type="dxa"/>
                  <w:shd w:val="clear" w:color="auto" w:fill="F7CAAC" w:themeFill="accent2" w:themeFillTint="66"/>
                  <w:noWrap/>
                  <w:vAlign w:val="bottom"/>
                </w:tcPr>
                <w:p w14:paraId="43E6ACC2"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C3"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4"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9" w14:textId="77777777">
              <w:trPr>
                <w:trHeight w:val="300"/>
                <w:jc w:val="center"/>
              </w:trPr>
              <w:tc>
                <w:tcPr>
                  <w:tcW w:w="960" w:type="dxa"/>
                  <w:shd w:val="clear" w:color="auto" w:fill="F7CAAC" w:themeFill="accent2" w:themeFillTint="66"/>
                  <w:noWrap/>
                  <w:vAlign w:val="bottom"/>
                </w:tcPr>
                <w:p w14:paraId="43E6ACC6"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C7"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8"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CD" w14:textId="77777777">
              <w:trPr>
                <w:trHeight w:val="300"/>
                <w:jc w:val="center"/>
              </w:trPr>
              <w:tc>
                <w:tcPr>
                  <w:tcW w:w="960" w:type="dxa"/>
                  <w:shd w:val="clear" w:color="000000" w:fill="FFC7CE"/>
                  <w:noWrap/>
                  <w:vAlign w:val="bottom"/>
                </w:tcPr>
                <w:p w14:paraId="43E6ACCA"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43E6ACCB"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CC"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1" w14:textId="77777777">
              <w:trPr>
                <w:trHeight w:val="300"/>
                <w:jc w:val="center"/>
              </w:trPr>
              <w:tc>
                <w:tcPr>
                  <w:tcW w:w="960" w:type="dxa"/>
                  <w:shd w:val="clear" w:color="auto" w:fill="F7CAAC" w:themeFill="accent2" w:themeFillTint="66"/>
                  <w:noWrap/>
                  <w:vAlign w:val="bottom"/>
                </w:tcPr>
                <w:p w14:paraId="43E6ACCE"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CF"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0"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5" w14:textId="77777777">
              <w:trPr>
                <w:trHeight w:val="300"/>
                <w:jc w:val="center"/>
              </w:trPr>
              <w:tc>
                <w:tcPr>
                  <w:tcW w:w="960" w:type="dxa"/>
                  <w:shd w:val="clear" w:color="auto" w:fill="F7CAAC" w:themeFill="accent2" w:themeFillTint="66"/>
                  <w:noWrap/>
                  <w:vAlign w:val="bottom"/>
                </w:tcPr>
                <w:p w14:paraId="43E6ACD2"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3"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4"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9" w14:textId="77777777">
              <w:trPr>
                <w:trHeight w:val="300"/>
                <w:jc w:val="center"/>
              </w:trPr>
              <w:tc>
                <w:tcPr>
                  <w:tcW w:w="960" w:type="dxa"/>
                  <w:shd w:val="clear" w:color="auto" w:fill="F7CAAC" w:themeFill="accent2" w:themeFillTint="66"/>
                  <w:noWrap/>
                  <w:vAlign w:val="bottom"/>
                </w:tcPr>
                <w:p w14:paraId="43E6ACD6"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7"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8"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DD" w14:textId="77777777">
              <w:trPr>
                <w:trHeight w:val="300"/>
                <w:jc w:val="center"/>
              </w:trPr>
              <w:tc>
                <w:tcPr>
                  <w:tcW w:w="960" w:type="dxa"/>
                  <w:shd w:val="clear" w:color="auto" w:fill="F7CAAC" w:themeFill="accent2" w:themeFillTint="66"/>
                  <w:noWrap/>
                  <w:vAlign w:val="bottom"/>
                </w:tcPr>
                <w:p w14:paraId="43E6ACDA"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B"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DC" w14:textId="77777777" w:rsidR="000E5B94" w:rsidRDefault="00A353A5">
                  <w:pPr>
                    <w:spacing w:after="0"/>
                    <w:jc w:val="right"/>
                    <w:rPr>
                      <w:rFonts w:ascii="Calibri" w:hAnsi="Calibri" w:cs="Calibri"/>
                      <w:color w:val="9C5700"/>
                    </w:rPr>
                  </w:pPr>
                  <w:r>
                    <w:rPr>
                      <w:rFonts w:ascii="Calibri" w:hAnsi="Calibri" w:cs="Calibri"/>
                      <w:color w:val="9C5700"/>
                    </w:rPr>
                    <w:t>1</w:t>
                  </w:r>
                </w:p>
              </w:tc>
            </w:tr>
            <w:tr w:rsidR="000E5B94" w14:paraId="43E6ACE1" w14:textId="77777777">
              <w:trPr>
                <w:trHeight w:val="300"/>
                <w:jc w:val="center"/>
              </w:trPr>
              <w:tc>
                <w:tcPr>
                  <w:tcW w:w="960" w:type="dxa"/>
                  <w:shd w:val="clear" w:color="auto" w:fill="F7CAAC" w:themeFill="accent2" w:themeFillTint="66"/>
                  <w:noWrap/>
                  <w:vAlign w:val="bottom"/>
                </w:tcPr>
                <w:p w14:paraId="43E6ACDE" w14:textId="77777777" w:rsidR="000E5B94" w:rsidRDefault="00A353A5">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E6ACDF" w14:textId="77777777" w:rsidR="000E5B94" w:rsidRDefault="00A353A5">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3E6ACE0" w14:textId="77777777" w:rsidR="000E5B94" w:rsidRDefault="00A353A5">
                  <w:pPr>
                    <w:spacing w:after="0"/>
                    <w:jc w:val="right"/>
                    <w:rPr>
                      <w:rFonts w:ascii="Calibri" w:hAnsi="Calibri" w:cs="Calibri"/>
                      <w:color w:val="9C5700"/>
                    </w:rPr>
                  </w:pPr>
                  <w:r>
                    <w:rPr>
                      <w:rFonts w:ascii="Calibri" w:hAnsi="Calibri" w:cs="Calibri"/>
                      <w:color w:val="9C5700"/>
                    </w:rPr>
                    <w:t>1</w:t>
                  </w:r>
                </w:p>
              </w:tc>
            </w:tr>
          </w:tbl>
          <w:p w14:paraId="43E6ACE2" w14:textId="77777777" w:rsidR="000E5B94" w:rsidRDefault="000E5B94">
            <w:pPr>
              <w:spacing w:line="240" w:lineRule="auto"/>
            </w:pPr>
          </w:p>
        </w:tc>
        <w:tc>
          <w:tcPr>
            <w:tcW w:w="4654" w:type="dxa"/>
            <w:vMerge/>
          </w:tcPr>
          <w:p w14:paraId="43E6ACE3" w14:textId="77777777" w:rsidR="000E5B94" w:rsidRDefault="000E5B94">
            <w:pPr>
              <w:spacing w:line="240" w:lineRule="auto"/>
            </w:pPr>
          </w:p>
        </w:tc>
      </w:tr>
    </w:tbl>
    <w:p w14:paraId="43E6ACE5" w14:textId="77777777" w:rsidR="000E5B94" w:rsidRDefault="000E5B94">
      <w:pPr>
        <w:autoSpaceDE/>
        <w:autoSpaceDN/>
        <w:adjustRightInd/>
        <w:snapToGrid/>
        <w:spacing w:after="0"/>
        <w:rPr>
          <w:b/>
          <w:szCs w:val="21"/>
          <w:lang w:eastAsia="zh-CN"/>
        </w:rPr>
      </w:pPr>
    </w:p>
    <w:p w14:paraId="43E6ACE6" w14:textId="77777777" w:rsidR="000E5B94" w:rsidRDefault="00A353A5">
      <w:pPr>
        <w:shd w:val="clear" w:color="auto" w:fill="FFFFFF"/>
        <w:spacing w:after="0" w:line="240" w:lineRule="auto"/>
        <w:rPr>
          <w:rFonts w:eastAsia="Batang"/>
          <w:b/>
          <w:lang w:val="en-GB" w:eastAsia="zh-CN"/>
        </w:rPr>
      </w:pPr>
      <w:r>
        <w:rPr>
          <w:b/>
          <w:lang w:eastAsia="zh-CN"/>
        </w:rPr>
        <w:t xml:space="preserve">Proposal 4: </w:t>
      </w:r>
      <w:r>
        <w:rPr>
          <w:rFonts w:eastAsia="Batang"/>
          <w:b/>
          <w:lang w:val="en-GB" w:eastAsia="zh-CN"/>
        </w:rPr>
        <w:t>For downlink power allocation to support 16QAM:</w:t>
      </w:r>
    </w:p>
    <w:p w14:paraId="43E6ACE7" w14:textId="77777777" w:rsidR="000E5B94" w:rsidRDefault="00A353A5">
      <w:pPr>
        <w:numPr>
          <w:ilvl w:val="0"/>
          <w:numId w:val="20"/>
        </w:numPr>
        <w:autoSpaceDE/>
        <w:autoSpaceDN/>
        <w:adjustRightInd/>
        <w:snapToGrid/>
        <w:spacing w:after="0" w:line="240" w:lineRule="auto"/>
        <w:jc w:val="left"/>
        <w:rPr>
          <w:rFonts w:eastAsia="Batang"/>
          <w:b/>
          <w:lang w:val="en-GB" w:eastAsia="zh-CN"/>
        </w:rPr>
      </w:pPr>
      <w:r>
        <w:rPr>
          <w:rFonts w:eastAsia="Batang"/>
          <w:b/>
          <w:lang w:val="en-GB"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14:paraId="43E6ACE8" w14:textId="77777777" w:rsidR="000E5B94" w:rsidRDefault="00A353A5">
      <w:pPr>
        <w:numPr>
          <w:ilvl w:val="1"/>
          <w:numId w:val="20"/>
        </w:numPr>
        <w:autoSpaceDE/>
        <w:autoSpaceDN/>
        <w:adjustRightInd/>
        <w:snapToGrid/>
        <w:spacing w:after="0" w:line="240" w:lineRule="auto"/>
        <w:jc w:val="left"/>
        <w:rPr>
          <w:rFonts w:eastAsia="Batang"/>
          <w:b/>
          <w:lang w:val="en-GB" w:eastAsia="zh-CN"/>
        </w:rPr>
      </w:pPr>
      <w:r>
        <w:rPr>
          <w:rFonts w:eastAsia="Batang"/>
          <w:b/>
          <w:lang w:val="en-GB" w:eastAsia="zh-CN"/>
        </w:rPr>
        <w:t>the power ratio between NPDSCH EPRE and NRS EPRE in symbols with CRS is signalled</w:t>
      </w:r>
    </w:p>
    <w:p w14:paraId="43E6ACE9" w14:textId="77777777" w:rsidR="000E5B94" w:rsidRDefault="00A353A5">
      <w:pPr>
        <w:numPr>
          <w:ilvl w:val="1"/>
          <w:numId w:val="20"/>
        </w:numPr>
        <w:autoSpaceDE/>
        <w:autoSpaceDN/>
        <w:adjustRightInd/>
        <w:snapToGrid/>
        <w:spacing w:after="0" w:line="240" w:lineRule="auto"/>
        <w:jc w:val="left"/>
        <w:rPr>
          <w:rFonts w:eastAsia="Batang"/>
          <w:b/>
          <w:lang w:val="en-GB" w:eastAsia="zh-CN"/>
        </w:rPr>
      </w:pPr>
      <w:r>
        <w:rPr>
          <w:rFonts w:eastAsia="Batang"/>
          <w:b/>
          <w:lang w:val="en-GB" w:eastAsia="zh-CN"/>
        </w:rPr>
        <w:t>the signalling is UE specific</w:t>
      </w:r>
    </w:p>
    <w:p w14:paraId="43E6ACEA" w14:textId="77777777" w:rsidR="000E5B94" w:rsidRDefault="000E5B94">
      <w:pPr>
        <w:autoSpaceDE/>
        <w:autoSpaceDN/>
        <w:adjustRightInd/>
        <w:snapToGrid/>
        <w:spacing w:after="0"/>
        <w:rPr>
          <w:b/>
          <w:szCs w:val="21"/>
          <w:lang w:eastAsia="zh-CN"/>
        </w:rPr>
      </w:pPr>
    </w:p>
    <w:p w14:paraId="43E6ACEB" w14:textId="77777777" w:rsidR="000E5B94" w:rsidRDefault="00A353A5">
      <w:r>
        <w:rPr>
          <w:rFonts w:hint="eastAsia"/>
        </w:rPr>
        <w:t>P</w:t>
      </w:r>
      <w:r>
        <w:t>lease input your comments to the concern over Alt-1:</w:t>
      </w:r>
    </w:p>
    <w:tbl>
      <w:tblPr>
        <w:tblStyle w:val="af1"/>
        <w:tblW w:w="0" w:type="auto"/>
        <w:tblLook w:val="04A0" w:firstRow="1" w:lastRow="0" w:firstColumn="1" w:lastColumn="0" w:noHBand="0" w:noVBand="1"/>
      </w:tblPr>
      <w:tblGrid>
        <w:gridCol w:w="1838"/>
        <w:gridCol w:w="7469"/>
      </w:tblGrid>
      <w:tr w:rsidR="000E5B94" w14:paraId="43E6ACEE" w14:textId="77777777">
        <w:tc>
          <w:tcPr>
            <w:tcW w:w="1838" w:type="dxa"/>
          </w:tcPr>
          <w:p w14:paraId="43E6ACEC" w14:textId="77777777" w:rsidR="000E5B94" w:rsidRDefault="00A353A5">
            <w:pPr>
              <w:rPr>
                <w:szCs w:val="20"/>
              </w:rPr>
            </w:pPr>
            <w:r>
              <w:rPr>
                <w:rFonts w:hint="eastAsia"/>
                <w:szCs w:val="20"/>
              </w:rPr>
              <w:t>Comp</w:t>
            </w:r>
            <w:r>
              <w:rPr>
                <w:szCs w:val="20"/>
              </w:rPr>
              <w:t>anies</w:t>
            </w:r>
          </w:p>
        </w:tc>
        <w:tc>
          <w:tcPr>
            <w:tcW w:w="7469" w:type="dxa"/>
          </w:tcPr>
          <w:p w14:paraId="43E6ACED" w14:textId="77777777" w:rsidR="000E5B94" w:rsidRDefault="00A353A5">
            <w:pPr>
              <w:rPr>
                <w:szCs w:val="20"/>
              </w:rPr>
            </w:pPr>
            <w:r>
              <w:rPr>
                <w:rFonts w:hint="eastAsia"/>
                <w:szCs w:val="20"/>
              </w:rPr>
              <w:t>Comments</w:t>
            </w:r>
          </w:p>
        </w:tc>
      </w:tr>
      <w:tr w:rsidR="000E5B94" w14:paraId="43E6ACF1" w14:textId="77777777">
        <w:tc>
          <w:tcPr>
            <w:tcW w:w="1838" w:type="dxa"/>
          </w:tcPr>
          <w:p w14:paraId="43E6ACEF" w14:textId="77777777" w:rsidR="000E5B94" w:rsidRDefault="00A353A5">
            <w:pPr>
              <w:rPr>
                <w:rFonts w:asciiTheme="minorHAnsi" w:hAnsiTheme="minorHAnsi" w:cstheme="minorHAnsi"/>
                <w:szCs w:val="20"/>
                <w:lang w:eastAsia="zh-CN"/>
              </w:rPr>
            </w:pPr>
            <w:r>
              <w:t>Huawei, HiSilicon</w:t>
            </w:r>
          </w:p>
        </w:tc>
        <w:tc>
          <w:tcPr>
            <w:tcW w:w="7469" w:type="dxa"/>
          </w:tcPr>
          <w:p w14:paraId="43E6ACF0" w14:textId="77777777" w:rsidR="000E5B94" w:rsidRDefault="00A353A5">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rsidR="000E5B94" w14:paraId="43E6ACFB" w14:textId="77777777">
        <w:tc>
          <w:tcPr>
            <w:tcW w:w="1838" w:type="dxa"/>
          </w:tcPr>
          <w:p w14:paraId="43E6ACF2" w14:textId="77777777" w:rsidR="000E5B94" w:rsidRDefault="00A353A5">
            <w:pPr>
              <w:rPr>
                <w:szCs w:val="20"/>
              </w:rPr>
            </w:pPr>
            <w:r>
              <w:rPr>
                <w:rFonts w:asciiTheme="minorHAnsi" w:hAnsiTheme="minorHAnsi" w:cstheme="minorHAnsi"/>
                <w:szCs w:val="20"/>
                <w:lang w:eastAsia="zh-CN"/>
              </w:rPr>
              <w:t>Ericsson</w:t>
            </w:r>
          </w:p>
        </w:tc>
        <w:tc>
          <w:tcPr>
            <w:tcW w:w="7469" w:type="dxa"/>
          </w:tcPr>
          <w:p w14:paraId="43E6ACF3"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43E6ACF4"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lastRenderedPageBreak/>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14:paraId="43E6ACF5" w14:textId="77777777" w:rsidR="000E5B94" w:rsidRDefault="00A353A5">
            <w:pPr>
              <w:rPr>
                <w:rFonts w:asciiTheme="minorHAnsi" w:hAnsiTheme="minorHAnsi" w:cstheme="minorHAnsi"/>
                <w:szCs w:val="20"/>
                <w:lang w:eastAsia="zh-CN"/>
              </w:rPr>
            </w:pPr>
            <w:r>
              <w:rPr>
                <w:rFonts w:asciiTheme="minorHAnsi" w:hAnsiTheme="minorHAnsi" w:cstheme="minorHAnsi"/>
                <w:i/>
                <w:iCs/>
                <w:szCs w:val="20"/>
                <w:lang w:eastAsia="zh-CN"/>
              </w:rPr>
              <w:t>“… the signaling for standalone and guard-band deployments … in this case applies to “symbols with NRS” and “symbols without NRS nor CRS”</w:t>
            </w:r>
            <w:r>
              <w:rPr>
                <w:rFonts w:asciiTheme="minorHAnsi" w:hAnsiTheme="minorHAnsi" w:cstheme="minorHAnsi"/>
                <w:szCs w:val="20"/>
                <w:lang w:eastAsia="zh-CN"/>
              </w:rPr>
              <w:t>”</w:t>
            </w:r>
          </w:p>
          <w:p w14:paraId="43E6ACF6"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14:paraId="43E6ACF7" w14:textId="77777777" w:rsidR="000E5B94" w:rsidRDefault="00A353A5">
            <w:pPr>
              <w:pStyle w:val="Proposal"/>
              <w:numPr>
                <w:ilvl w:val="0"/>
                <w:numId w:val="0"/>
              </w:numPr>
              <w:spacing w:line="240" w:lineRule="auto"/>
              <w:rPr>
                <w:b w:val="0"/>
                <w:bCs w:val="0"/>
              </w:rPr>
            </w:pPr>
            <w:r>
              <w:rPr>
                <w:b w:val="0"/>
                <w:bCs w:val="0"/>
              </w:rPr>
              <w:t>For the downlink power allocation to support 16-QAM in “In-band deployments”, Alt-2 is selected:</w:t>
            </w:r>
          </w:p>
          <w:p w14:paraId="43E6ACF8" w14:textId="77777777" w:rsidR="000E5B94" w:rsidRDefault="00A353A5">
            <w:pPr>
              <w:pStyle w:val="Proposal"/>
              <w:numPr>
                <w:ilvl w:val="0"/>
                <w:numId w:val="21"/>
              </w:numPr>
              <w:spacing w:line="240" w:lineRule="auto"/>
              <w:ind w:left="720"/>
              <w:rPr>
                <w:b w:val="0"/>
                <w:bCs w:val="0"/>
              </w:rPr>
            </w:pPr>
            <w:r>
              <w:rPr>
                <w:b w:val="0"/>
                <w:bCs w:val="0"/>
              </w:rPr>
              <w:t>The power ratio between NPDSCH EPRE and NRS EPRE in symbols with CRS is signaled.</w:t>
            </w:r>
          </w:p>
          <w:p w14:paraId="43E6ACF9" w14:textId="77777777" w:rsidR="000E5B94" w:rsidRDefault="00A353A5">
            <w:pPr>
              <w:pStyle w:val="Proposal"/>
              <w:numPr>
                <w:ilvl w:val="0"/>
                <w:numId w:val="21"/>
              </w:numPr>
              <w:spacing w:line="240" w:lineRule="auto"/>
              <w:ind w:left="720"/>
              <w:rPr>
                <w:b w:val="0"/>
                <w:bCs w:val="0"/>
              </w:rPr>
            </w:pPr>
            <w:r>
              <w:rPr>
                <w:b w:val="0"/>
                <w:bCs w:val="0"/>
              </w:rPr>
              <w:t>UE specific signaling is used</w:t>
            </w:r>
          </w:p>
          <w:p w14:paraId="43E6ACFA" w14:textId="77777777" w:rsidR="000E5B94" w:rsidRDefault="000E5B94">
            <w:pPr>
              <w:rPr>
                <w:szCs w:val="20"/>
              </w:rPr>
            </w:pPr>
          </w:p>
        </w:tc>
      </w:tr>
      <w:tr w:rsidR="000E5B94" w14:paraId="43E6AD48" w14:textId="77777777">
        <w:tc>
          <w:tcPr>
            <w:tcW w:w="1838" w:type="dxa"/>
          </w:tcPr>
          <w:p w14:paraId="43E6ACFC" w14:textId="77777777" w:rsidR="000E5B94" w:rsidRDefault="00A353A5">
            <w:pPr>
              <w:rPr>
                <w:szCs w:val="20"/>
                <w:lang w:eastAsia="zh-CN"/>
              </w:rPr>
            </w:pPr>
            <w:r>
              <w:rPr>
                <w:rFonts w:hint="eastAsia"/>
                <w:szCs w:val="20"/>
                <w:lang w:eastAsia="zh-CN"/>
              </w:rPr>
              <w:lastRenderedPageBreak/>
              <w:t>L</w:t>
            </w:r>
            <w:r>
              <w:rPr>
                <w:szCs w:val="20"/>
                <w:lang w:eastAsia="zh-CN"/>
              </w:rPr>
              <w:t>enovo, MotoM</w:t>
            </w:r>
          </w:p>
        </w:tc>
        <w:tc>
          <w:tcPr>
            <w:tcW w:w="7469" w:type="dxa"/>
          </w:tcPr>
          <w:p w14:paraId="43E6ACFD" w14:textId="77777777" w:rsidR="000E5B94" w:rsidRDefault="00A353A5">
            <w:pPr>
              <w:rPr>
                <w:szCs w:val="20"/>
                <w:lang w:eastAsia="zh-CN"/>
              </w:rPr>
            </w:pPr>
            <w:r>
              <w:rPr>
                <w:rFonts w:hint="eastAsia"/>
                <w:szCs w:val="20"/>
                <w:lang w:eastAsia="zh-CN"/>
              </w:rPr>
              <w:t>W</w:t>
            </w:r>
            <w:r>
              <w:rPr>
                <w:szCs w:val="20"/>
                <w:lang w:eastAsia="zh-CN"/>
              </w:rPr>
              <w:t>e still prefer Alt-1</w:t>
            </w:r>
          </w:p>
          <w:p w14:paraId="43E6ACFE" w14:textId="77777777" w:rsidR="000E5B94" w:rsidRDefault="00A353A5">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43E6ACFF" w14:textId="77777777" w:rsidR="000E5B94" w:rsidRDefault="00A353A5">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43E6AD00" w14:textId="77777777" w:rsidR="000E5B94" w:rsidRDefault="000E5B94">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0E5B94" w14:paraId="43E6AD0A" w14:textId="77777777">
              <w:trPr>
                <w:trHeight w:val="300"/>
                <w:jc w:val="center"/>
              </w:trPr>
              <w:tc>
                <w:tcPr>
                  <w:tcW w:w="960" w:type="dxa"/>
                  <w:vMerge w:val="restart"/>
                  <w:shd w:val="clear" w:color="auto" w:fill="FFFFFF" w:themeFill="background1"/>
                </w:tcPr>
                <w:p w14:paraId="43E6AD01" w14:textId="77777777" w:rsidR="000E5B94" w:rsidRDefault="000E5B94">
                  <w:pPr>
                    <w:spacing w:after="0"/>
                    <w:jc w:val="right"/>
                    <w:rPr>
                      <w:rFonts w:ascii="Calibri" w:hAnsi="Calibri" w:cs="Calibri"/>
                    </w:rPr>
                  </w:pPr>
                </w:p>
                <w:p w14:paraId="43E6AD02" w14:textId="77777777" w:rsidR="000E5B94" w:rsidRDefault="000E5B94">
                  <w:pPr>
                    <w:spacing w:after="0"/>
                    <w:jc w:val="right"/>
                    <w:rPr>
                      <w:rFonts w:ascii="Calibri" w:hAnsi="Calibri" w:cs="Calibri"/>
                    </w:rPr>
                  </w:pPr>
                </w:p>
                <w:p w14:paraId="43E6AD03" w14:textId="77777777" w:rsidR="000E5B94" w:rsidRDefault="000E5B94">
                  <w:pPr>
                    <w:spacing w:after="0"/>
                    <w:jc w:val="right"/>
                    <w:rPr>
                      <w:rFonts w:ascii="Calibri" w:hAnsi="Calibri" w:cs="Calibri"/>
                    </w:rPr>
                  </w:pPr>
                </w:p>
                <w:p w14:paraId="43E6AD04" w14:textId="77777777" w:rsidR="000E5B94" w:rsidRDefault="000E5B94">
                  <w:pPr>
                    <w:spacing w:after="0"/>
                    <w:jc w:val="right"/>
                    <w:rPr>
                      <w:rFonts w:ascii="Calibri" w:hAnsi="Calibri" w:cs="Calibri"/>
                    </w:rPr>
                  </w:pPr>
                </w:p>
                <w:p w14:paraId="43E6AD05" w14:textId="77777777" w:rsidR="000E5B94" w:rsidRDefault="000E5B94">
                  <w:pPr>
                    <w:spacing w:after="0"/>
                    <w:jc w:val="right"/>
                    <w:rPr>
                      <w:rFonts w:ascii="Calibri" w:hAnsi="Calibri" w:cs="Calibri"/>
                    </w:rPr>
                  </w:pPr>
                </w:p>
                <w:p w14:paraId="43E6AD06" w14:textId="77777777" w:rsidR="000E5B94" w:rsidRDefault="00A353A5">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3E6AD07"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D08"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D09"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D0F" w14:textId="77777777">
              <w:trPr>
                <w:trHeight w:val="300"/>
                <w:jc w:val="center"/>
              </w:trPr>
              <w:tc>
                <w:tcPr>
                  <w:tcW w:w="960" w:type="dxa"/>
                  <w:vMerge/>
                  <w:shd w:val="clear" w:color="auto" w:fill="FFFFFF" w:themeFill="background1"/>
                </w:tcPr>
                <w:p w14:paraId="43E6AD0B" w14:textId="77777777" w:rsidR="000E5B94" w:rsidRDefault="000E5B94">
                  <w:pPr>
                    <w:spacing w:after="0"/>
                    <w:jc w:val="center"/>
                    <w:rPr>
                      <w:rFonts w:ascii="Calibri" w:hAnsi="Calibri" w:cs="Calibri"/>
                    </w:rPr>
                  </w:pPr>
                </w:p>
              </w:tc>
              <w:tc>
                <w:tcPr>
                  <w:tcW w:w="960" w:type="dxa"/>
                  <w:shd w:val="clear" w:color="000000" w:fill="FFC7CE"/>
                  <w:noWrap/>
                  <w:vAlign w:val="bottom"/>
                </w:tcPr>
                <w:p w14:paraId="43E6AD0C" w14:textId="77777777" w:rsidR="000E5B94" w:rsidRDefault="000E5B94">
                  <w:pPr>
                    <w:spacing w:after="0"/>
                    <w:jc w:val="right"/>
                    <w:rPr>
                      <w:rFonts w:ascii="Calibri" w:hAnsi="Calibri" w:cs="Calibri"/>
                      <w:color w:val="9C0006"/>
                    </w:rPr>
                  </w:pPr>
                </w:p>
              </w:tc>
              <w:tc>
                <w:tcPr>
                  <w:tcW w:w="960" w:type="dxa"/>
                  <w:shd w:val="clear" w:color="000000" w:fill="FFEB9C"/>
                  <w:noWrap/>
                  <w:vAlign w:val="bottom"/>
                </w:tcPr>
                <w:p w14:paraId="43E6AD0D" w14:textId="77777777" w:rsidR="000E5B94" w:rsidRDefault="000E5B94">
                  <w:pPr>
                    <w:spacing w:after="0"/>
                    <w:jc w:val="right"/>
                    <w:rPr>
                      <w:rFonts w:ascii="Calibri" w:hAnsi="Calibri" w:cs="Calibri"/>
                      <w:color w:val="9C5700"/>
                    </w:rPr>
                  </w:pPr>
                </w:p>
              </w:tc>
              <w:tc>
                <w:tcPr>
                  <w:tcW w:w="960" w:type="dxa"/>
                  <w:shd w:val="clear" w:color="000000" w:fill="C6EFCE"/>
                  <w:noWrap/>
                  <w:vAlign w:val="bottom"/>
                </w:tcPr>
                <w:p w14:paraId="43E6AD0E" w14:textId="77777777" w:rsidR="000E5B94" w:rsidRDefault="000E5B94">
                  <w:pPr>
                    <w:spacing w:after="0"/>
                    <w:jc w:val="right"/>
                    <w:rPr>
                      <w:rFonts w:ascii="Calibri" w:hAnsi="Calibri" w:cs="Calibri"/>
                      <w:color w:val="006100"/>
                    </w:rPr>
                  </w:pPr>
                </w:p>
              </w:tc>
            </w:tr>
            <w:tr w:rsidR="000E5B94" w14:paraId="43E6AD14" w14:textId="77777777">
              <w:trPr>
                <w:trHeight w:val="300"/>
                <w:jc w:val="center"/>
              </w:trPr>
              <w:tc>
                <w:tcPr>
                  <w:tcW w:w="960" w:type="dxa"/>
                  <w:vMerge/>
                  <w:shd w:val="clear" w:color="auto" w:fill="FFFFFF" w:themeFill="background1"/>
                </w:tcPr>
                <w:p w14:paraId="43E6AD10"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11"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12"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13"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19" w14:textId="77777777">
              <w:trPr>
                <w:trHeight w:val="300"/>
                <w:jc w:val="center"/>
              </w:trPr>
              <w:tc>
                <w:tcPr>
                  <w:tcW w:w="960" w:type="dxa"/>
                  <w:vMerge/>
                  <w:shd w:val="clear" w:color="auto" w:fill="FFFFFF" w:themeFill="background1"/>
                </w:tcPr>
                <w:p w14:paraId="43E6AD15"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16"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17"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18"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1E" w14:textId="77777777">
              <w:trPr>
                <w:trHeight w:val="300"/>
                <w:jc w:val="center"/>
              </w:trPr>
              <w:tc>
                <w:tcPr>
                  <w:tcW w:w="960" w:type="dxa"/>
                  <w:vMerge/>
                  <w:shd w:val="clear" w:color="auto" w:fill="FFFFFF" w:themeFill="background1"/>
                </w:tcPr>
                <w:p w14:paraId="43E6AD1A"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1B"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1C"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1D"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23" w14:textId="77777777">
              <w:trPr>
                <w:trHeight w:val="300"/>
                <w:jc w:val="center"/>
              </w:trPr>
              <w:tc>
                <w:tcPr>
                  <w:tcW w:w="960" w:type="dxa"/>
                  <w:vMerge/>
                  <w:shd w:val="clear" w:color="auto" w:fill="FFFFFF" w:themeFill="background1"/>
                </w:tcPr>
                <w:p w14:paraId="43E6AD1F"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20"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21"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22"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28" w14:textId="77777777">
              <w:trPr>
                <w:trHeight w:val="300"/>
                <w:jc w:val="center"/>
              </w:trPr>
              <w:tc>
                <w:tcPr>
                  <w:tcW w:w="960" w:type="dxa"/>
                  <w:vMerge/>
                  <w:shd w:val="clear" w:color="auto" w:fill="FFFFFF" w:themeFill="background1"/>
                </w:tcPr>
                <w:p w14:paraId="43E6AD24"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25"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26"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27"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2D" w14:textId="77777777">
              <w:trPr>
                <w:trHeight w:val="300"/>
                <w:jc w:val="center"/>
              </w:trPr>
              <w:tc>
                <w:tcPr>
                  <w:tcW w:w="960" w:type="dxa"/>
                  <w:vMerge/>
                  <w:shd w:val="clear" w:color="auto" w:fill="FFFFFF" w:themeFill="background1"/>
                </w:tcPr>
                <w:p w14:paraId="43E6AD29" w14:textId="77777777" w:rsidR="000E5B94" w:rsidRDefault="000E5B94">
                  <w:pPr>
                    <w:spacing w:after="0"/>
                    <w:jc w:val="right"/>
                    <w:rPr>
                      <w:rFonts w:ascii="Calibri" w:hAnsi="Calibri" w:cs="Calibri"/>
                    </w:rPr>
                  </w:pPr>
                </w:p>
              </w:tc>
              <w:tc>
                <w:tcPr>
                  <w:tcW w:w="960" w:type="dxa"/>
                  <w:shd w:val="clear" w:color="000000" w:fill="FFC7CE"/>
                  <w:noWrap/>
                  <w:vAlign w:val="bottom"/>
                </w:tcPr>
                <w:p w14:paraId="43E6AD2A" w14:textId="77777777" w:rsidR="000E5B94" w:rsidRDefault="00A353A5">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E6AD2B"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3E6AD2C" w14:textId="77777777" w:rsidR="000E5B94" w:rsidRDefault="00A353A5">
                  <w:pPr>
                    <w:spacing w:after="0"/>
                    <w:jc w:val="right"/>
                    <w:rPr>
                      <w:rFonts w:ascii="Calibri" w:hAnsi="Calibri" w:cs="Calibri"/>
                      <w:color w:val="006100"/>
                    </w:rPr>
                  </w:pPr>
                  <w:r>
                    <w:rPr>
                      <w:rFonts w:ascii="Calibri" w:hAnsi="Calibri" w:cs="Calibri"/>
                      <w:color w:val="006100"/>
                    </w:rPr>
                    <w:t>2</w:t>
                  </w:r>
                </w:p>
              </w:tc>
            </w:tr>
            <w:tr w:rsidR="000E5B94" w14:paraId="43E6AD32" w14:textId="77777777">
              <w:trPr>
                <w:trHeight w:val="300"/>
                <w:jc w:val="center"/>
              </w:trPr>
              <w:tc>
                <w:tcPr>
                  <w:tcW w:w="960" w:type="dxa"/>
                  <w:vMerge/>
                  <w:shd w:val="clear" w:color="auto" w:fill="FFFFFF" w:themeFill="background1"/>
                </w:tcPr>
                <w:p w14:paraId="43E6AD2E"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2F"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0"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31"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37" w14:textId="77777777">
              <w:trPr>
                <w:trHeight w:val="300"/>
                <w:jc w:val="center"/>
              </w:trPr>
              <w:tc>
                <w:tcPr>
                  <w:tcW w:w="960" w:type="dxa"/>
                  <w:vMerge/>
                  <w:shd w:val="clear" w:color="auto" w:fill="FFFFFF" w:themeFill="background1"/>
                </w:tcPr>
                <w:p w14:paraId="43E6AD33"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34"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5"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36"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3C" w14:textId="77777777">
              <w:trPr>
                <w:trHeight w:val="300"/>
                <w:jc w:val="center"/>
              </w:trPr>
              <w:tc>
                <w:tcPr>
                  <w:tcW w:w="960" w:type="dxa"/>
                  <w:vMerge/>
                  <w:shd w:val="clear" w:color="auto" w:fill="FFFFFF" w:themeFill="background1"/>
                </w:tcPr>
                <w:p w14:paraId="43E6AD38"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39"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A"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3B"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41" w14:textId="77777777">
              <w:trPr>
                <w:trHeight w:val="300"/>
                <w:jc w:val="center"/>
              </w:trPr>
              <w:tc>
                <w:tcPr>
                  <w:tcW w:w="960" w:type="dxa"/>
                  <w:vMerge/>
                  <w:shd w:val="clear" w:color="auto" w:fill="FFFFFF" w:themeFill="background1"/>
                </w:tcPr>
                <w:p w14:paraId="43E6AD3D"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3E"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3F"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40" w14:textId="77777777" w:rsidR="000E5B94" w:rsidRDefault="00A353A5">
                  <w:pPr>
                    <w:spacing w:after="0"/>
                    <w:jc w:val="right"/>
                    <w:rPr>
                      <w:rFonts w:ascii="Calibri" w:hAnsi="Calibri" w:cs="Calibri"/>
                      <w:color w:val="9C5700"/>
                    </w:rPr>
                  </w:pPr>
                  <w:r>
                    <w:rPr>
                      <w:rFonts w:ascii="Calibri" w:hAnsi="Calibri" w:cs="Calibri"/>
                      <w:color w:val="9C5700"/>
                    </w:rPr>
                    <w:t>2</w:t>
                  </w:r>
                </w:p>
              </w:tc>
            </w:tr>
            <w:tr w:rsidR="000E5B94" w14:paraId="43E6AD46" w14:textId="77777777">
              <w:trPr>
                <w:trHeight w:val="300"/>
                <w:jc w:val="center"/>
              </w:trPr>
              <w:tc>
                <w:tcPr>
                  <w:tcW w:w="960" w:type="dxa"/>
                  <w:vMerge/>
                  <w:shd w:val="clear" w:color="auto" w:fill="FFFFFF" w:themeFill="background1"/>
                </w:tcPr>
                <w:p w14:paraId="43E6AD42" w14:textId="77777777" w:rsidR="000E5B94" w:rsidRDefault="000E5B94">
                  <w:pPr>
                    <w:spacing w:after="0"/>
                    <w:jc w:val="right"/>
                    <w:rPr>
                      <w:rFonts w:ascii="Calibri" w:hAnsi="Calibri" w:cs="Calibri"/>
                    </w:rPr>
                  </w:pPr>
                </w:p>
              </w:tc>
              <w:tc>
                <w:tcPr>
                  <w:tcW w:w="960" w:type="dxa"/>
                  <w:shd w:val="clear" w:color="000000" w:fill="FFEB9C"/>
                  <w:noWrap/>
                  <w:vAlign w:val="bottom"/>
                </w:tcPr>
                <w:p w14:paraId="43E6AD43" w14:textId="77777777" w:rsidR="000E5B94" w:rsidRDefault="00A353A5">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3E6AD44" w14:textId="77777777" w:rsidR="000E5B94" w:rsidRDefault="00A353A5">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3E6AD45" w14:textId="77777777" w:rsidR="000E5B94" w:rsidRDefault="00A353A5">
                  <w:pPr>
                    <w:spacing w:after="0"/>
                    <w:jc w:val="right"/>
                    <w:rPr>
                      <w:rFonts w:ascii="Calibri" w:hAnsi="Calibri" w:cs="Calibri"/>
                      <w:color w:val="9C5700"/>
                    </w:rPr>
                  </w:pPr>
                  <w:r>
                    <w:rPr>
                      <w:rFonts w:ascii="Calibri" w:hAnsi="Calibri" w:cs="Calibri"/>
                      <w:color w:val="9C5700"/>
                    </w:rPr>
                    <w:t>2</w:t>
                  </w:r>
                </w:p>
              </w:tc>
            </w:tr>
          </w:tbl>
          <w:p w14:paraId="43E6AD47" w14:textId="77777777" w:rsidR="000E5B94" w:rsidRDefault="000E5B94">
            <w:pPr>
              <w:rPr>
                <w:szCs w:val="20"/>
                <w:lang w:eastAsia="zh-CN"/>
              </w:rPr>
            </w:pPr>
          </w:p>
        </w:tc>
      </w:tr>
      <w:tr w:rsidR="000E5B94" w14:paraId="43E6AD4B" w14:textId="77777777">
        <w:tc>
          <w:tcPr>
            <w:tcW w:w="1838" w:type="dxa"/>
          </w:tcPr>
          <w:p w14:paraId="43E6AD49" w14:textId="77777777" w:rsidR="000E5B94" w:rsidRDefault="00A353A5">
            <w:pPr>
              <w:rPr>
                <w:szCs w:val="20"/>
                <w:lang w:eastAsia="zh-CN"/>
              </w:rPr>
            </w:pPr>
            <w:r>
              <w:rPr>
                <w:rFonts w:hint="eastAsia"/>
                <w:szCs w:val="20"/>
                <w:lang w:eastAsia="zh-CN"/>
              </w:rPr>
              <w:t>ZTE, Sanechips</w:t>
            </w:r>
          </w:p>
        </w:tc>
        <w:tc>
          <w:tcPr>
            <w:tcW w:w="7469" w:type="dxa"/>
          </w:tcPr>
          <w:p w14:paraId="43E6AD4A" w14:textId="77777777" w:rsidR="000E5B94" w:rsidRDefault="00A353A5">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 xml:space="preserve">NPDSCH EPRE to NRS EPRE in symbols without </w:t>
            </w:r>
            <w:r>
              <w:rPr>
                <w:rFonts w:cs="Times"/>
                <w:lang w:val="en-GB" w:eastAsia="ja-JP"/>
              </w:rPr>
              <w:lastRenderedPageBreak/>
              <w:t>NRS</w:t>
            </w:r>
            <w:r>
              <w:rPr>
                <w:rFonts w:cs="Times" w:hint="eastAsia"/>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0E5B94" w14:paraId="43E6AD4E" w14:textId="77777777">
        <w:tc>
          <w:tcPr>
            <w:tcW w:w="1838" w:type="dxa"/>
          </w:tcPr>
          <w:p w14:paraId="43E6AD4C" w14:textId="77777777" w:rsidR="000E5B94" w:rsidRDefault="00A353A5">
            <w:pPr>
              <w:rPr>
                <w:szCs w:val="20"/>
                <w:lang w:eastAsia="zh-CN"/>
              </w:rPr>
            </w:pPr>
            <w:r>
              <w:rPr>
                <w:szCs w:val="20"/>
                <w:lang w:eastAsia="zh-CN"/>
              </w:rPr>
              <w:lastRenderedPageBreak/>
              <w:t>Nokia, NSB</w:t>
            </w:r>
          </w:p>
        </w:tc>
        <w:tc>
          <w:tcPr>
            <w:tcW w:w="7469" w:type="dxa"/>
          </w:tcPr>
          <w:p w14:paraId="43E6AD4D" w14:textId="77777777" w:rsidR="000E5B94" w:rsidRDefault="00A353A5">
            <w:pPr>
              <w:rPr>
                <w:szCs w:val="20"/>
                <w:lang w:eastAsia="zh-CN"/>
              </w:rPr>
            </w:pPr>
            <w:r>
              <w:rPr>
                <w:szCs w:val="20"/>
                <w:lang w:eastAsia="zh-CN"/>
              </w:rPr>
              <w:t>We support proposal 6</w:t>
            </w:r>
          </w:p>
        </w:tc>
      </w:tr>
      <w:tr w:rsidR="000E5B94" w14:paraId="43E6AD56" w14:textId="77777777">
        <w:tc>
          <w:tcPr>
            <w:tcW w:w="1838" w:type="dxa"/>
          </w:tcPr>
          <w:p w14:paraId="43E6AD4F" w14:textId="77777777" w:rsidR="000E5B94" w:rsidRDefault="00A353A5">
            <w:pPr>
              <w:rPr>
                <w:szCs w:val="20"/>
                <w:lang w:eastAsia="zh-CN"/>
              </w:rPr>
            </w:pPr>
            <w:r>
              <w:rPr>
                <w:szCs w:val="20"/>
                <w:lang w:eastAsia="zh-CN"/>
              </w:rPr>
              <w:t>Qualcomm</w:t>
            </w:r>
          </w:p>
        </w:tc>
        <w:tc>
          <w:tcPr>
            <w:tcW w:w="7469" w:type="dxa"/>
          </w:tcPr>
          <w:p w14:paraId="43E6AD50" w14:textId="77777777" w:rsidR="000E5B94" w:rsidRDefault="00A353A5">
            <w:pPr>
              <w:rPr>
                <w:szCs w:val="20"/>
                <w:lang w:eastAsia="zh-CN"/>
              </w:rPr>
            </w:pPr>
            <w:r>
              <w:rPr>
                <w:szCs w:val="20"/>
                <w:lang w:eastAsia="zh-CN"/>
              </w:rPr>
              <w:t>Proposal 6 is OK.</w:t>
            </w:r>
          </w:p>
          <w:p w14:paraId="43E6AD51" w14:textId="77777777" w:rsidR="000E5B94" w:rsidRDefault="00A353A5">
            <w:pPr>
              <w:rPr>
                <w:szCs w:val="20"/>
                <w:lang w:eastAsia="zh-CN"/>
              </w:rPr>
            </w:pPr>
            <w:r>
              <w:rPr>
                <w:szCs w:val="20"/>
                <w:lang w:eastAsia="zh-CN"/>
              </w:rPr>
              <w:t>For in-band, let us reply to some of the comments:</w:t>
            </w:r>
          </w:p>
          <w:p w14:paraId="43E6AD52" w14:textId="77777777" w:rsidR="000E5B94" w:rsidRDefault="00A353A5">
            <w:pPr>
              <w:rPr>
                <w:lang w:val="en-GB"/>
              </w:rPr>
            </w:pPr>
            <w:r>
              <w:rPr>
                <w:szCs w:val="20"/>
                <w:lang w:eastAsia="zh-CN"/>
              </w:rPr>
              <w:t>“</w:t>
            </w:r>
            <w:r>
              <w:rPr>
                <w:lang w:eastAsia="zh-CN"/>
              </w:rPr>
              <w:t>However, there will be different transmit power for symbol 1 and 2. It seems the design is not aligned.”</w:t>
            </w:r>
          </w:p>
          <w:p w14:paraId="43E6AD53" w14:textId="77777777" w:rsidR="000E5B94" w:rsidRDefault="00A353A5">
            <w:pPr>
              <w:rPr>
                <w:szCs w:val="20"/>
                <w:lang w:eastAsia="zh-CN"/>
              </w:rPr>
            </w:pPr>
            <w:r>
              <w:rPr>
                <w:szCs w:val="20"/>
                <w:lang w:eastAsia="zh-CN"/>
              </w:rPr>
              <w:t>The transmit power in symbols 1 and 2 are indeed different if you only take into account the NBIOT PRB. If you add the other PRB we show in our contribution, the power is constant (that’s the whole point).</w:t>
            </w:r>
          </w:p>
          <w:p w14:paraId="43E6AD54" w14:textId="77777777" w:rsidR="000E5B94" w:rsidRDefault="00A353A5">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14:paraId="43E6AD55" w14:textId="77777777" w:rsidR="000E5B94" w:rsidRDefault="00A353A5">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r w:rsidR="000E5B94" w14:paraId="43E6AD5D" w14:textId="77777777">
        <w:tc>
          <w:tcPr>
            <w:tcW w:w="1838" w:type="dxa"/>
          </w:tcPr>
          <w:p w14:paraId="43E6AD57" w14:textId="77777777" w:rsidR="000E5B94" w:rsidRDefault="00A353A5">
            <w:pPr>
              <w:rPr>
                <w:szCs w:val="20"/>
                <w:lang w:eastAsia="zh-CN"/>
              </w:rPr>
            </w:pPr>
            <w:r>
              <w:rPr>
                <w:rFonts w:hint="eastAsia"/>
                <w:szCs w:val="20"/>
                <w:lang w:eastAsia="zh-CN"/>
              </w:rPr>
              <w:t>Moderator</w:t>
            </w:r>
          </w:p>
        </w:tc>
        <w:tc>
          <w:tcPr>
            <w:tcW w:w="7469" w:type="dxa"/>
          </w:tcPr>
          <w:p w14:paraId="43E6AD58" w14:textId="77777777" w:rsidR="000E5B94" w:rsidRDefault="00A353A5">
            <w:pPr>
              <w:rPr>
                <w:szCs w:val="20"/>
                <w:lang w:eastAsia="zh-CN"/>
              </w:rPr>
            </w:pPr>
            <w:r>
              <w:rPr>
                <w:rFonts w:hint="eastAsia"/>
                <w:szCs w:val="20"/>
                <w:lang w:eastAsia="zh-CN"/>
              </w:rPr>
              <w:t>As there</w:t>
            </w:r>
            <w:r>
              <w:rPr>
                <w:szCs w:val="20"/>
                <w:lang w:eastAsia="zh-CN"/>
              </w:rPr>
              <w:t>’s no further response regarding QC’s elaboration, the concern that for LTE the transmit power between different symbols should be same and the CRS power should be constant within LTE bandwidth, the following is proposed:</w:t>
            </w:r>
          </w:p>
          <w:p w14:paraId="43E6AD59" w14:textId="77777777" w:rsidR="000E5B94" w:rsidRDefault="00A353A5">
            <w:pPr>
              <w:numPr>
                <w:ilvl w:val="0"/>
                <w:numId w:val="20"/>
              </w:numPr>
              <w:autoSpaceDE/>
              <w:autoSpaceDN/>
              <w:adjustRightInd/>
              <w:snapToGrid/>
              <w:spacing w:after="0" w:line="240" w:lineRule="auto"/>
              <w:jc w:val="left"/>
              <w:rPr>
                <w:rFonts w:ascii="Times" w:eastAsia="Batang" w:hAnsi="Times" w:cs="Times"/>
                <w:sz w:val="20"/>
                <w:szCs w:val="20"/>
                <w:lang w:val="en-GB" w:eastAsia="zh-CN"/>
              </w:rPr>
            </w:pPr>
            <w:r>
              <w:rPr>
                <w:rFonts w:ascii="Times" w:eastAsia="Batang" w:hAnsi="Times" w:cs="Times"/>
                <w:sz w:val="20"/>
                <w:szCs w:val="20"/>
                <w:lang w:val="en-GB"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14:paraId="43E6AD5A" w14:textId="77777777" w:rsidR="000E5B94" w:rsidRDefault="00A353A5">
            <w:pPr>
              <w:numPr>
                <w:ilvl w:val="1"/>
                <w:numId w:val="20"/>
              </w:numPr>
              <w:autoSpaceDE/>
              <w:autoSpaceDN/>
              <w:adjustRightInd/>
              <w:snapToGrid/>
              <w:spacing w:after="0" w:line="240" w:lineRule="auto"/>
              <w:jc w:val="left"/>
              <w:rPr>
                <w:rFonts w:ascii="Times" w:eastAsia="Batang" w:hAnsi="Times"/>
                <w:sz w:val="20"/>
                <w:szCs w:val="20"/>
                <w:lang w:val="en-GB" w:eastAsia="zh-CN"/>
              </w:rPr>
            </w:pPr>
            <w:r>
              <w:rPr>
                <w:rFonts w:ascii="Times" w:eastAsia="Batang" w:hAnsi="Times"/>
                <w:sz w:val="20"/>
                <w:szCs w:val="20"/>
                <w:lang w:val="en-GB" w:eastAsia="zh-CN"/>
              </w:rPr>
              <w:t>the power ratio between NPDSCH EPRE and NRS EPRE in symbols with CRS is signalled</w:t>
            </w:r>
          </w:p>
          <w:p w14:paraId="43E6AD5B" w14:textId="77777777" w:rsidR="000E5B94" w:rsidRDefault="00A353A5">
            <w:pPr>
              <w:numPr>
                <w:ilvl w:val="1"/>
                <w:numId w:val="20"/>
              </w:numPr>
              <w:autoSpaceDE/>
              <w:autoSpaceDN/>
              <w:adjustRightInd/>
              <w:snapToGrid/>
              <w:spacing w:after="0" w:line="240" w:lineRule="auto"/>
              <w:jc w:val="left"/>
              <w:rPr>
                <w:rFonts w:ascii="Times" w:eastAsia="Batang" w:hAnsi="Times"/>
                <w:sz w:val="20"/>
                <w:szCs w:val="20"/>
                <w:lang w:val="en-GB" w:eastAsia="zh-CN"/>
              </w:rPr>
            </w:pPr>
            <w:r>
              <w:rPr>
                <w:rFonts w:ascii="Times" w:eastAsia="Batang" w:hAnsi="Times"/>
                <w:sz w:val="20"/>
                <w:szCs w:val="20"/>
                <w:lang w:val="en-GB" w:eastAsia="zh-CN"/>
              </w:rPr>
              <w:t>the signalling is UE specific</w:t>
            </w:r>
          </w:p>
          <w:p w14:paraId="43E6AD5C" w14:textId="77777777" w:rsidR="000E5B94" w:rsidRDefault="000E5B94">
            <w:pPr>
              <w:rPr>
                <w:szCs w:val="20"/>
                <w:lang w:val="en-GB" w:eastAsia="zh-CN"/>
              </w:rPr>
            </w:pPr>
          </w:p>
        </w:tc>
      </w:tr>
      <w:tr w:rsidR="000E5B94" w14:paraId="43E6AD60" w14:textId="77777777">
        <w:tc>
          <w:tcPr>
            <w:tcW w:w="1838" w:type="dxa"/>
          </w:tcPr>
          <w:p w14:paraId="43E6AD5E" w14:textId="77777777" w:rsidR="000E5B94" w:rsidRDefault="00A353A5">
            <w:pPr>
              <w:rPr>
                <w:szCs w:val="20"/>
                <w:lang w:eastAsia="zh-CN"/>
              </w:rPr>
            </w:pPr>
            <w:r>
              <w:rPr>
                <w:rFonts w:asciiTheme="minorHAnsi" w:hAnsiTheme="minorHAnsi" w:cstheme="minorHAnsi"/>
                <w:szCs w:val="20"/>
                <w:lang w:eastAsia="zh-CN"/>
              </w:rPr>
              <w:t>Ericsson v016</w:t>
            </w:r>
          </w:p>
        </w:tc>
        <w:tc>
          <w:tcPr>
            <w:tcW w:w="7469" w:type="dxa"/>
          </w:tcPr>
          <w:p w14:paraId="43E6AD5F" w14:textId="77777777" w:rsidR="000E5B94" w:rsidRDefault="00A353A5">
            <w:pPr>
              <w:rPr>
                <w:szCs w:val="20"/>
                <w:lang w:eastAsia="zh-CN"/>
              </w:rPr>
            </w:pPr>
            <w:r>
              <w:rPr>
                <w:rFonts w:asciiTheme="minorHAnsi" w:hAnsiTheme="minorHAnsi" w:cstheme="minorHAnsi"/>
                <w:szCs w:val="20"/>
                <w:lang w:eastAsia="zh-CN"/>
              </w:rPr>
              <w:t xml:space="preserve">We are Ok with proposal 4, you just need to remove the text “Down-select from the options in RAN1#016-e:” </w:t>
            </w:r>
          </w:p>
        </w:tc>
      </w:tr>
      <w:tr w:rsidR="000E5B94" w14:paraId="43E6AD63" w14:textId="77777777">
        <w:tc>
          <w:tcPr>
            <w:tcW w:w="1838" w:type="dxa"/>
          </w:tcPr>
          <w:p w14:paraId="43E6AD61" w14:textId="77777777" w:rsidR="000E5B94" w:rsidRDefault="00A353A5">
            <w:pPr>
              <w:rPr>
                <w:rFonts w:asciiTheme="minorHAnsi" w:hAnsiTheme="minorHAnsi" w:cstheme="minorHAnsi"/>
                <w:szCs w:val="20"/>
                <w:lang w:eastAsia="zh-CN"/>
              </w:rPr>
            </w:pPr>
            <w:r>
              <w:rPr>
                <w:rFonts w:asciiTheme="minorHAnsi" w:hAnsiTheme="minorHAnsi" w:cstheme="minorHAnsi" w:hint="eastAsia"/>
                <w:szCs w:val="20"/>
                <w:lang w:eastAsia="zh-CN"/>
              </w:rPr>
              <w:t>ZTE, Sanechips</w:t>
            </w:r>
          </w:p>
        </w:tc>
        <w:tc>
          <w:tcPr>
            <w:tcW w:w="7469" w:type="dxa"/>
          </w:tcPr>
          <w:p w14:paraId="43E6AD62" w14:textId="77777777" w:rsidR="000E5B94" w:rsidRDefault="00A353A5">
            <w:pPr>
              <w:rPr>
                <w:rFonts w:asciiTheme="minorHAnsi" w:hAnsiTheme="minorHAnsi" w:cstheme="minorHAnsi"/>
                <w:szCs w:val="20"/>
                <w:lang w:eastAsia="zh-CN"/>
              </w:rPr>
            </w:pPr>
            <w:r>
              <w:rPr>
                <w:rFonts w:asciiTheme="minorHAnsi" w:hAnsiTheme="minorHAnsi" w:cstheme="minorHAnsi" w:hint="eastAsia"/>
                <w:szCs w:val="20"/>
                <w:lang w:eastAsia="zh-CN"/>
              </w:rPr>
              <w:t>If there are multiple UEs(NB-IoT UE and LTE UE) are scheduled in the same subframe, the power for CRS boosting can be borrowed from LTE PDSCH power. In this case, the NPDSCH power does not need to be de-boosted.</w:t>
            </w:r>
          </w:p>
        </w:tc>
      </w:tr>
    </w:tbl>
    <w:p w14:paraId="43E6AD64" w14:textId="77777777" w:rsidR="000E5B94" w:rsidRDefault="000E5B94">
      <w:pPr>
        <w:autoSpaceDE/>
        <w:autoSpaceDN/>
        <w:adjustRightInd/>
        <w:snapToGrid/>
        <w:spacing w:after="0"/>
        <w:rPr>
          <w:b/>
          <w:szCs w:val="21"/>
          <w:lang w:eastAsia="zh-CN"/>
        </w:rPr>
      </w:pPr>
    </w:p>
    <w:p w14:paraId="43E6AD65" w14:textId="77777777" w:rsidR="000E5B94" w:rsidRDefault="00A353A5">
      <w:pPr>
        <w:pStyle w:val="30"/>
      </w:pPr>
      <w:r>
        <w:rPr>
          <w:lang w:eastAsia="zh-CN"/>
        </w:rPr>
        <w:t>Issue 4: uplink power control</w:t>
      </w:r>
    </w:p>
    <w:p w14:paraId="43E6AD66" w14:textId="77777777" w:rsidR="000E5B94" w:rsidRDefault="00A353A5">
      <w:r>
        <w:rPr>
          <w:rFonts w:hint="eastAsia"/>
        </w:rPr>
        <w:t>Re</w:t>
      </w:r>
      <w:r>
        <w:t>garding the options proposed for uplink power control,</w:t>
      </w:r>
    </w:p>
    <w:p w14:paraId="43E6AD67" w14:textId="77777777" w:rsidR="000E5B94" w:rsidRDefault="00A353A5">
      <w:pPr>
        <w:pStyle w:val="af7"/>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43E6AD68" w14:textId="77777777" w:rsidR="000E5B94" w:rsidRDefault="00A353A5">
      <w:pPr>
        <w:pStyle w:val="af7"/>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43E6AD69" w14:textId="77777777" w:rsidR="000E5B94" w:rsidRDefault="00A353A5">
      <w:pPr>
        <w:pStyle w:val="af7"/>
        <w:numPr>
          <w:ilvl w:val="0"/>
          <w:numId w:val="22"/>
        </w:numPr>
      </w:pPr>
      <w:r>
        <w:rPr>
          <w:rFonts w:ascii="Times New Roman" w:hAnsi="Times New Roman" w:cs="Times New Roman"/>
          <w:sz w:val="22"/>
        </w:rPr>
        <w:t>Option 3: A TPC command is introduce to indicate the power offset for NPUSCH with 16-QAM.</w:t>
      </w:r>
    </w:p>
    <w:p w14:paraId="43E6AD6A" w14:textId="77777777" w:rsidR="000E5B94" w:rsidRDefault="00A353A5">
      <w:pPr>
        <w:pStyle w:val="af7"/>
        <w:numPr>
          <w:ilvl w:val="0"/>
          <w:numId w:val="22"/>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43E6AD6B" w14:textId="77777777" w:rsidR="000E5B94" w:rsidRDefault="00A353A5">
      <w:pPr>
        <w:pStyle w:val="af7"/>
        <w:numPr>
          <w:ilvl w:val="0"/>
          <w:numId w:val="22"/>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43E6AD6C" w14:textId="77777777" w:rsidR="000E5B94" w:rsidRDefault="00A353A5">
      <w:pPr>
        <w:autoSpaceDE/>
        <w:autoSpaceDN/>
        <w:adjustRightInd/>
        <w:snapToGrid/>
        <w:spacing w:line="240" w:lineRule="auto"/>
        <w:rPr>
          <w:szCs w:val="21"/>
          <w:lang w:eastAsia="zh-CN"/>
        </w:rPr>
      </w:pPr>
      <w:r>
        <w:rPr>
          <w:rFonts w:hint="eastAsia"/>
          <w:szCs w:val="21"/>
          <w:lang w:eastAsia="zh-CN"/>
        </w:rPr>
        <w:lastRenderedPageBreak/>
        <w:t xml:space="preserve">The following has been </w:t>
      </w:r>
      <w:r>
        <w:rPr>
          <w:szCs w:val="21"/>
          <w:lang w:eastAsia="zh-CN"/>
        </w:rPr>
        <w:t>achieved:</w:t>
      </w:r>
    </w:p>
    <w:p w14:paraId="43E6AD6D" w14:textId="77777777" w:rsidR="000E5B94" w:rsidRDefault="00A353A5">
      <w:pPr>
        <w:ind w:leftChars="200" w:left="440"/>
        <w:rPr>
          <w:highlight w:val="green"/>
          <w:lang w:eastAsia="ar-SA"/>
        </w:rPr>
      </w:pPr>
      <w:r>
        <w:rPr>
          <w:highlight w:val="green"/>
          <w:lang w:eastAsia="ar-SA"/>
        </w:rPr>
        <w:t>Agreement</w:t>
      </w:r>
    </w:p>
    <w:p w14:paraId="43E6AD6E" w14:textId="77777777" w:rsidR="000E5B94" w:rsidRDefault="00A353A5">
      <w:pPr>
        <w:ind w:leftChars="200" w:left="440"/>
        <w:rPr>
          <w:lang w:eastAsia="ar-SA"/>
        </w:rPr>
      </w:pPr>
      <w:r>
        <w:rPr>
          <w:rFonts w:hint="cs"/>
          <w:lang w:eastAsia="ar-SA"/>
        </w:rPr>
        <w:t>D</w:t>
      </w:r>
      <w:r>
        <w:rPr>
          <w:lang w:eastAsia="ar-SA"/>
        </w:rPr>
        <w:t>own-select one option from Cat 1 as starting point</w:t>
      </w:r>
    </w:p>
    <w:p w14:paraId="43E6AD6F" w14:textId="77777777" w:rsidR="000E5B94" w:rsidRDefault="00A353A5">
      <w:pPr>
        <w:numPr>
          <w:ilvl w:val="0"/>
          <w:numId w:val="19"/>
        </w:numPr>
        <w:autoSpaceDE/>
        <w:autoSpaceDN/>
        <w:adjustRightInd/>
        <w:snapToGrid/>
        <w:spacing w:after="0" w:line="240" w:lineRule="auto"/>
        <w:ind w:leftChars="564" w:left="1601"/>
        <w:jc w:val="left"/>
        <w:rPr>
          <w:rFonts w:cs="Times"/>
          <w:szCs w:val="20"/>
          <w:lang w:eastAsia="ja-JP"/>
        </w:rPr>
      </w:pPr>
      <w:r>
        <w:rPr>
          <w:rFonts w:cs="Times"/>
          <w:szCs w:val="20"/>
          <w:lang w:eastAsia="ja-JP"/>
        </w:rPr>
        <w:t>Cat 1: Option 1, Option 2/Option 4, Option 5</w:t>
      </w:r>
    </w:p>
    <w:p w14:paraId="43E6AD70" w14:textId="77777777" w:rsidR="000E5B94" w:rsidRDefault="00A353A5">
      <w:pPr>
        <w:ind w:leftChars="200" w:left="440"/>
        <w:rPr>
          <w:rFonts w:cs="Times"/>
          <w:szCs w:val="20"/>
          <w:lang w:eastAsia="ja-JP"/>
        </w:rPr>
      </w:pPr>
      <w:r>
        <w:rPr>
          <w:rFonts w:cs="Times"/>
          <w:szCs w:val="20"/>
          <w:lang w:eastAsia="ja-JP"/>
        </w:rPr>
        <w:t xml:space="preserve">FFS </w:t>
      </w:r>
      <w:r>
        <w:rPr>
          <w:rFonts w:cs="Times" w:hint="cs"/>
          <w:szCs w:val="20"/>
          <w:lang w:eastAsia="ja-JP"/>
        </w:rPr>
        <w:t>C</w:t>
      </w:r>
      <w:r>
        <w:rPr>
          <w:rFonts w:cs="Times"/>
          <w:szCs w:val="20"/>
          <w:lang w:eastAsia="ja-JP"/>
        </w:rPr>
        <w:t>at 2: Option 3, for close-loop power control</w:t>
      </w:r>
    </w:p>
    <w:p w14:paraId="43E6AD71" w14:textId="77777777" w:rsidR="000E5B94" w:rsidRDefault="000E5B94">
      <w:pPr>
        <w:autoSpaceDE/>
        <w:autoSpaceDN/>
        <w:adjustRightInd/>
        <w:snapToGrid/>
        <w:spacing w:line="240" w:lineRule="auto"/>
        <w:rPr>
          <w:szCs w:val="21"/>
          <w:lang w:eastAsia="zh-CN"/>
        </w:rPr>
      </w:pPr>
    </w:p>
    <w:p w14:paraId="43E6AD72" w14:textId="77777777" w:rsidR="000E5B94" w:rsidRDefault="00A353A5">
      <w:r>
        <w:rPr>
          <w:rFonts w:hint="eastAsia"/>
        </w:rPr>
        <w:t>P</w:t>
      </w:r>
      <w:r>
        <w:t>lease input your preference and reasons on the down-selection, and your comments on the FFS as well:</w:t>
      </w:r>
    </w:p>
    <w:tbl>
      <w:tblPr>
        <w:tblStyle w:val="af1"/>
        <w:tblW w:w="0" w:type="auto"/>
        <w:tblLook w:val="04A0" w:firstRow="1" w:lastRow="0" w:firstColumn="1" w:lastColumn="0" w:noHBand="0" w:noVBand="1"/>
      </w:tblPr>
      <w:tblGrid>
        <w:gridCol w:w="1838"/>
        <w:gridCol w:w="7469"/>
      </w:tblGrid>
      <w:tr w:rsidR="000E5B94" w14:paraId="43E6AD75" w14:textId="77777777">
        <w:tc>
          <w:tcPr>
            <w:tcW w:w="1838" w:type="dxa"/>
          </w:tcPr>
          <w:p w14:paraId="43E6AD73" w14:textId="77777777" w:rsidR="000E5B94" w:rsidRDefault="00A353A5">
            <w:pPr>
              <w:rPr>
                <w:szCs w:val="20"/>
              </w:rPr>
            </w:pPr>
            <w:r>
              <w:rPr>
                <w:rFonts w:hint="eastAsia"/>
                <w:szCs w:val="20"/>
              </w:rPr>
              <w:t>Comp</w:t>
            </w:r>
            <w:r>
              <w:rPr>
                <w:szCs w:val="20"/>
              </w:rPr>
              <w:t>anies</w:t>
            </w:r>
          </w:p>
        </w:tc>
        <w:tc>
          <w:tcPr>
            <w:tcW w:w="7469" w:type="dxa"/>
          </w:tcPr>
          <w:p w14:paraId="43E6AD74" w14:textId="77777777" w:rsidR="000E5B94" w:rsidRDefault="00A353A5">
            <w:pPr>
              <w:rPr>
                <w:szCs w:val="20"/>
              </w:rPr>
            </w:pPr>
            <w:r>
              <w:rPr>
                <w:rFonts w:hint="eastAsia"/>
                <w:szCs w:val="20"/>
              </w:rPr>
              <w:t>Comments</w:t>
            </w:r>
          </w:p>
        </w:tc>
      </w:tr>
      <w:tr w:rsidR="000E5B94" w14:paraId="43E6AD78" w14:textId="77777777">
        <w:tc>
          <w:tcPr>
            <w:tcW w:w="1838" w:type="dxa"/>
          </w:tcPr>
          <w:p w14:paraId="43E6AD76" w14:textId="77777777" w:rsidR="000E5B94" w:rsidRDefault="00A353A5">
            <w:r>
              <w:t>Huawei, HiSilicon</w:t>
            </w:r>
          </w:p>
        </w:tc>
        <w:tc>
          <w:tcPr>
            <w:tcW w:w="7469" w:type="dxa"/>
          </w:tcPr>
          <w:p w14:paraId="43E6AD77" w14:textId="77777777" w:rsidR="000E5B94" w:rsidRDefault="00A353A5">
            <w:r>
              <w:rPr>
                <w:rFonts w:hint="eastAsia"/>
              </w:rPr>
              <w:t>W</w:t>
            </w:r>
            <w:r>
              <w:t>e are OK with proposal 7 and support option 1, since it is sufficient to follow the LTE principle and seems no need to introduce a different one.</w:t>
            </w:r>
          </w:p>
        </w:tc>
      </w:tr>
      <w:tr w:rsidR="000E5B94" w14:paraId="43E6AD82" w14:textId="77777777">
        <w:tc>
          <w:tcPr>
            <w:tcW w:w="1838" w:type="dxa"/>
          </w:tcPr>
          <w:p w14:paraId="43E6AD79" w14:textId="77777777" w:rsidR="000E5B94" w:rsidRDefault="00A353A5">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43E6AD7A"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Proposal 7:</w:t>
            </w:r>
          </w:p>
          <w:p w14:paraId="43E6AD7B" w14:textId="77777777" w:rsidR="000E5B94" w:rsidRDefault="00A353A5">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43E6AD7C" w14:textId="77777777" w:rsidR="000E5B94" w:rsidRDefault="00A353A5">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43E6AD7D" w14:textId="77777777" w:rsidR="000E5B94" w:rsidRDefault="000E5B94">
            <w:pPr>
              <w:pStyle w:val="af7"/>
              <w:rPr>
                <w:rFonts w:ascii="Times New Roman" w:hAnsi="Times New Roman"/>
                <w:sz w:val="20"/>
                <w:szCs w:val="20"/>
                <w:lang w:val="en-GB" w:eastAsia="ja-JP"/>
              </w:rPr>
            </w:pPr>
          </w:p>
          <w:p w14:paraId="43E6AD7E" w14:textId="77777777" w:rsidR="000E5B94" w:rsidRDefault="00A353A5">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43E6AD7F" w14:textId="77777777" w:rsidR="000E5B94" w:rsidRDefault="00A353A5">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43E6AD80" w14:textId="77777777" w:rsidR="000E5B94" w:rsidRDefault="00A353A5">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43E6AD81" w14:textId="77777777" w:rsidR="000E5B94" w:rsidRDefault="00A353A5">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0E5B94" w14:paraId="43E6AD85" w14:textId="77777777">
        <w:tc>
          <w:tcPr>
            <w:tcW w:w="1838" w:type="dxa"/>
          </w:tcPr>
          <w:p w14:paraId="43E6AD83" w14:textId="77777777" w:rsidR="000E5B94" w:rsidRDefault="00A353A5">
            <w:pPr>
              <w:rPr>
                <w:szCs w:val="20"/>
                <w:lang w:eastAsia="zh-CN"/>
              </w:rPr>
            </w:pPr>
            <w:r>
              <w:rPr>
                <w:rFonts w:hint="eastAsia"/>
                <w:szCs w:val="20"/>
                <w:lang w:eastAsia="zh-CN"/>
              </w:rPr>
              <w:t>L</w:t>
            </w:r>
            <w:r>
              <w:rPr>
                <w:szCs w:val="20"/>
                <w:lang w:eastAsia="zh-CN"/>
              </w:rPr>
              <w:t>enovo, MotoM</w:t>
            </w:r>
          </w:p>
        </w:tc>
        <w:tc>
          <w:tcPr>
            <w:tcW w:w="7469" w:type="dxa"/>
          </w:tcPr>
          <w:p w14:paraId="43E6AD84" w14:textId="77777777" w:rsidR="000E5B94" w:rsidRDefault="00A353A5">
            <w:pPr>
              <w:rPr>
                <w:szCs w:val="20"/>
                <w:lang w:eastAsia="zh-CN"/>
              </w:rPr>
            </w:pPr>
            <w:r>
              <w:rPr>
                <w:rFonts w:hint="eastAsia"/>
              </w:rPr>
              <w:t>W</w:t>
            </w:r>
            <w:r>
              <w:t>e are OK with proposal 7 and support option 1, since it is sufficient to follow the LTE principle and seems no need to introduce a different one.</w:t>
            </w:r>
          </w:p>
        </w:tc>
      </w:tr>
      <w:tr w:rsidR="000E5B94" w14:paraId="43E6AD88" w14:textId="77777777">
        <w:tc>
          <w:tcPr>
            <w:tcW w:w="1838" w:type="dxa"/>
          </w:tcPr>
          <w:p w14:paraId="43E6AD86" w14:textId="77777777" w:rsidR="000E5B94" w:rsidRDefault="00A353A5">
            <w:pPr>
              <w:rPr>
                <w:rFonts w:asciiTheme="minorHAnsi" w:hAnsiTheme="minorHAnsi" w:cstheme="minorHAnsi"/>
                <w:szCs w:val="20"/>
                <w:lang w:eastAsia="zh-CN"/>
              </w:rPr>
            </w:pPr>
            <w:r>
              <w:rPr>
                <w:rFonts w:asciiTheme="minorHAnsi" w:hAnsiTheme="minorHAnsi" w:cstheme="minorHAnsi" w:hint="eastAsia"/>
                <w:szCs w:val="20"/>
                <w:lang w:eastAsia="zh-CN"/>
              </w:rPr>
              <w:t>ZTE,Sanechips</w:t>
            </w:r>
          </w:p>
        </w:tc>
        <w:tc>
          <w:tcPr>
            <w:tcW w:w="7469" w:type="dxa"/>
          </w:tcPr>
          <w:p w14:paraId="43E6AD87" w14:textId="77777777" w:rsidR="000E5B94" w:rsidRDefault="00A353A5">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rsidR="000E5B94" w14:paraId="43E6AD8B" w14:textId="77777777">
        <w:tc>
          <w:tcPr>
            <w:tcW w:w="1838" w:type="dxa"/>
          </w:tcPr>
          <w:p w14:paraId="43E6AD89" w14:textId="77777777" w:rsidR="000E5B94" w:rsidRDefault="00A353A5">
            <w:pPr>
              <w:rPr>
                <w:szCs w:val="20"/>
                <w:lang w:eastAsia="zh-CN"/>
              </w:rPr>
            </w:pPr>
            <w:r>
              <w:rPr>
                <w:szCs w:val="20"/>
                <w:lang w:eastAsia="zh-CN"/>
              </w:rPr>
              <w:t>Nokia, NSB</w:t>
            </w:r>
          </w:p>
        </w:tc>
        <w:tc>
          <w:tcPr>
            <w:tcW w:w="7469" w:type="dxa"/>
          </w:tcPr>
          <w:p w14:paraId="43E6AD8A" w14:textId="77777777" w:rsidR="000E5B94" w:rsidRDefault="00A353A5">
            <w:pPr>
              <w:rPr>
                <w:szCs w:val="20"/>
                <w:lang w:eastAsia="zh-CN"/>
              </w:rPr>
            </w:pPr>
            <w:r>
              <w:rPr>
                <w:szCs w:val="20"/>
                <w:lang w:eastAsia="zh-CN"/>
              </w:rPr>
              <w:t>We are fine with proposal 7. Our preference is option 2, which is a simplified version of option 1/5.</w:t>
            </w:r>
          </w:p>
        </w:tc>
      </w:tr>
      <w:tr w:rsidR="000E5B94" w14:paraId="43E6AD8E" w14:textId="77777777">
        <w:tc>
          <w:tcPr>
            <w:tcW w:w="1838" w:type="dxa"/>
          </w:tcPr>
          <w:p w14:paraId="43E6AD8C" w14:textId="77777777" w:rsidR="000E5B94" w:rsidRDefault="00A353A5">
            <w:pPr>
              <w:rPr>
                <w:szCs w:val="20"/>
                <w:lang w:eastAsia="zh-CN"/>
              </w:rPr>
            </w:pPr>
            <w:r>
              <w:rPr>
                <w:szCs w:val="20"/>
                <w:lang w:eastAsia="zh-CN"/>
              </w:rPr>
              <w:t>Qualcomm</w:t>
            </w:r>
          </w:p>
        </w:tc>
        <w:tc>
          <w:tcPr>
            <w:tcW w:w="7469" w:type="dxa"/>
          </w:tcPr>
          <w:p w14:paraId="43E6AD8D" w14:textId="77777777" w:rsidR="000E5B94" w:rsidRDefault="00A353A5">
            <w:pPr>
              <w:rPr>
                <w:szCs w:val="20"/>
                <w:lang w:eastAsia="zh-CN"/>
              </w:rPr>
            </w:pPr>
            <w:r>
              <w:rPr>
                <w:szCs w:val="20"/>
                <w:lang w:eastAsia="zh-CN"/>
              </w:rPr>
              <w:t>We think Option 3 should be removed. The other options can be further discussed.</w:t>
            </w:r>
          </w:p>
        </w:tc>
      </w:tr>
      <w:tr w:rsidR="000E5B94" w14:paraId="43E6AD96" w14:textId="77777777">
        <w:tc>
          <w:tcPr>
            <w:tcW w:w="1838" w:type="dxa"/>
          </w:tcPr>
          <w:p w14:paraId="43E6AD8F" w14:textId="77777777" w:rsidR="000E5B94" w:rsidRDefault="00A353A5">
            <w:pPr>
              <w:rPr>
                <w:sz w:val="20"/>
                <w:szCs w:val="20"/>
                <w:lang w:eastAsia="zh-CN"/>
              </w:rPr>
            </w:pPr>
            <w:r>
              <w:rPr>
                <w:sz w:val="20"/>
                <w:szCs w:val="20"/>
                <w:lang w:eastAsia="zh-CN"/>
              </w:rPr>
              <w:t>Ericsson v010</w:t>
            </w:r>
          </w:p>
        </w:tc>
        <w:tc>
          <w:tcPr>
            <w:tcW w:w="7469" w:type="dxa"/>
          </w:tcPr>
          <w:p w14:paraId="43E6AD90" w14:textId="77777777" w:rsidR="000E5B94" w:rsidRDefault="00A353A5">
            <w:pPr>
              <w:rPr>
                <w:sz w:val="20"/>
                <w:szCs w:val="20"/>
                <w:vertAlign w:val="subscript"/>
              </w:rPr>
            </w:pPr>
            <w:r>
              <w:rPr>
                <w:sz w:val="20"/>
                <w:szCs w:val="20"/>
                <w:lang w:eastAsia="zh-CN"/>
              </w:rPr>
              <w:t xml:space="preserve">We kindly request the proponent of Option 1 to provide the numeric value obtained from </w:t>
            </w:r>
            <w:r>
              <w:rPr>
                <w:sz w:val="20"/>
                <w:szCs w:val="20"/>
              </w:rPr>
              <w:t>Δ</w:t>
            </w:r>
            <w:r>
              <w:rPr>
                <w:sz w:val="20"/>
                <w:szCs w:val="20"/>
                <w:vertAlign w:val="subscript"/>
              </w:rPr>
              <w:t>TF.</w:t>
            </w:r>
          </w:p>
          <w:p w14:paraId="43E6AD91" w14:textId="77777777" w:rsidR="000E5B94" w:rsidRDefault="00A353A5">
            <w:pPr>
              <w:rPr>
                <w:sz w:val="20"/>
                <w:szCs w:val="20"/>
              </w:rPr>
            </w:pPr>
            <w:r>
              <w:rPr>
                <w:sz w:val="20"/>
                <w:szCs w:val="20"/>
                <w:lang w:eastAsia="zh-CN"/>
              </w:rPr>
              <w:t xml:space="preserve">For Option 5, </w:t>
            </w:r>
            <w:r>
              <w:rPr>
                <w:sz w:val="20"/>
                <w:szCs w:val="20"/>
              </w:rPr>
              <w:t>Δ</w:t>
            </w:r>
            <w:r>
              <w:rPr>
                <w:sz w:val="20"/>
                <w:szCs w:val="20"/>
                <w:vertAlign w:val="subscript"/>
              </w:rPr>
              <w:t>TF</w:t>
            </w:r>
            <w:r>
              <w:rPr>
                <w:sz w:val="20"/>
                <w:szCs w:val="20"/>
              </w:rPr>
              <w:t xml:space="preserve"> = 7.2545 dB.</w:t>
            </w:r>
          </w:p>
          <w:p w14:paraId="43E6AD92" w14:textId="77777777" w:rsidR="000E5B94" w:rsidRDefault="00A353A5">
            <w:pPr>
              <w:rPr>
                <w:sz w:val="20"/>
                <w:szCs w:val="20"/>
                <w:lang w:eastAsia="zh-CN"/>
              </w:rPr>
            </w:pPr>
            <w:r>
              <w:rPr>
                <w:sz w:val="20"/>
                <w:szCs w:val="20"/>
                <w:lang w:eastAsia="zh-CN"/>
              </w:rPr>
              <w:lastRenderedPageBreak/>
              <w:t xml:space="preserve">An equation-based solution as Option 1 and Option 5 provides a single </w:t>
            </w:r>
            <w:r>
              <w:rPr>
                <w:sz w:val="20"/>
                <w:szCs w:val="20"/>
              </w:rPr>
              <w:t>Δ</w:t>
            </w:r>
            <w:r>
              <w:rPr>
                <w:sz w:val="20"/>
                <w:szCs w:val="20"/>
                <w:vertAlign w:val="subscript"/>
              </w:rPr>
              <w:t>TF</w:t>
            </w:r>
            <w:r>
              <w:rPr>
                <w:sz w:val="20"/>
                <w:szCs w:val="20"/>
                <w:lang w:eastAsia="zh-CN"/>
              </w:rPr>
              <w:t xml:space="preserve"> value. Thus, we think that is probably better to have more flexibility through a </w:t>
            </w:r>
            <w:r>
              <w:rPr>
                <w:sz w:val="20"/>
                <w:szCs w:val="20"/>
              </w:rPr>
              <w:t>Δ</w:t>
            </w:r>
            <w:r>
              <w:rPr>
                <w:sz w:val="20"/>
                <w:szCs w:val="20"/>
                <w:vertAlign w:val="subscript"/>
              </w:rPr>
              <w:t>TF</w:t>
            </w:r>
            <w:r>
              <w:rPr>
                <w:sz w:val="20"/>
                <w:szCs w:val="20"/>
                <w:lang w:eastAsia="zh-CN"/>
              </w:rPr>
              <w:t xml:space="preserve"> configured via HL (e.g., Option 4), where </w:t>
            </w:r>
            <w:r>
              <w:rPr>
                <w:sz w:val="20"/>
                <w:szCs w:val="20"/>
              </w:rPr>
              <w:t>Δ</w:t>
            </w:r>
            <w:r>
              <w:rPr>
                <w:sz w:val="20"/>
                <w:szCs w:val="20"/>
                <w:vertAlign w:val="subscript"/>
              </w:rPr>
              <w:t>TF</w:t>
            </w:r>
            <w:r>
              <w:rPr>
                <w:sz w:val="20"/>
                <w:szCs w:val="20"/>
                <w:lang w:eastAsia="zh-CN"/>
              </w:rPr>
              <w:t xml:space="preserve"> is selected from among a set of possible values in a set. For example:</w:t>
            </w:r>
          </w:p>
          <w:p w14:paraId="43E6AD93" w14:textId="77777777" w:rsidR="000E5B94" w:rsidRDefault="00A353A5">
            <w:pPr>
              <w:pStyle w:val="af7"/>
              <w:rPr>
                <w:rFonts w:ascii="Times New Roman" w:hAnsi="Times New Roman" w:cs="Times New Roman"/>
                <w:sz w:val="20"/>
                <w:szCs w:val="20"/>
              </w:rPr>
            </w:pPr>
            <w:r>
              <w:rPr>
                <w:rFonts w:ascii="Times New Roman" w:hAnsi="Times New Roman" w:cs="Times New Roman"/>
                <w:sz w:val="20"/>
                <w:szCs w:val="20"/>
              </w:rPr>
              <w:t>Δ</w:t>
            </w:r>
            <w:r>
              <w:rPr>
                <w:rFonts w:ascii="Times New Roman" w:hAnsi="Times New Roman" w:cs="Times New Roman"/>
                <w:sz w:val="20"/>
                <w:szCs w:val="20"/>
                <w:vertAlign w:val="subscript"/>
              </w:rPr>
              <w:t>TF</w:t>
            </w:r>
            <w:r>
              <w:rPr>
                <w:rFonts w:ascii="Times New Roman" w:hAnsi="Times New Roman" w:cs="Times New Roman"/>
                <w:sz w:val="20"/>
                <w:szCs w:val="20"/>
              </w:rPr>
              <w:t xml:space="preserve"> = {A</w:t>
            </w:r>
            <w:r>
              <w:rPr>
                <w:rFonts w:ascii="Times New Roman" w:hAnsi="Times New Roman" w:cs="Times New Roman"/>
                <w:i/>
                <w:iCs/>
                <w:sz w:val="20"/>
                <w:szCs w:val="20"/>
              </w:rPr>
              <w:t>dB</w:t>
            </w:r>
            <w:r>
              <w:rPr>
                <w:rFonts w:ascii="Times New Roman" w:hAnsi="Times New Roman" w:cs="Times New Roman"/>
                <w:sz w:val="20"/>
                <w:szCs w:val="20"/>
              </w:rPr>
              <w:t>, B</w:t>
            </w:r>
            <w:r>
              <w:rPr>
                <w:rFonts w:ascii="Times New Roman" w:hAnsi="Times New Roman" w:cs="Times New Roman"/>
                <w:i/>
                <w:iCs/>
                <w:sz w:val="20"/>
                <w:szCs w:val="20"/>
              </w:rPr>
              <w:t>dB</w:t>
            </w:r>
            <w:r>
              <w:rPr>
                <w:rFonts w:ascii="Times New Roman" w:hAnsi="Times New Roman" w:cs="Times New Roman"/>
                <w:sz w:val="20"/>
                <w:szCs w:val="20"/>
              </w:rPr>
              <w:t>, C</w:t>
            </w:r>
            <w:r>
              <w:rPr>
                <w:rFonts w:ascii="Times New Roman" w:hAnsi="Times New Roman" w:cs="Times New Roman"/>
                <w:i/>
                <w:iCs/>
                <w:sz w:val="20"/>
                <w:szCs w:val="20"/>
              </w:rPr>
              <w:t>dB</w:t>
            </w:r>
            <w:r>
              <w:rPr>
                <w:rFonts w:ascii="Times New Roman" w:hAnsi="Times New Roman" w:cs="Times New Roman"/>
                <w:sz w:val="20"/>
                <w:szCs w:val="20"/>
              </w:rPr>
              <w:t>, D</w:t>
            </w:r>
            <w:r>
              <w:rPr>
                <w:rFonts w:ascii="Times New Roman" w:hAnsi="Times New Roman" w:cs="Times New Roman"/>
                <w:i/>
                <w:iCs/>
                <w:sz w:val="20"/>
                <w:szCs w:val="20"/>
              </w:rPr>
              <w:t>dB</w:t>
            </w:r>
            <w:r>
              <w:rPr>
                <w:rFonts w:ascii="Times New Roman" w:hAnsi="Times New Roman" w:cs="Times New Roman"/>
                <w:sz w:val="20"/>
                <w:szCs w:val="20"/>
              </w:rPr>
              <w:t>} is provided by HL parameter, and if this field is absent then 0</w:t>
            </w:r>
            <w:r>
              <w:rPr>
                <w:rFonts w:ascii="Times New Roman" w:hAnsi="Times New Roman" w:cs="Times New Roman"/>
                <w:i/>
                <w:iCs/>
                <w:sz w:val="20"/>
                <w:szCs w:val="20"/>
              </w:rPr>
              <w:t>dB</w:t>
            </w:r>
            <w:r>
              <w:rPr>
                <w:rFonts w:ascii="Times New Roman" w:hAnsi="Times New Roman" w:cs="Times New Roman"/>
                <w:sz w:val="20"/>
                <w:szCs w:val="20"/>
              </w:rPr>
              <w:t xml:space="preserve"> will be used. </w:t>
            </w:r>
          </w:p>
          <w:p w14:paraId="43E6AD94" w14:textId="77777777" w:rsidR="000E5B94" w:rsidRDefault="00A353A5">
            <w:pPr>
              <w:pStyle w:val="af7"/>
              <w:numPr>
                <w:ilvl w:val="0"/>
                <w:numId w:val="23"/>
              </w:numPr>
              <w:rPr>
                <w:rFonts w:ascii="Times New Roman" w:hAnsi="Times New Roman" w:cs="Times New Roman"/>
                <w:sz w:val="20"/>
                <w:szCs w:val="20"/>
              </w:rPr>
            </w:pPr>
            <w:r>
              <w:rPr>
                <w:rFonts w:ascii="Times New Roman" w:hAnsi="Times New Roman" w:cs="Times New Roman"/>
                <w:sz w:val="20"/>
                <w:szCs w:val="20"/>
              </w:rPr>
              <w:t>FFS: A, B, C, D.</w:t>
            </w:r>
          </w:p>
          <w:p w14:paraId="43E6AD95" w14:textId="77777777" w:rsidR="000E5B94" w:rsidRDefault="00A353A5">
            <w:pPr>
              <w:rPr>
                <w:sz w:val="20"/>
                <w:szCs w:val="20"/>
                <w:lang w:eastAsia="zh-CN"/>
              </w:rPr>
            </w:pPr>
            <w:r>
              <w:rPr>
                <w:sz w:val="20"/>
                <w:szCs w:val="20"/>
                <w:lang w:eastAsia="zh-CN"/>
              </w:rPr>
              <w:t xml:space="preserve">With the above approach, the resulting </w:t>
            </w:r>
            <w:r>
              <w:rPr>
                <w:sz w:val="20"/>
                <w:szCs w:val="20"/>
              </w:rPr>
              <w:t>Δ</w:t>
            </w:r>
            <w:r>
              <w:rPr>
                <w:sz w:val="20"/>
                <w:szCs w:val="20"/>
                <w:vertAlign w:val="subscript"/>
              </w:rPr>
              <w:t>TF</w:t>
            </w:r>
            <w:r>
              <w:rPr>
                <w:sz w:val="20"/>
                <w:szCs w:val="20"/>
                <w:lang w:eastAsia="zh-CN"/>
              </w:rPr>
              <w:t xml:space="preserve"> from e.g., Option 1, Option 5 could be included in the set, which provides flexibility.</w:t>
            </w:r>
          </w:p>
        </w:tc>
      </w:tr>
      <w:tr w:rsidR="000E5B94" w14:paraId="43E6AD99" w14:textId="77777777">
        <w:tc>
          <w:tcPr>
            <w:tcW w:w="1838" w:type="dxa"/>
          </w:tcPr>
          <w:p w14:paraId="43E6AD97" w14:textId="77777777" w:rsidR="000E5B94" w:rsidRDefault="00A353A5">
            <w:pPr>
              <w:rPr>
                <w:szCs w:val="20"/>
                <w:lang w:eastAsia="zh-CN"/>
              </w:rPr>
            </w:pPr>
            <w:r>
              <w:rPr>
                <w:szCs w:val="20"/>
                <w:lang w:eastAsia="zh-CN"/>
              </w:rPr>
              <w:lastRenderedPageBreak/>
              <w:t>Nokia, NSB</w:t>
            </w:r>
          </w:p>
        </w:tc>
        <w:tc>
          <w:tcPr>
            <w:tcW w:w="7469" w:type="dxa"/>
          </w:tcPr>
          <w:p w14:paraId="43E6AD98" w14:textId="77777777" w:rsidR="000E5B94" w:rsidRDefault="00A353A5">
            <w:pPr>
              <w:rPr>
                <w:szCs w:val="20"/>
                <w:lang w:eastAsia="zh-CN"/>
              </w:rPr>
            </w:pPr>
            <w:r>
              <w:rPr>
                <w:szCs w:val="20"/>
                <w:lang w:eastAsia="zh-CN"/>
              </w:rPr>
              <w:t>We think that a single value per MCS level defined in specifications should be sufficient. There is no need to computer the value for each allocation nor have multiple higher-layer configured values.</w:t>
            </w:r>
          </w:p>
        </w:tc>
      </w:tr>
      <w:tr w:rsidR="000E5B94" w14:paraId="43E6AD9C" w14:textId="77777777">
        <w:tc>
          <w:tcPr>
            <w:tcW w:w="1838" w:type="dxa"/>
          </w:tcPr>
          <w:p w14:paraId="43E6AD9A" w14:textId="77777777" w:rsidR="000E5B94" w:rsidRDefault="00A353A5">
            <w:pPr>
              <w:rPr>
                <w:szCs w:val="20"/>
                <w:lang w:eastAsia="zh-CN"/>
              </w:rPr>
            </w:pPr>
            <w:r>
              <w:t>Huawei, HiSilicon</w:t>
            </w:r>
          </w:p>
        </w:tc>
        <w:tc>
          <w:tcPr>
            <w:tcW w:w="7469" w:type="dxa"/>
          </w:tcPr>
          <w:p w14:paraId="43E6AD9B" w14:textId="77777777" w:rsidR="000E5B94" w:rsidRDefault="00A353A5">
            <w:r>
              <w:t xml:space="preserve">The specific value is calculated based on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t xml:space="preserve"> 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eastAsia="zh-CN"/>
              </w:rPr>
              <w:t>.</w:t>
            </w:r>
            <w:r>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t>.</w:t>
            </w:r>
            <w:r>
              <w:rPr>
                <w:rFonts w:hint="eastAsia"/>
              </w:rPr>
              <w:t xml:space="preserv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rPr>
              <w:t xml:space="preserve"> is given by higher layer parameter </w:t>
            </w:r>
            <w:r>
              <w:rPr>
                <w:i/>
              </w:rPr>
              <w:t>deltaMCS-Enabled</w:t>
            </w:r>
            <w: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t xml:space="preserve"> where K is the code block size.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hint="eastAsia"/>
                <w:lang w:eastAsia="zh-CN"/>
              </w:rPr>
              <w:t xml:space="preserve"> </w:t>
            </w:r>
            <w:r>
              <w:rPr>
                <w:lang w:eastAsia="zh-CN"/>
              </w:rPr>
              <w:t>is the number of REs for NPUSCH.</w:t>
            </w:r>
          </w:p>
        </w:tc>
      </w:tr>
      <w:tr w:rsidR="000E5B94" w14:paraId="43E6AD9F" w14:textId="77777777">
        <w:tc>
          <w:tcPr>
            <w:tcW w:w="1838" w:type="dxa"/>
          </w:tcPr>
          <w:p w14:paraId="43E6AD9D" w14:textId="77777777" w:rsidR="000E5B94" w:rsidRDefault="00A353A5">
            <w:pPr>
              <w:rPr>
                <w:lang w:eastAsia="zh-CN"/>
              </w:rPr>
            </w:pPr>
            <w:r>
              <w:rPr>
                <w:rFonts w:hint="eastAsia"/>
                <w:lang w:eastAsia="zh-CN"/>
              </w:rPr>
              <w:t>ZTE, Sanechips</w:t>
            </w:r>
          </w:p>
        </w:tc>
        <w:tc>
          <w:tcPr>
            <w:tcW w:w="7469" w:type="dxa"/>
          </w:tcPr>
          <w:p w14:paraId="43E6AD9E" w14:textId="77777777" w:rsidR="000E5B94" w:rsidRDefault="00A353A5">
            <w:pPr>
              <w:rPr>
                <w:lang w:eastAsia="zh-CN"/>
              </w:rPr>
            </w:pPr>
            <w:r>
              <w:rPr>
                <w:rFonts w:hint="eastAsia"/>
                <w:lang w:eastAsia="zh-CN"/>
              </w:rPr>
              <w:t xml:space="preserve">A repurposed field with 4 bits can be used for TPC command. There are enough states to include all </w:t>
            </w:r>
            <w:r>
              <w:t>power offset</w:t>
            </w:r>
            <w:r>
              <w:rPr>
                <w:rFonts w:hint="eastAsia"/>
                <w:lang w:eastAsia="zh-CN"/>
              </w:rPr>
              <w:t xml:space="preserve"> determined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lang w:eastAsia="zh-CN"/>
              </w:rPr>
              <w:t xml:space="preserve">We do not see any benefits to adopt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lang w:eastAsia="zh-CN"/>
              </w:rPr>
              <w:t>, instead of dynamic TPC control.</w:t>
            </w:r>
          </w:p>
        </w:tc>
      </w:tr>
    </w:tbl>
    <w:p w14:paraId="43E6ADA0" w14:textId="77777777" w:rsidR="000E5B94" w:rsidRDefault="000E5B94">
      <w:pPr>
        <w:autoSpaceDE/>
        <w:autoSpaceDN/>
        <w:adjustRightInd/>
        <w:snapToGrid/>
        <w:spacing w:after="0"/>
        <w:rPr>
          <w:b/>
          <w:szCs w:val="21"/>
          <w:lang w:eastAsia="zh-CN"/>
        </w:rPr>
      </w:pPr>
    </w:p>
    <w:p w14:paraId="43E6ADA1" w14:textId="77777777" w:rsidR="000E5B94" w:rsidRDefault="000E5B94">
      <w:pPr>
        <w:autoSpaceDE/>
        <w:autoSpaceDN/>
        <w:adjustRightInd/>
        <w:snapToGrid/>
        <w:spacing w:after="0"/>
        <w:rPr>
          <w:b/>
          <w:szCs w:val="21"/>
          <w:lang w:eastAsia="zh-CN"/>
        </w:rPr>
      </w:pPr>
    </w:p>
    <w:p w14:paraId="43E6ADA2" w14:textId="77777777" w:rsidR="000E5B94" w:rsidRDefault="00A353A5">
      <w:pPr>
        <w:pStyle w:val="2"/>
        <w:rPr>
          <w:lang w:eastAsia="zh-CN"/>
        </w:rPr>
      </w:pPr>
      <w:r>
        <w:rPr>
          <w:lang w:eastAsia="zh-CN"/>
        </w:rPr>
        <w:t>Channel quality reporting</w:t>
      </w:r>
    </w:p>
    <w:p w14:paraId="43E6ADA3" w14:textId="77777777" w:rsidR="000E5B94" w:rsidRDefault="000E5B94">
      <w:pPr>
        <w:autoSpaceDE/>
        <w:autoSpaceDN/>
        <w:adjustRightInd/>
        <w:snapToGrid/>
        <w:spacing w:after="0"/>
        <w:rPr>
          <w:b/>
          <w:szCs w:val="21"/>
          <w:lang w:eastAsia="zh-CN"/>
        </w:rPr>
      </w:pPr>
    </w:p>
    <w:p w14:paraId="43E6ADA4" w14:textId="77777777" w:rsidR="000E5B94" w:rsidRDefault="00A353A5">
      <w:pPr>
        <w:pStyle w:val="30"/>
      </w:pPr>
      <w:r>
        <w:rPr>
          <w:lang w:eastAsia="zh-CN"/>
        </w:rPr>
        <w:t>Issue 5: Channel quality reporting</w:t>
      </w:r>
    </w:p>
    <w:p w14:paraId="43E6ADA5" w14:textId="77777777" w:rsidR="000E5B94" w:rsidRDefault="00A353A5">
      <w:pPr>
        <w:spacing w:line="240" w:lineRule="auto"/>
      </w:pPr>
      <w:r>
        <w:rPr>
          <w:rFonts w:hint="eastAsia"/>
        </w:rPr>
        <w:t>As most companies propose to not support channel quality report in Msg3 in connected mode, the following is pr</w:t>
      </w:r>
      <w:r>
        <w:t>oposed:</w:t>
      </w:r>
    </w:p>
    <w:p w14:paraId="43E6ADA6" w14:textId="77777777" w:rsidR="000E5B94" w:rsidRDefault="00A353A5">
      <w:pPr>
        <w:spacing w:line="240" w:lineRule="auto"/>
      </w:pPr>
      <w:r>
        <w:rPr>
          <w:b/>
        </w:rPr>
        <w:t>Proposal 8 (conclusion): The channel quality report is not supported in Msg3 in connected mode in Rel-17.</w:t>
      </w:r>
    </w:p>
    <w:p w14:paraId="43E6ADA7" w14:textId="77777777" w:rsidR="000E5B94" w:rsidRDefault="00A353A5">
      <w:pPr>
        <w:spacing w:line="240" w:lineRule="auto"/>
      </w:pPr>
      <w:r>
        <w:t>On the CQI table for downlink 16-QAM, 4 companies (Nokia, NSB, Lenovo, Moto) prefer option 1, 1 company (Ericsson) prefers option 2, and 7 companies (Huawei, HiSilicon, Nokia, NSB, ZTE, Sanechips, MTK) prefer option 3.</w:t>
      </w:r>
    </w:p>
    <w:p w14:paraId="43E6ADA8" w14:textId="77777777" w:rsidR="000E5B94" w:rsidRDefault="00A353A5">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43E6ADA9" w14:textId="77777777" w:rsidR="000E5B94" w:rsidRDefault="00A353A5">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43E6ADAA" w14:textId="77777777" w:rsidR="000E5B94" w:rsidRDefault="00A353A5">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14:paraId="43E6ADAB" w14:textId="77777777" w:rsidR="000E5B94" w:rsidRDefault="00A353A5">
      <w:pPr>
        <w:spacing w:line="240" w:lineRule="auto"/>
      </w:pPr>
      <w:r>
        <w:t>For the majority view (option 3), the concerns can be easily addressed by a Rel-17 RRC parameter. If it can be resolved, the following is proposed to move forward based on majority view:</w:t>
      </w:r>
    </w:p>
    <w:p w14:paraId="43E6ADAC" w14:textId="77777777" w:rsidR="000E5B94" w:rsidRDefault="00A353A5">
      <w:pPr>
        <w:spacing w:line="240" w:lineRule="auto"/>
      </w:pPr>
      <w:r>
        <w:rPr>
          <w:b/>
        </w:rPr>
        <w:t>Proposal 9: For downlink 16-QAM, a new CQI table is defined based on the table 7.2.3-3 in TS 36.213 as a starting point.</w:t>
      </w:r>
    </w:p>
    <w:p w14:paraId="43E6ADAD" w14:textId="77777777" w:rsidR="000E5B94" w:rsidRDefault="00A353A5">
      <w:pPr>
        <w:spacing w:line="240" w:lineRule="auto"/>
      </w:pPr>
      <w:r>
        <w:rPr>
          <w:rFonts w:hint="eastAsia"/>
        </w:rPr>
        <w:t>P</w:t>
      </w:r>
      <w:r>
        <w:t>lease input your comments for the above proposals:</w:t>
      </w:r>
    </w:p>
    <w:tbl>
      <w:tblPr>
        <w:tblStyle w:val="af1"/>
        <w:tblW w:w="0" w:type="auto"/>
        <w:tblLook w:val="04A0" w:firstRow="1" w:lastRow="0" w:firstColumn="1" w:lastColumn="0" w:noHBand="0" w:noVBand="1"/>
      </w:tblPr>
      <w:tblGrid>
        <w:gridCol w:w="1838"/>
        <w:gridCol w:w="7469"/>
      </w:tblGrid>
      <w:tr w:rsidR="000E5B94" w14:paraId="43E6ADB0" w14:textId="77777777">
        <w:tc>
          <w:tcPr>
            <w:tcW w:w="1838" w:type="dxa"/>
          </w:tcPr>
          <w:p w14:paraId="43E6ADAE" w14:textId="77777777" w:rsidR="000E5B94" w:rsidRDefault="00A353A5">
            <w:pPr>
              <w:rPr>
                <w:szCs w:val="20"/>
              </w:rPr>
            </w:pPr>
            <w:r>
              <w:rPr>
                <w:rFonts w:hint="eastAsia"/>
                <w:szCs w:val="20"/>
              </w:rPr>
              <w:t>Comp</w:t>
            </w:r>
            <w:r>
              <w:rPr>
                <w:szCs w:val="20"/>
              </w:rPr>
              <w:t>anies</w:t>
            </w:r>
          </w:p>
        </w:tc>
        <w:tc>
          <w:tcPr>
            <w:tcW w:w="7469" w:type="dxa"/>
          </w:tcPr>
          <w:p w14:paraId="43E6ADAF" w14:textId="77777777" w:rsidR="000E5B94" w:rsidRDefault="00A353A5">
            <w:pPr>
              <w:rPr>
                <w:szCs w:val="20"/>
              </w:rPr>
            </w:pPr>
            <w:r>
              <w:rPr>
                <w:rFonts w:hint="eastAsia"/>
                <w:szCs w:val="20"/>
              </w:rPr>
              <w:t>Comments</w:t>
            </w:r>
          </w:p>
        </w:tc>
      </w:tr>
      <w:tr w:rsidR="000E5B94" w14:paraId="43E6ADB3" w14:textId="77777777">
        <w:tc>
          <w:tcPr>
            <w:tcW w:w="1838" w:type="dxa"/>
          </w:tcPr>
          <w:p w14:paraId="43E6ADB1" w14:textId="77777777" w:rsidR="000E5B94" w:rsidRDefault="00A353A5">
            <w:r>
              <w:lastRenderedPageBreak/>
              <w:t>Huawei, HiSilicon</w:t>
            </w:r>
          </w:p>
        </w:tc>
        <w:tc>
          <w:tcPr>
            <w:tcW w:w="7469" w:type="dxa"/>
          </w:tcPr>
          <w:p w14:paraId="43E6ADB2" w14:textId="77777777" w:rsidR="000E5B94" w:rsidRDefault="00A353A5">
            <w:r>
              <w:rPr>
                <w:rFonts w:hint="eastAsia"/>
              </w:rPr>
              <w:t>W</w:t>
            </w:r>
            <w:r>
              <w:t xml:space="preserve">e are OK with proposal 8 and proposal 9. </w:t>
            </w:r>
          </w:p>
        </w:tc>
      </w:tr>
      <w:tr w:rsidR="000E5B94" w14:paraId="43E6ADB7" w14:textId="77777777">
        <w:tc>
          <w:tcPr>
            <w:tcW w:w="1838" w:type="dxa"/>
          </w:tcPr>
          <w:p w14:paraId="43E6ADB4" w14:textId="77777777" w:rsidR="000E5B94" w:rsidRDefault="00A353A5">
            <w:pPr>
              <w:rPr>
                <w:szCs w:val="20"/>
              </w:rPr>
            </w:pPr>
            <w:r>
              <w:rPr>
                <w:rFonts w:asciiTheme="minorHAnsi" w:hAnsiTheme="minorHAnsi" w:cstheme="minorHAnsi"/>
                <w:szCs w:val="20"/>
                <w:lang w:eastAsia="zh-CN"/>
              </w:rPr>
              <w:t>Ericsson</w:t>
            </w:r>
          </w:p>
        </w:tc>
        <w:tc>
          <w:tcPr>
            <w:tcW w:w="7469" w:type="dxa"/>
          </w:tcPr>
          <w:p w14:paraId="43E6ADB5" w14:textId="77777777" w:rsidR="000E5B94" w:rsidRDefault="00A353A5">
            <w:pPr>
              <w:pStyle w:val="af7"/>
              <w:numPr>
                <w:ilvl w:val="0"/>
                <w:numId w:val="15"/>
              </w:numPr>
            </w:pPr>
            <w:r>
              <w:t>Proposal 8: Ok.</w:t>
            </w:r>
          </w:p>
          <w:p w14:paraId="43E6ADB6" w14:textId="77777777" w:rsidR="000E5B94" w:rsidRDefault="00A353A5">
            <w:pPr>
              <w:pStyle w:val="af7"/>
              <w:numPr>
                <w:ilvl w:val="0"/>
                <w:numId w:val="15"/>
              </w:numPr>
            </w:pPr>
            <w:r>
              <w:t>Proposal 9: We are not ok with it, mainly because of the no backward compatibility from option 1 and option 3.</w:t>
            </w:r>
          </w:p>
        </w:tc>
      </w:tr>
      <w:tr w:rsidR="000E5B94" w14:paraId="43E6ADBF" w14:textId="77777777">
        <w:tc>
          <w:tcPr>
            <w:tcW w:w="1838" w:type="dxa"/>
          </w:tcPr>
          <w:p w14:paraId="43E6ADB8" w14:textId="77777777" w:rsidR="000E5B94" w:rsidRDefault="00A353A5">
            <w:pPr>
              <w:rPr>
                <w:szCs w:val="20"/>
                <w:lang w:eastAsia="zh-CN"/>
              </w:rPr>
            </w:pPr>
            <w:r>
              <w:rPr>
                <w:rFonts w:hint="eastAsia"/>
                <w:szCs w:val="20"/>
                <w:lang w:eastAsia="zh-CN"/>
              </w:rPr>
              <w:t>L</w:t>
            </w:r>
            <w:r>
              <w:rPr>
                <w:szCs w:val="20"/>
                <w:lang w:eastAsia="zh-CN"/>
              </w:rPr>
              <w:t>enovo, MotoM</w:t>
            </w:r>
          </w:p>
        </w:tc>
        <w:tc>
          <w:tcPr>
            <w:tcW w:w="7469" w:type="dxa"/>
          </w:tcPr>
          <w:p w14:paraId="43E6ADB9" w14:textId="77777777" w:rsidR="000E5B94" w:rsidRDefault="00A353A5">
            <w:pPr>
              <w:rPr>
                <w:szCs w:val="20"/>
                <w:lang w:eastAsia="zh-CN"/>
              </w:rPr>
            </w:pPr>
            <w:r>
              <w:rPr>
                <w:szCs w:val="20"/>
                <w:lang w:eastAsia="zh-CN"/>
              </w:rPr>
              <w:t>We are OK with proposal 8</w:t>
            </w:r>
          </w:p>
          <w:p w14:paraId="43E6ADBA" w14:textId="77777777" w:rsidR="000E5B94" w:rsidRDefault="00A353A5">
            <w:pPr>
              <w:rPr>
                <w:szCs w:val="20"/>
                <w:lang w:eastAsia="zh-CN"/>
              </w:rPr>
            </w:pPr>
            <w:r>
              <w:rPr>
                <w:rFonts w:hint="eastAsia"/>
                <w:szCs w:val="20"/>
                <w:lang w:eastAsia="zh-CN"/>
              </w:rPr>
              <w:t>F</w:t>
            </w:r>
            <w:r>
              <w:rPr>
                <w:szCs w:val="20"/>
                <w:lang w:eastAsia="zh-CN"/>
              </w:rPr>
              <w:t>or proposal 9, we have some concern because it is not aligned with the WID</w:t>
            </w:r>
          </w:p>
          <w:p w14:paraId="43E6ADBB" w14:textId="77777777" w:rsidR="000E5B94" w:rsidRDefault="00A353A5">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43E6ADBC" w14:textId="77777777" w:rsidR="000E5B94" w:rsidRDefault="00A353A5">
            <w:pPr>
              <w:pStyle w:val="af7"/>
              <w:numPr>
                <w:ilvl w:val="0"/>
                <w:numId w:val="11"/>
              </w:numPr>
              <w:snapToGrid w:val="0"/>
              <w:spacing w:line="240" w:lineRule="auto"/>
              <w:ind w:leftChars="36" w:left="439"/>
              <w:jc w:val="left"/>
              <w:rPr>
                <w:rFonts w:ascii="Times New Roman" w:hAnsi="Times New Roman"/>
                <w:bCs/>
                <w:sz w:val="20"/>
                <w:szCs w:val="20"/>
              </w:rPr>
            </w:pPr>
            <w:r>
              <w:rPr>
                <w:rFonts w:ascii="Times New Roman" w:eastAsia="等线" w:hAnsi="Times New Roman"/>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eastAsia="等线" w:hAnsi="Times New Roman"/>
                <w:sz w:val="20"/>
                <w:szCs w:val="20"/>
              </w:rPr>
              <w:t xml:space="preserve"> [NB-IoT] [RAN1, RAN4]</w:t>
            </w:r>
          </w:p>
          <w:p w14:paraId="43E6ADBD" w14:textId="77777777" w:rsidR="000E5B94" w:rsidRDefault="00A353A5">
            <w:pPr>
              <w:pStyle w:val="af7"/>
              <w:numPr>
                <w:ilvl w:val="1"/>
                <w:numId w:val="11"/>
              </w:numPr>
              <w:snapToGrid w:val="0"/>
              <w:spacing w:line="240" w:lineRule="auto"/>
              <w:ind w:left="785"/>
              <w:jc w:val="left"/>
              <w:rPr>
                <w:rFonts w:ascii="Times New Roman" w:hAnsi="Times New Roman"/>
                <w:bCs/>
                <w:sz w:val="20"/>
                <w:szCs w:val="20"/>
              </w:rPr>
            </w:pPr>
            <w:r>
              <w:rPr>
                <w:rFonts w:ascii="Times New Roman" w:eastAsia="等线" w:hAnsi="Times New Roman"/>
                <w:sz w:val="20"/>
                <w:szCs w:val="20"/>
              </w:rPr>
              <w:t xml:space="preserve">Extend the NB-IoT channel quality reporting </w:t>
            </w:r>
            <w:r>
              <w:rPr>
                <w:rFonts w:ascii="Times New Roman" w:eastAsia="等线" w:hAnsi="Times New Roman"/>
                <w:sz w:val="20"/>
                <w:szCs w:val="20"/>
                <w:highlight w:val="yellow"/>
              </w:rPr>
              <w:t>based on the framework of Rel-14—16</w:t>
            </w:r>
            <w:r>
              <w:rPr>
                <w:rFonts w:ascii="Times New Roman" w:eastAsia="等线" w:hAnsi="Times New Roman"/>
                <w:sz w:val="20"/>
                <w:szCs w:val="20"/>
              </w:rPr>
              <w:t xml:space="preserve">, to support 16-QAM in DL. [NB-IoT] [RAN2, RAN1, RAN4] </w:t>
            </w:r>
          </w:p>
          <w:p w14:paraId="43E6ADBE" w14:textId="77777777" w:rsidR="000E5B94" w:rsidRDefault="000E5B94">
            <w:pPr>
              <w:rPr>
                <w:szCs w:val="20"/>
                <w:lang w:eastAsia="zh-CN"/>
              </w:rPr>
            </w:pPr>
          </w:p>
        </w:tc>
      </w:tr>
      <w:tr w:rsidR="000E5B94" w14:paraId="43E6ADC2" w14:textId="77777777">
        <w:tc>
          <w:tcPr>
            <w:tcW w:w="1838" w:type="dxa"/>
          </w:tcPr>
          <w:p w14:paraId="43E6ADC0" w14:textId="77777777" w:rsidR="000E5B94" w:rsidRDefault="00A353A5">
            <w:pPr>
              <w:rPr>
                <w:szCs w:val="20"/>
                <w:lang w:eastAsia="zh-CN"/>
              </w:rPr>
            </w:pPr>
            <w:r>
              <w:rPr>
                <w:rFonts w:hint="eastAsia"/>
                <w:szCs w:val="20"/>
                <w:lang w:eastAsia="zh-CN"/>
              </w:rPr>
              <w:t>MTK</w:t>
            </w:r>
          </w:p>
        </w:tc>
        <w:tc>
          <w:tcPr>
            <w:tcW w:w="7469" w:type="dxa"/>
          </w:tcPr>
          <w:p w14:paraId="43E6ADC1" w14:textId="77777777" w:rsidR="000E5B94" w:rsidRDefault="00A353A5">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rsidR="000E5B94" w14:paraId="43E6ADC5" w14:textId="77777777">
        <w:tc>
          <w:tcPr>
            <w:tcW w:w="1838" w:type="dxa"/>
          </w:tcPr>
          <w:p w14:paraId="43E6ADC3" w14:textId="77777777" w:rsidR="000E5B94" w:rsidRDefault="00A353A5">
            <w:pPr>
              <w:rPr>
                <w:szCs w:val="20"/>
                <w:lang w:eastAsia="zh-CN"/>
              </w:rPr>
            </w:pPr>
            <w:r>
              <w:rPr>
                <w:rFonts w:hint="eastAsia"/>
                <w:szCs w:val="20"/>
                <w:lang w:eastAsia="zh-CN"/>
              </w:rPr>
              <w:t>ZTE, Sanechips</w:t>
            </w:r>
          </w:p>
        </w:tc>
        <w:tc>
          <w:tcPr>
            <w:tcW w:w="7469" w:type="dxa"/>
          </w:tcPr>
          <w:p w14:paraId="43E6ADC4" w14:textId="77777777" w:rsidR="000E5B94" w:rsidRDefault="00A353A5">
            <w:pPr>
              <w:tabs>
                <w:tab w:val="left" w:pos="3130"/>
              </w:tabs>
              <w:rPr>
                <w:szCs w:val="20"/>
                <w:lang w:eastAsia="zh-CN"/>
              </w:rPr>
            </w:pPr>
            <w:r>
              <w:rPr>
                <w:rFonts w:hint="eastAsia"/>
                <w:szCs w:val="20"/>
                <w:lang w:eastAsia="zh-CN"/>
              </w:rPr>
              <w:t>Agree with Proposal 8 and 9.</w:t>
            </w:r>
          </w:p>
        </w:tc>
      </w:tr>
      <w:tr w:rsidR="000E5B94" w14:paraId="43E6ADC8" w14:textId="77777777">
        <w:trPr>
          <w:trHeight w:val="456"/>
        </w:trPr>
        <w:tc>
          <w:tcPr>
            <w:tcW w:w="1838" w:type="dxa"/>
          </w:tcPr>
          <w:p w14:paraId="43E6ADC6" w14:textId="77777777" w:rsidR="000E5B94" w:rsidRDefault="00A353A5">
            <w:pPr>
              <w:rPr>
                <w:szCs w:val="20"/>
                <w:lang w:eastAsia="zh-CN"/>
              </w:rPr>
            </w:pPr>
            <w:r>
              <w:rPr>
                <w:szCs w:val="20"/>
                <w:lang w:eastAsia="zh-CN"/>
              </w:rPr>
              <w:t>Nokia, NSB</w:t>
            </w:r>
          </w:p>
        </w:tc>
        <w:tc>
          <w:tcPr>
            <w:tcW w:w="7469" w:type="dxa"/>
          </w:tcPr>
          <w:p w14:paraId="43E6ADC7" w14:textId="77777777" w:rsidR="000E5B94" w:rsidRDefault="00A353A5">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r w:rsidR="000E5B94" w14:paraId="43E6ADCB" w14:textId="77777777">
        <w:tc>
          <w:tcPr>
            <w:tcW w:w="1838" w:type="dxa"/>
          </w:tcPr>
          <w:p w14:paraId="43E6ADC9" w14:textId="77777777" w:rsidR="000E5B94" w:rsidRDefault="000E5B94">
            <w:pPr>
              <w:rPr>
                <w:szCs w:val="20"/>
                <w:lang w:eastAsia="zh-CN"/>
              </w:rPr>
            </w:pPr>
          </w:p>
        </w:tc>
        <w:tc>
          <w:tcPr>
            <w:tcW w:w="7469" w:type="dxa"/>
          </w:tcPr>
          <w:p w14:paraId="43E6ADCA" w14:textId="77777777" w:rsidR="000E5B94" w:rsidRDefault="000E5B94">
            <w:pPr>
              <w:tabs>
                <w:tab w:val="left" w:pos="3130"/>
              </w:tabs>
              <w:rPr>
                <w:szCs w:val="20"/>
                <w:lang w:eastAsia="zh-CN"/>
              </w:rPr>
            </w:pPr>
          </w:p>
        </w:tc>
      </w:tr>
      <w:tr w:rsidR="000E5B94" w14:paraId="43E6ADCE" w14:textId="77777777">
        <w:tc>
          <w:tcPr>
            <w:tcW w:w="1838" w:type="dxa"/>
          </w:tcPr>
          <w:p w14:paraId="43E6ADCC" w14:textId="77777777" w:rsidR="000E5B94" w:rsidRDefault="000E5B94">
            <w:pPr>
              <w:rPr>
                <w:szCs w:val="20"/>
                <w:lang w:eastAsia="zh-CN"/>
              </w:rPr>
            </w:pPr>
          </w:p>
        </w:tc>
        <w:tc>
          <w:tcPr>
            <w:tcW w:w="7469" w:type="dxa"/>
          </w:tcPr>
          <w:p w14:paraId="43E6ADCD" w14:textId="77777777" w:rsidR="000E5B94" w:rsidRDefault="000E5B94">
            <w:pPr>
              <w:tabs>
                <w:tab w:val="left" w:pos="3130"/>
              </w:tabs>
              <w:rPr>
                <w:szCs w:val="20"/>
                <w:lang w:eastAsia="zh-CN"/>
              </w:rPr>
            </w:pPr>
          </w:p>
        </w:tc>
      </w:tr>
      <w:tr w:rsidR="000E5B94" w14:paraId="43E6ADD1" w14:textId="77777777">
        <w:tc>
          <w:tcPr>
            <w:tcW w:w="1838" w:type="dxa"/>
          </w:tcPr>
          <w:p w14:paraId="43E6ADCF" w14:textId="77777777" w:rsidR="000E5B94" w:rsidRDefault="000E5B94">
            <w:pPr>
              <w:rPr>
                <w:szCs w:val="20"/>
                <w:lang w:eastAsia="zh-CN"/>
              </w:rPr>
            </w:pPr>
          </w:p>
        </w:tc>
        <w:tc>
          <w:tcPr>
            <w:tcW w:w="7469" w:type="dxa"/>
          </w:tcPr>
          <w:p w14:paraId="43E6ADD0" w14:textId="77777777" w:rsidR="000E5B94" w:rsidRDefault="000E5B94">
            <w:pPr>
              <w:tabs>
                <w:tab w:val="left" w:pos="3130"/>
              </w:tabs>
              <w:rPr>
                <w:szCs w:val="20"/>
                <w:lang w:eastAsia="zh-CN"/>
              </w:rPr>
            </w:pPr>
          </w:p>
        </w:tc>
      </w:tr>
    </w:tbl>
    <w:p w14:paraId="43E6ADD2" w14:textId="77777777" w:rsidR="000E5B94" w:rsidRDefault="000E5B94"/>
    <w:p w14:paraId="43E6ADD3" w14:textId="77777777" w:rsidR="000E5B94" w:rsidRDefault="00A353A5">
      <w:pPr>
        <w:pStyle w:val="2"/>
        <w:rPr>
          <w:lang w:eastAsia="zh-CN"/>
        </w:rPr>
      </w:pPr>
      <w:r>
        <w:rPr>
          <w:lang w:eastAsia="zh-CN"/>
        </w:rPr>
        <w:t>Others</w:t>
      </w:r>
    </w:p>
    <w:p w14:paraId="43E6ADD4" w14:textId="77777777" w:rsidR="000E5B94" w:rsidRDefault="00A353A5">
      <w:pPr>
        <w:outlineLvl w:val="2"/>
        <w:rPr>
          <w:b/>
          <w:u w:val="single"/>
        </w:rPr>
      </w:pPr>
      <w:r>
        <w:rPr>
          <w:b/>
          <w:u w:val="single"/>
          <w:lang w:eastAsia="zh-CN"/>
        </w:rPr>
        <w:t xml:space="preserve">Issue 6: </w:t>
      </w:r>
      <w:r>
        <w:rPr>
          <w:rFonts w:hint="eastAsia"/>
          <w:b/>
          <w:u w:val="single"/>
        </w:rPr>
        <w:t>Others</w:t>
      </w:r>
    </w:p>
    <w:p w14:paraId="43E6ADD5" w14:textId="77777777" w:rsidR="000E5B94" w:rsidRDefault="00A353A5">
      <w:r>
        <w:t>Based on previous comments, there are two companies proposing to discuss the CSI reference. Therefore, the following is proposed for discussion:</w:t>
      </w:r>
    </w:p>
    <w:p w14:paraId="43E6ADD6" w14:textId="77777777" w:rsidR="000E5B94" w:rsidRDefault="00A353A5">
      <w:pPr>
        <w:rPr>
          <w:b/>
        </w:rPr>
      </w:pPr>
      <w:r>
        <w:rPr>
          <w:rFonts w:hint="eastAsia"/>
          <w:b/>
        </w:rPr>
        <w:t xml:space="preserve">Proposal 10: </w:t>
      </w:r>
      <w:r>
        <w:rPr>
          <w:b/>
          <w:szCs w:val="20"/>
        </w:rPr>
        <w:t>Define CSI reference resource to be used for 16-QAM CQI measurement.</w:t>
      </w:r>
    </w:p>
    <w:p w14:paraId="43E6ADD7" w14:textId="77777777" w:rsidR="000E5B94" w:rsidRDefault="00A353A5">
      <w:r>
        <w:t xml:space="preserve">Please input your comments to the above proposal or any other issue that can be considered for discussion in this meeting: </w:t>
      </w:r>
    </w:p>
    <w:tbl>
      <w:tblPr>
        <w:tblStyle w:val="af1"/>
        <w:tblW w:w="0" w:type="auto"/>
        <w:tblLook w:val="04A0" w:firstRow="1" w:lastRow="0" w:firstColumn="1" w:lastColumn="0" w:noHBand="0" w:noVBand="1"/>
      </w:tblPr>
      <w:tblGrid>
        <w:gridCol w:w="1838"/>
        <w:gridCol w:w="7469"/>
      </w:tblGrid>
      <w:tr w:rsidR="000E5B94" w14:paraId="43E6ADDA" w14:textId="77777777">
        <w:tc>
          <w:tcPr>
            <w:tcW w:w="1838" w:type="dxa"/>
          </w:tcPr>
          <w:p w14:paraId="43E6ADD8" w14:textId="77777777" w:rsidR="000E5B94" w:rsidRDefault="00A353A5">
            <w:pPr>
              <w:rPr>
                <w:szCs w:val="20"/>
              </w:rPr>
            </w:pPr>
            <w:r>
              <w:rPr>
                <w:rFonts w:hint="eastAsia"/>
                <w:szCs w:val="20"/>
              </w:rPr>
              <w:t>Comp</w:t>
            </w:r>
            <w:r>
              <w:rPr>
                <w:szCs w:val="20"/>
              </w:rPr>
              <w:t>anies</w:t>
            </w:r>
          </w:p>
        </w:tc>
        <w:tc>
          <w:tcPr>
            <w:tcW w:w="7469" w:type="dxa"/>
          </w:tcPr>
          <w:p w14:paraId="43E6ADD9" w14:textId="77777777" w:rsidR="000E5B94" w:rsidRDefault="00A353A5">
            <w:pPr>
              <w:rPr>
                <w:szCs w:val="20"/>
              </w:rPr>
            </w:pPr>
            <w:r>
              <w:rPr>
                <w:rFonts w:hint="eastAsia"/>
                <w:szCs w:val="20"/>
              </w:rPr>
              <w:t>Comments</w:t>
            </w:r>
          </w:p>
        </w:tc>
      </w:tr>
      <w:tr w:rsidR="000E5B94" w14:paraId="43E6ADDD" w14:textId="77777777">
        <w:tc>
          <w:tcPr>
            <w:tcW w:w="1838" w:type="dxa"/>
          </w:tcPr>
          <w:p w14:paraId="43E6ADDB" w14:textId="77777777" w:rsidR="000E5B94" w:rsidRDefault="00A353A5">
            <w:pPr>
              <w:rPr>
                <w:sz w:val="20"/>
                <w:szCs w:val="18"/>
              </w:rPr>
            </w:pPr>
            <w:r>
              <w:rPr>
                <w:sz w:val="20"/>
                <w:szCs w:val="18"/>
              </w:rPr>
              <w:t>Ericsson v010</w:t>
            </w:r>
          </w:p>
        </w:tc>
        <w:tc>
          <w:tcPr>
            <w:tcW w:w="7469" w:type="dxa"/>
          </w:tcPr>
          <w:p w14:paraId="43E6ADDC" w14:textId="77777777" w:rsidR="000E5B94" w:rsidRDefault="00A353A5">
            <w:pPr>
              <w:rPr>
                <w:sz w:val="20"/>
                <w:szCs w:val="18"/>
              </w:rPr>
            </w:pPr>
            <w:r>
              <w:rPr>
                <w:sz w:val="20"/>
                <w:szCs w:val="18"/>
              </w:rPr>
              <w:t>We need to define reference symbols to estimate CQI, NRS seems to be suitable for this purpose in NB-IoT.</w:t>
            </w:r>
          </w:p>
        </w:tc>
      </w:tr>
      <w:tr w:rsidR="000E5B94" w14:paraId="43E6ADE0" w14:textId="77777777">
        <w:tc>
          <w:tcPr>
            <w:tcW w:w="1838" w:type="dxa"/>
          </w:tcPr>
          <w:p w14:paraId="43E6ADDE" w14:textId="77777777" w:rsidR="000E5B94" w:rsidRDefault="00A353A5">
            <w:pPr>
              <w:rPr>
                <w:szCs w:val="20"/>
                <w:lang w:eastAsia="zh-CN"/>
              </w:rPr>
            </w:pPr>
            <w:r>
              <w:rPr>
                <w:szCs w:val="20"/>
                <w:lang w:eastAsia="zh-CN"/>
              </w:rPr>
              <w:t>Nokia, NSB</w:t>
            </w:r>
          </w:p>
        </w:tc>
        <w:tc>
          <w:tcPr>
            <w:tcW w:w="7469" w:type="dxa"/>
          </w:tcPr>
          <w:p w14:paraId="43E6ADDF" w14:textId="77777777" w:rsidR="000E5B94" w:rsidRDefault="00A353A5">
            <w:pPr>
              <w:pStyle w:val="a6"/>
              <w:jc w:val="left"/>
              <w:rPr>
                <w:rFonts w:eastAsia="宋体"/>
                <w:b w:val="0"/>
                <w:bCs w:val="0"/>
                <w:szCs w:val="20"/>
              </w:rPr>
            </w:pPr>
            <w:r>
              <w:rPr>
                <w:rFonts w:eastAsia="宋体"/>
                <w:b w:val="0"/>
                <w:bCs w:val="0"/>
                <w:szCs w:val="20"/>
              </w:rPr>
              <w:t>We support this proposal. It can be based on NRS with similar definition as for eMTC.</w:t>
            </w:r>
          </w:p>
        </w:tc>
      </w:tr>
      <w:tr w:rsidR="000E5B94" w14:paraId="43E6ADE3" w14:textId="77777777">
        <w:tc>
          <w:tcPr>
            <w:tcW w:w="1838" w:type="dxa"/>
          </w:tcPr>
          <w:p w14:paraId="43E6ADE1" w14:textId="77777777" w:rsidR="000E5B94" w:rsidRDefault="00A353A5">
            <w:pPr>
              <w:rPr>
                <w:szCs w:val="20"/>
                <w:lang w:eastAsia="zh-CN"/>
              </w:rPr>
            </w:pPr>
            <w:r>
              <w:rPr>
                <w:szCs w:val="20"/>
                <w:lang w:eastAsia="zh-CN"/>
              </w:rPr>
              <w:lastRenderedPageBreak/>
              <w:t>MTK</w:t>
            </w:r>
          </w:p>
        </w:tc>
        <w:tc>
          <w:tcPr>
            <w:tcW w:w="7469" w:type="dxa"/>
          </w:tcPr>
          <w:p w14:paraId="43E6ADE2" w14:textId="77777777" w:rsidR="000E5B94" w:rsidRDefault="00A353A5">
            <w:pPr>
              <w:rPr>
                <w:szCs w:val="20"/>
                <w:lang w:eastAsia="zh-CN"/>
              </w:rPr>
            </w:pPr>
            <w:r>
              <w:rPr>
                <w:szCs w:val="20"/>
                <w:lang w:eastAsia="zh-CN"/>
              </w:rPr>
              <w:t xml:space="preserve">Considering the limited resource, We think it’s better to follow legacy measurement framework (NRS based as well). Definite CSI reference resource might introduce extra latency compared to instant moving-average measurement. </w:t>
            </w:r>
          </w:p>
        </w:tc>
      </w:tr>
      <w:tr w:rsidR="000E5B94" w14:paraId="43E6ADE6" w14:textId="77777777">
        <w:tc>
          <w:tcPr>
            <w:tcW w:w="1838" w:type="dxa"/>
          </w:tcPr>
          <w:p w14:paraId="43E6ADE4" w14:textId="77777777" w:rsidR="000E5B94" w:rsidRDefault="00A353A5">
            <w:pPr>
              <w:rPr>
                <w:szCs w:val="20"/>
                <w:lang w:eastAsia="zh-CN"/>
              </w:rPr>
            </w:pPr>
            <w:r>
              <w:rPr>
                <w:rFonts w:hint="eastAsia"/>
                <w:szCs w:val="20"/>
                <w:lang w:eastAsia="zh-CN"/>
              </w:rPr>
              <w:t>H</w:t>
            </w:r>
            <w:r>
              <w:rPr>
                <w:szCs w:val="20"/>
                <w:lang w:eastAsia="zh-CN"/>
              </w:rPr>
              <w:t>uawei, HiSilicon</w:t>
            </w:r>
          </w:p>
        </w:tc>
        <w:tc>
          <w:tcPr>
            <w:tcW w:w="7469" w:type="dxa"/>
          </w:tcPr>
          <w:p w14:paraId="43E6ADE5" w14:textId="77777777" w:rsidR="000E5B94" w:rsidRDefault="00A353A5">
            <w:pPr>
              <w:rPr>
                <w:szCs w:val="20"/>
                <w:lang w:eastAsia="zh-CN"/>
              </w:rPr>
            </w:pPr>
            <w:r>
              <w:rPr>
                <w:szCs w:val="20"/>
                <w:lang w:eastAsia="zh-CN"/>
              </w:rPr>
              <w:t>In channel quality reporting in R16, no reference resource is defined for measurement in the spec. We think there is no need to define this and can follow the legacy.</w:t>
            </w:r>
          </w:p>
        </w:tc>
      </w:tr>
      <w:tr w:rsidR="000E5B94" w14:paraId="43E6ADE9" w14:textId="77777777">
        <w:tc>
          <w:tcPr>
            <w:tcW w:w="1838" w:type="dxa"/>
          </w:tcPr>
          <w:p w14:paraId="43E6ADE7" w14:textId="77777777" w:rsidR="000E5B94" w:rsidRDefault="00A353A5">
            <w:pPr>
              <w:rPr>
                <w:szCs w:val="20"/>
                <w:lang w:eastAsia="zh-CN"/>
              </w:rPr>
            </w:pPr>
            <w:r>
              <w:rPr>
                <w:rFonts w:hint="eastAsia"/>
                <w:szCs w:val="20"/>
                <w:lang w:eastAsia="zh-CN"/>
              </w:rPr>
              <w:t>ZTE, Sanechips</w:t>
            </w:r>
          </w:p>
        </w:tc>
        <w:tc>
          <w:tcPr>
            <w:tcW w:w="7469" w:type="dxa"/>
          </w:tcPr>
          <w:p w14:paraId="43E6ADE8" w14:textId="77777777" w:rsidR="000E5B94" w:rsidRDefault="00A353A5">
            <w:pPr>
              <w:spacing w:beforeLines="50" w:before="120" w:line="276" w:lineRule="auto"/>
              <w:rPr>
                <w:szCs w:val="20"/>
                <w:lang w:eastAsia="zh-CN"/>
              </w:rPr>
            </w:pPr>
            <w:r>
              <w:rPr>
                <w:rFonts w:hint="eastAsia"/>
                <w:szCs w:val="20"/>
                <w:lang w:eastAsia="zh-CN"/>
              </w:rPr>
              <w:t>In the frequency domain, the UE can only measure CQI based on one PRB where UE monitors NPDCCH and the associated NPDSCH. In the time domain, whether to use a single subframe or multiple subframes to measure CQI can be based on UE implementation. In addition, RAN1 has not defined measurement reference resource for channel quality report in Rel-14/16 NB-IoT. Thus, the measurement reference resource does not need to be specified for Rel-17 CQI report.</w:t>
            </w:r>
          </w:p>
        </w:tc>
      </w:tr>
      <w:tr w:rsidR="000E5B94" w14:paraId="43E6ADEC" w14:textId="77777777">
        <w:tc>
          <w:tcPr>
            <w:tcW w:w="1838" w:type="dxa"/>
          </w:tcPr>
          <w:p w14:paraId="43E6ADEA" w14:textId="77777777" w:rsidR="000E5B94" w:rsidRDefault="000E5B94">
            <w:pPr>
              <w:rPr>
                <w:szCs w:val="20"/>
                <w:lang w:eastAsia="zh-CN"/>
              </w:rPr>
            </w:pPr>
          </w:p>
        </w:tc>
        <w:tc>
          <w:tcPr>
            <w:tcW w:w="7469" w:type="dxa"/>
          </w:tcPr>
          <w:p w14:paraId="43E6ADEB" w14:textId="77777777" w:rsidR="000E5B94" w:rsidRDefault="000E5B94">
            <w:pPr>
              <w:spacing w:beforeLines="50" w:before="120" w:line="276" w:lineRule="auto"/>
              <w:rPr>
                <w:szCs w:val="20"/>
                <w:lang w:eastAsia="zh-CN"/>
              </w:rPr>
            </w:pPr>
          </w:p>
        </w:tc>
      </w:tr>
    </w:tbl>
    <w:p w14:paraId="43E6B13A" w14:textId="77777777" w:rsidR="000E5B94" w:rsidRDefault="000E5B94"/>
    <w:p w14:paraId="43E6B13B" w14:textId="77777777" w:rsidR="000E5B94" w:rsidRDefault="00A353A5">
      <w:pPr>
        <w:pStyle w:val="1"/>
      </w:pPr>
      <w:r>
        <w:rPr>
          <w:rFonts w:hint="eastAsia"/>
          <w:lang w:eastAsia="zh-CN"/>
        </w:rPr>
        <w:t>Summary</w:t>
      </w:r>
    </w:p>
    <w:p w14:paraId="43E6B13C" w14:textId="77777777" w:rsidR="000E5B94" w:rsidRDefault="000E5B94"/>
    <w:p w14:paraId="43E6B13D" w14:textId="77777777" w:rsidR="000E5B94" w:rsidRDefault="00A353A5">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43E6B14B" wp14:editId="43E6B14C">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43E6B13E" w14:textId="77777777" w:rsidR="000E5B94" w:rsidRDefault="00A353A5">
      <w:pPr>
        <w:pStyle w:val="af7"/>
        <w:numPr>
          <w:ilvl w:val="0"/>
          <w:numId w:val="29"/>
        </w:numPr>
        <w:spacing w:after="60"/>
        <w:rPr>
          <w:rFonts w:ascii="Times New Roman" w:hAnsi="Times New Roman" w:cs="Times New Roman"/>
          <w:sz w:val="22"/>
        </w:rPr>
      </w:pPr>
      <w:bookmarkStart w:id="3" w:name="_Ref520312828"/>
      <w:r>
        <w:rPr>
          <w:rFonts w:ascii="Times New Roman" w:hAnsi="Times New Roman" w:cs="Times New Roman"/>
          <w:sz w:val="22"/>
        </w:rPr>
        <w:t xml:space="preserve">RP-211340, “WID revision: Additional enhancements for NB-IoT and LTE-MTC”, </w:t>
      </w:r>
      <w:bookmarkEnd w:id="3"/>
      <w:r>
        <w:rPr>
          <w:rFonts w:ascii="Times New Roman" w:hAnsi="Times New Roman" w:cs="Times New Roman"/>
          <w:sz w:val="22"/>
        </w:rPr>
        <w:t>Huawei, HiSilicon, RAN#92e, E-meeting, June 2021.</w:t>
      </w:r>
    </w:p>
    <w:p w14:paraId="43E6B13F" w14:textId="77777777" w:rsidR="000E5B94" w:rsidRDefault="00A353A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R1-2106558</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3E6B140" w14:textId="77777777" w:rsidR="000E5B94" w:rsidRDefault="00A353A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R1-2106654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3E6B141" w14:textId="77777777" w:rsidR="000E5B94" w:rsidRDefault="00A353A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R1-2106758</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43E6B142" w14:textId="77777777" w:rsidR="000E5B94" w:rsidRDefault="00A353A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R1-2106847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43E6B143" w14:textId="77777777" w:rsidR="000E5B94" w:rsidRDefault="00A353A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R1-2107508</w:t>
      </w:r>
      <w:r>
        <w:rPr>
          <w:rFonts w:ascii="Times New Roman" w:hAnsi="Times New Roman" w:cs="Times New Roman"/>
          <w:sz w:val="22"/>
        </w:rPr>
        <w:tab/>
        <w:t>Support 16QAM in NB-IOT</w:t>
      </w:r>
      <w:r>
        <w:rPr>
          <w:rFonts w:ascii="Times New Roman" w:hAnsi="Times New Roman" w:cs="Times New Roman"/>
          <w:sz w:val="22"/>
        </w:rPr>
        <w:tab/>
        <w:t>MediaTek Inc.</w:t>
      </w:r>
    </w:p>
    <w:p w14:paraId="43E6B144" w14:textId="77777777" w:rsidR="000E5B94" w:rsidRDefault="00A353A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R1-2107941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43E6B145" w14:textId="77777777" w:rsidR="000E5B94" w:rsidRDefault="00A353A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R1-2108116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43E6B146" w14:textId="77777777" w:rsidR="000E5B94" w:rsidRDefault="00A353A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R1-2107684</w:t>
      </w:r>
      <w:r>
        <w:rPr>
          <w:rFonts w:ascii="Times New Roman" w:hAnsi="Times New Roman" w:cs="Times New Roman"/>
          <w:sz w:val="22"/>
        </w:rPr>
        <w:tab/>
        <w:t>Discussion on DL PAPR for 16-QAM of NB-IoT</w:t>
      </w:r>
      <w:r>
        <w:rPr>
          <w:rFonts w:ascii="Times New Roman" w:hAnsi="Times New Roman" w:cs="Times New Roman"/>
          <w:sz w:val="22"/>
        </w:rPr>
        <w:tab/>
        <w:t>Huawei, HiSilicon</w:t>
      </w:r>
    </w:p>
    <w:p w14:paraId="43E6B147" w14:textId="77777777" w:rsidR="000E5B94" w:rsidRDefault="00A353A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R1-2108118</w:t>
      </w:r>
      <w:r>
        <w:rPr>
          <w:rFonts w:ascii="Times New Roman" w:hAnsi="Times New Roman" w:cs="Times New Roman"/>
          <w:sz w:val="22"/>
        </w:rPr>
        <w:tab/>
        <w:t>On Rel-17 RRC parameters and specification impacts for LTE-M and NB-IoT</w:t>
      </w:r>
      <w:r>
        <w:rPr>
          <w:rFonts w:ascii="Times New Roman" w:hAnsi="Times New Roman" w:cs="Times New Roman"/>
          <w:sz w:val="22"/>
        </w:rPr>
        <w:tab/>
        <w:t>Ericsson</w:t>
      </w:r>
    </w:p>
    <w:p w14:paraId="43E6B148" w14:textId="77777777" w:rsidR="000E5B94" w:rsidRDefault="000E5B94">
      <w:pPr>
        <w:spacing w:after="60"/>
      </w:pPr>
    </w:p>
    <w:sectPr w:rsidR="000E5B94">
      <w:pgSz w:w="11909" w:h="16834"/>
      <w:pgMar w:top="1440" w:right="1152"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E6B14F" w16cid:durableId="24CE25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1B34A" w14:textId="77777777" w:rsidR="00DB26A5" w:rsidRDefault="00DB26A5"/>
  </w:endnote>
  <w:endnote w:type="continuationSeparator" w:id="0">
    <w:p w14:paraId="54FC8F64" w14:textId="77777777" w:rsidR="00DB26A5" w:rsidRDefault="00DB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42656" w14:textId="77777777" w:rsidR="00DB26A5" w:rsidRDefault="00DB26A5"/>
  </w:footnote>
  <w:footnote w:type="continuationSeparator" w:id="0">
    <w:p w14:paraId="5197256E" w14:textId="77777777" w:rsidR="00DB26A5" w:rsidRDefault="00DB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4207"/>
    <w:multiLevelType w:val="singleLevel"/>
    <w:tmpl w:val="FAAE4207"/>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AC0077"/>
    <w:multiLevelType w:val="multilevel"/>
    <w:tmpl w:val="12AC007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0" w15:restartNumberingAfterBreak="0">
    <w:nsid w:val="28E03A70"/>
    <w:multiLevelType w:val="singleLevel"/>
    <w:tmpl w:val="28E03A70"/>
    <w:lvl w:ilvl="0">
      <w:start w:val="16"/>
      <w:numFmt w:val="decimal"/>
      <w:suff w:val="nothing"/>
      <w:lvlText w:val="%1-"/>
      <w:lvlJc w:val="left"/>
    </w:lvl>
  </w:abstractNum>
  <w:abstractNum w:abstractNumId="11" w15:restartNumberingAfterBreak="0">
    <w:nsid w:val="30CD75A2"/>
    <w:multiLevelType w:val="multilevel"/>
    <w:tmpl w:val="30CD75A2"/>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6037B"/>
    <w:multiLevelType w:val="hybridMultilevel"/>
    <w:tmpl w:val="84262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48FFD6"/>
    <w:multiLevelType w:val="multilevel"/>
    <w:tmpl w:val="5348F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Yu Gothi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Yu Gothi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Yu Gothic"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6CA36583"/>
    <w:multiLevelType w:val="multilevel"/>
    <w:tmpl w:val="6CA365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3"/>
  </w:num>
  <w:num w:numId="4">
    <w:abstractNumId w:val="27"/>
  </w:num>
  <w:num w:numId="5">
    <w:abstractNumId w:val="14"/>
  </w:num>
  <w:num w:numId="6">
    <w:abstractNumId w:val="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17"/>
  </w:num>
  <w:num w:numId="11">
    <w:abstractNumId w:val="8"/>
  </w:num>
  <w:num w:numId="12">
    <w:abstractNumId w:val="7"/>
  </w:num>
  <w:num w:numId="13">
    <w:abstractNumId w:val="2"/>
  </w:num>
  <w:num w:numId="14">
    <w:abstractNumId w:val="11"/>
  </w:num>
  <w:num w:numId="15">
    <w:abstractNumId w:val="21"/>
  </w:num>
  <w:num w:numId="16">
    <w:abstractNumId w:val="10"/>
  </w:num>
  <w:num w:numId="17">
    <w:abstractNumId w:val="0"/>
  </w:num>
  <w:num w:numId="18">
    <w:abstractNumId w:val="6"/>
  </w:num>
  <w:num w:numId="19">
    <w:abstractNumId w:val="29"/>
  </w:num>
  <w:num w:numId="20">
    <w:abstractNumId w:val="4"/>
  </w:num>
  <w:num w:numId="21">
    <w:abstractNumId w:val="3"/>
  </w:num>
  <w:num w:numId="22">
    <w:abstractNumId w:val="15"/>
  </w:num>
  <w:num w:numId="23">
    <w:abstractNumId w:val="26"/>
  </w:num>
  <w:num w:numId="24">
    <w:abstractNumId w:val="22"/>
  </w:num>
  <w:num w:numId="25">
    <w:abstractNumId w:val="24"/>
  </w:num>
  <w:num w:numId="26">
    <w:abstractNumId w:val="5"/>
  </w:num>
  <w:num w:numId="27">
    <w:abstractNumId w:val="23"/>
  </w:num>
  <w:num w:numId="28">
    <w:abstractNumId w:val="19"/>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89F"/>
    <w:rsid w:val="002B2993"/>
    <w:rsid w:val="002B2E89"/>
    <w:rsid w:val="002B321B"/>
    <w:rsid w:val="002B35E1"/>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52C"/>
    <w:rsid w:val="005F26D2"/>
    <w:rsid w:val="005F2FB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D45"/>
    <w:rsid w:val="00C07FAC"/>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21103EE7"/>
    <w:rsid w:val="212D389C"/>
    <w:rsid w:val="2A7F2358"/>
    <w:rsid w:val="2BC92DEE"/>
    <w:rsid w:val="2EBD2946"/>
    <w:rsid w:val="31282766"/>
    <w:rsid w:val="31512AF8"/>
    <w:rsid w:val="350222C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E6AB72"/>
  <w15:docId w15:val="{1446C643-5F45-4ACD-81E8-735E11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99"/>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rFonts w:ascii="Times New Roman" w:eastAsia="宋体" w:hAnsi="Times New Roman" w:cs="Times New Roman"/>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qFormat/>
    <w:pPr>
      <w:framePr w:wrap="notBeside" w:vAnchor="page" w:hAnchor="margin" w:xAlign="center" w:y="6805"/>
      <w:widowControl w:val="0"/>
    </w:pPr>
    <w:rPr>
      <w:rFonts w:ascii="Arial" w:hAnsi="Arial" w:cs="Times New Roman"/>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hAnsi="Arial" w:cs="Times New Roman"/>
      <w:sz w:val="24"/>
      <w:lang w:val="en-GB"/>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1,列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A4233-E15D-42C2-9841-FDFA7374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5407</Words>
  <Characters>30824</Characters>
  <Application>Microsoft Office Word</Application>
  <DocSecurity>0</DocSecurity>
  <Lines>256</Lines>
  <Paragraphs>72</Paragraphs>
  <ScaleCrop>false</ScaleCrop>
  <Company>Huawei Technologies Co.,Ltd.</Company>
  <LinksUpToDate>false</LinksUpToDate>
  <CharactersWithSpaces>36159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cp:lastModifiedBy>
  <cp:revision>41</cp:revision>
  <dcterms:created xsi:type="dcterms:W3CDTF">2021-08-23T09:32:00Z</dcterms:created>
  <dcterms:modified xsi:type="dcterms:W3CDTF">2021-08-24T09:32:00Z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