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BBF2D" w14:textId="77777777" w:rsidR="00B66E0C" w:rsidRDefault="00557DA3">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R1-21xxxxx</w:t>
      </w:r>
    </w:p>
    <w:p w14:paraId="4091D439" w14:textId="77777777" w:rsidR="00B66E0C" w:rsidRDefault="00557DA3">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14:paraId="3587755C" w14:textId="77777777" w:rsidR="00B66E0C" w:rsidRDefault="00B66E0C">
      <w:pPr>
        <w:pBdr>
          <w:top w:val="single" w:sz="4" w:space="1" w:color="auto"/>
        </w:pBdr>
        <w:spacing w:after="0"/>
        <w:jc w:val="left"/>
        <w:rPr>
          <w:b/>
          <w:kern w:val="2"/>
          <w:lang w:eastAsia="zh-CN"/>
        </w:rPr>
      </w:pPr>
    </w:p>
    <w:p w14:paraId="28AE29E2" w14:textId="77777777" w:rsidR="00B66E0C" w:rsidRDefault="00557DA3">
      <w:pPr>
        <w:spacing w:after="60"/>
        <w:ind w:left="1555" w:hanging="1555"/>
        <w:jc w:val="left"/>
        <w:rPr>
          <w:b/>
          <w:lang w:eastAsia="zh-CN"/>
        </w:rPr>
      </w:pPr>
      <w:r>
        <w:rPr>
          <w:b/>
          <w:lang w:eastAsia="zh-CN"/>
        </w:rPr>
        <w:t>Agenda Item:</w:t>
      </w:r>
      <w:r>
        <w:rPr>
          <w:b/>
          <w:lang w:eastAsia="zh-CN"/>
        </w:rPr>
        <w:tab/>
        <w:t>8.9.1</w:t>
      </w:r>
    </w:p>
    <w:p w14:paraId="3C898650" w14:textId="77777777" w:rsidR="00B66E0C" w:rsidRDefault="00557DA3">
      <w:pPr>
        <w:spacing w:after="60"/>
        <w:ind w:left="1555" w:hanging="1555"/>
        <w:jc w:val="left"/>
        <w:rPr>
          <w:b/>
          <w:lang w:eastAsia="zh-CN"/>
        </w:rPr>
      </w:pPr>
      <w:r>
        <w:rPr>
          <w:b/>
          <w:lang w:eastAsia="zh-CN"/>
        </w:rPr>
        <w:t>Source:</w:t>
      </w:r>
      <w:r>
        <w:rPr>
          <w:b/>
          <w:lang w:eastAsia="zh-CN"/>
        </w:rPr>
        <w:tab/>
        <w:t>Moderator (Huawei)</w:t>
      </w:r>
    </w:p>
    <w:p w14:paraId="02F28248" w14:textId="77777777" w:rsidR="00B66E0C" w:rsidRDefault="00557DA3">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14:paraId="2C7CC81E" w14:textId="77777777" w:rsidR="00B66E0C" w:rsidRDefault="00557DA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A15F713" w14:textId="77777777" w:rsidR="00B66E0C" w:rsidRDefault="00B66E0C">
      <w:pPr>
        <w:pBdr>
          <w:bottom w:val="single" w:sz="4" w:space="1" w:color="auto"/>
        </w:pBdr>
        <w:spacing w:after="0"/>
        <w:jc w:val="left"/>
        <w:rPr>
          <w:b/>
          <w:sz w:val="16"/>
          <w:szCs w:val="16"/>
        </w:rPr>
      </w:pPr>
    </w:p>
    <w:p w14:paraId="47B46C05" w14:textId="77777777" w:rsidR="00B66E0C" w:rsidRDefault="00557DA3">
      <w:pPr>
        <w:pStyle w:val="1"/>
        <w:ind w:left="431" w:hanging="431"/>
        <w:rPr>
          <w:lang w:eastAsia="zh-CN"/>
        </w:rPr>
      </w:pPr>
      <w:bookmarkStart w:id="0" w:name="_Ref129681862"/>
      <w:bookmarkStart w:id="1" w:name="_Ref124589705"/>
      <w:r>
        <w:t>Introduction</w:t>
      </w:r>
      <w:bookmarkEnd w:id="0"/>
      <w:bookmarkEnd w:id="1"/>
    </w:p>
    <w:p w14:paraId="6FA0C6AB" w14:textId="77777777" w:rsidR="00B66E0C" w:rsidRDefault="00557DA3">
      <w:pPr>
        <w:rPr>
          <w:lang w:eastAsia="zh-CN"/>
        </w:rPr>
      </w:pPr>
      <w:r>
        <w:rPr>
          <w:lang w:eastAsia="zh-CN"/>
        </w:rPr>
        <w:t>The WID for Rel-17 enhancements for NB-IoT and LTE-MTC [1] includes an objective to support 16-QAM for unicast in UL and DL in NB-IoT.</w:t>
      </w:r>
    </w:p>
    <w:p w14:paraId="05F27992" w14:textId="77777777" w:rsidR="00B66E0C" w:rsidRDefault="00557DA3">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422E9BCC" w14:textId="77777777" w:rsidR="00B66E0C" w:rsidRDefault="00557DA3">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111BBF13" w14:textId="77777777" w:rsidR="00B66E0C" w:rsidRDefault="00557DA3">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707DE6D5" w14:textId="77777777" w:rsidR="00B66E0C" w:rsidRDefault="00557DA3">
      <w:pPr>
        <w:ind w:leftChars="200" w:left="440"/>
        <w:rPr>
          <w:lang w:eastAsia="zh-CN"/>
        </w:rPr>
      </w:pPr>
      <w:r>
        <w:rPr>
          <w:highlight w:val="cyan"/>
          <w:lang w:eastAsia="zh-CN"/>
        </w:rPr>
        <w:t xml:space="preserve">[106-e-LTE-Rel17_NB_IoT_eMTC-01] Email discussion on support of 16-QAM for unicast in UL and DL for NB-IoT </w:t>
      </w:r>
      <w:r>
        <w:rPr>
          <w:highlight w:val="cyan"/>
        </w:rPr>
        <w:t>– Yubo (Huawei)</w:t>
      </w:r>
    </w:p>
    <w:p w14:paraId="290D7CA8" w14:textId="77777777" w:rsidR="00B66E0C" w:rsidRDefault="00557DA3">
      <w:pPr>
        <w:pStyle w:val="1"/>
        <w:rPr>
          <w:lang w:eastAsia="zh-CN"/>
        </w:rPr>
      </w:pPr>
      <w:r>
        <w:rPr>
          <w:rFonts w:hint="eastAsia"/>
          <w:lang w:eastAsia="zh-CN"/>
        </w:rPr>
        <w:t>Discussion</w:t>
      </w:r>
    </w:p>
    <w:p w14:paraId="0573F581" w14:textId="77777777" w:rsidR="00B66E0C" w:rsidRDefault="00557DA3">
      <w:pPr>
        <w:pStyle w:val="2"/>
        <w:rPr>
          <w:lang w:eastAsia="zh-CN"/>
        </w:rPr>
      </w:pPr>
      <w:r>
        <w:rPr>
          <w:lang w:eastAsia="zh-CN"/>
        </w:rPr>
        <w:t>Applicability</w:t>
      </w:r>
    </w:p>
    <w:p w14:paraId="4C9DF961" w14:textId="77777777" w:rsidR="00B66E0C" w:rsidRDefault="00557DA3">
      <w:pPr>
        <w:pStyle w:val="30"/>
      </w:pPr>
      <w:r>
        <w:rPr>
          <w:lang w:eastAsia="zh-CN"/>
        </w:rPr>
        <w:t>Issue 1: Applicability</w:t>
      </w:r>
    </w:p>
    <w:p w14:paraId="6374DBD2" w14:textId="77777777" w:rsidR="00B66E0C" w:rsidRDefault="00557DA3">
      <w:pPr>
        <w:spacing w:line="240" w:lineRule="auto"/>
      </w:pPr>
      <w:r>
        <w:rPr>
          <w:rFonts w:hint="eastAsia"/>
        </w:rPr>
        <w:t>The following has been achieved in online discussion:</w:t>
      </w:r>
    </w:p>
    <w:p w14:paraId="15220279" w14:textId="77777777" w:rsidR="00B66E0C" w:rsidRDefault="00557DA3">
      <w:pPr>
        <w:ind w:leftChars="200" w:left="440"/>
        <w:rPr>
          <w:highlight w:val="green"/>
        </w:rPr>
      </w:pPr>
      <w:r>
        <w:rPr>
          <w:rFonts w:hint="eastAsia"/>
          <w:highlight w:val="green"/>
          <w:lang w:eastAsia="zh-CN"/>
        </w:rPr>
        <w:t>Agreement</w:t>
      </w:r>
      <w:r>
        <w:rPr>
          <w:highlight w:val="green"/>
        </w:rPr>
        <w:t>:</w:t>
      </w:r>
    </w:p>
    <w:p w14:paraId="54C5A71C" w14:textId="77777777" w:rsidR="00B66E0C" w:rsidRDefault="00557DA3">
      <w:pPr>
        <w:ind w:leftChars="200" w:left="440"/>
        <w:rPr>
          <w:highlight w:val="cyan"/>
          <w:lang w:eastAsia="zh-CN"/>
        </w:rPr>
      </w:pPr>
      <w:r>
        <w:t>Confirm the following working assumption:</w:t>
      </w:r>
    </w:p>
    <w:p w14:paraId="3DA8BE21" w14:textId="77777777" w:rsidR="00B66E0C" w:rsidRDefault="00557DA3">
      <w:pPr>
        <w:numPr>
          <w:ilvl w:val="0"/>
          <w:numId w:val="12"/>
        </w:numPr>
        <w:autoSpaceDE/>
        <w:autoSpaceDN/>
        <w:adjustRightInd/>
        <w:snapToGrid/>
        <w:spacing w:after="0" w:line="240" w:lineRule="auto"/>
        <w:ind w:leftChars="364" w:left="1161"/>
        <w:jc w:val="left"/>
      </w:pPr>
      <w:r>
        <w:t>Working Assumption</w:t>
      </w:r>
    </w:p>
    <w:p w14:paraId="0D92D37B" w14:textId="77777777" w:rsidR="00B66E0C" w:rsidRDefault="00557DA3">
      <w:pPr>
        <w:numPr>
          <w:ilvl w:val="1"/>
          <w:numId w:val="12"/>
        </w:numPr>
        <w:autoSpaceDE/>
        <w:autoSpaceDN/>
        <w:adjustRightInd/>
        <w:snapToGrid/>
        <w:spacing w:after="0" w:line="240" w:lineRule="auto"/>
        <w:ind w:leftChars="691" w:left="1880"/>
        <w:jc w:val="left"/>
        <w:rPr>
          <w:rFonts w:eastAsia="Batang" w:cs="Times"/>
        </w:rPr>
      </w:pPr>
      <w:r>
        <w:rPr>
          <w:rFonts w:eastAsia="Batang" w:cs="Times"/>
        </w:rPr>
        <w:t>Support 16-QAM for NPUSCH in PUR procedure.</w:t>
      </w:r>
    </w:p>
    <w:p w14:paraId="54C7C0D7" w14:textId="77777777" w:rsidR="00B66E0C" w:rsidRDefault="00B66E0C">
      <w:pPr>
        <w:spacing w:line="240" w:lineRule="auto"/>
      </w:pPr>
    </w:p>
    <w:p w14:paraId="0E3DE9ED" w14:textId="77777777" w:rsidR="00B66E0C" w:rsidRDefault="00557DA3">
      <w:pPr>
        <w:spacing w:before="120" w:line="240" w:lineRule="auto"/>
        <w:rPr>
          <w:lang w:val="en-GB"/>
        </w:rPr>
      </w:pPr>
      <w:r>
        <w:rPr>
          <w:rFonts w:hint="eastAsia"/>
          <w:lang w:val="en-GB"/>
        </w:rPr>
        <w:t xml:space="preserve">On the </w:t>
      </w:r>
      <w:r>
        <w:rPr>
          <w:lang w:val="en-GB"/>
        </w:rPr>
        <w:t>support of 16-QAM for NPDSCH in PUR procedure, it seems several companies can accept 16-QAM for PUR NPDSCH, if no further enhancement for CQI during PUR procedure. The following is proposed:</w:t>
      </w:r>
    </w:p>
    <w:p w14:paraId="7843D933" w14:textId="6593BF35" w:rsidR="00B66E0C" w:rsidRDefault="00557DA3">
      <w:pPr>
        <w:pStyle w:val="a6"/>
        <w:jc w:val="left"/>
        <w:rPr>
          <w:sz w:val="22"/>
        </w:rPr>
      </w:pPr>
      <w:r>
        <w:rPr>
          <w:sz w:val="22"/>
        </w:rPr>
        <w:t>Proposal</w:t>
      </w:r>
      <w:r>
        <w:t xml:space="preserve"> 1</w:t>
      </w:r>
      <w:r>
        <w:rPr>
          <w:sz w:val="22"/>
        </w:rPr>
        <w:t>: Support 16-QAM for NPDSCH in PUR procedure</w:t>
      </w:r>
    </w:p>
    <w:p w14:paraId="5DF06AE4" w14:textId="77777777" w:rsidR="00B66E0C" w:rsidRDefault="00557DA3">
      <w:pPr>
        <w:pStyle w:val="a6"/>
        <w:numPr>
          <w:ilvl w:val="0"/>
          <w:numId w:val="13"/>
        </w:numPr>
        <w:jc w:val="left"/>
        <w:rPr>
          <w:sz w:val="22"/>
        </w:rPr>
      </w:pPr>
      <w:r>
        <w:rPr>
          <w:sz w:val="22"/>
        </w:rPr>
        <w:t>CSI report is not supported/expected during PUR procedure</w:t>
      </w:r>
    </w:p>
    <w:p w14:paraId="45E8748B" w14:textId="01CBD1BD" w:rsidR="000D0B4D" w:rsidRPr="000D0B4D" w:rsidRDefault="000D0B4D" w:rsidP="000D0B4D">
      <w:pPr>
        <w:pStyle w:val="a6"/>
        <w:numPr>
          <w:ilvl w:val="0"/>
          <w:numId w:val="13"/>
        </w:numPr>
        <w:jc w:val="left"/>
        <w:rPr>
          <w:rFonts w:hint="eastAsia"/>
          <w:sz w:val="22"/>
        </w:rPr>
      </w:pPr>
      <w:r w:rsidRPr="000D0B4D">
        <w:rPr>
          <w:sz w:val="22"/>
        </w:rPr>
        <w:t>The power ratios between NRS and NPDSCH is pre-configured for NPDSCH in PUR procedure</w:t>
      </w:r>
    </w:p>
    <w:p w14:paraId="6B41A649" w14:textId="77777777" w:rsidR="00B66E0C" w:rsidRDefault="00557DA3">
      <w:pPr>
        <w:spacing w:line="240" w:lineRule="auto"/>
      </w:pPr>
      <w:r>
        <w:rPr>
          <w:rFonts w:hint="eastAsia"/>
        </w:rPr>
        <w:t>With the support of 16-QAM for P</w:t>
      </w:r>
      <w:r>
        <w:t>UR NPUSCH, companies (Nokia, NSB, QC) proposed the corresponding enhancement on the configuration of PUR, therefore, the following is proposed:</w:t>
      </w:r>
    </w:p>
    <w:p w14:paraId="50952937" w14:textId="433AD582" w:rsidR="00B66E0C" w:rsidRDefault="00557DA3">
      <w:pPr>
        <w:spacing w:after="0" w:line="240" w:lineRule="auto"/>
        <w:rPr>
          <w:b/>
        </w:rPr>
      </w:pPr>
      <w:r>
        <w:rPr>
          <w:b/>
        </w:rPr>
        <w:t>Proposal 2: To support 16-QAM for NPUSCH in PUR procedure,</w:t>
      </w:r>
    </w:p>
    <w:p w14:paraId="1267AA83" w14:textId="77777777" w:rsidR="00B66E0C" w:rsidRDefault="00557DA3">
      <w:pPr>
        <w:pStyle w:val="af7"/>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lastRenderedPageBreak/>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14:paraId="61235EDE" w14:textId="24FB592B" w:rsidR="008C0BAC" w:rsidRDefault="008C0BAC" w:rsidP="008C0BAC">
      <w:pPr>
        <w:pStyle w:val="af7"/>
        <w:numPr>
          <w:ilvl w:val="1"/>
          <w:numId w:val="14"/>
        </w:numPr>
        <w:spacing w:after="120" w:line="240" w:lineRule="auto"/>
        <w:rPr>
          <w:rFonts w:ascii="Times New Roman" w:hAnsi="Times New Roman" w:cs="Times New Roman"/>
          <w:b/>
          <w:sz w:val="22"/>
          <w:szCs w:val="22"/>
        </w:rPr>
      </w:pPr>
      <w:r w:rsidRPr="008C0BAC">
        <w:rPr>
          <w:rFonts w:ascii="Times New Roman" w:eastAsia="Times New Roman" w:hAnsi="Times New Roman" w:cs="Times New Roman"/>
          <w:b/>
          <w:sz w:val="22"/>
          <w:szCs w:val="20"/>
        </w:rPr>
        <w:t xml:space="preserve">When 16-QAM is enabled, the RRC IE </w:t>
      </w:r>
      <w:r w:rsidRPr="008C0BAC">
        <w:rPr>
          <w:rFonts w:ascii="Times New Roman" w:eastAsia="Times New Roman" w:hAnsi="Times New Roman" w:cs="Times New Roman"/>
          <w:b/>
          <w:i/>
          <w:iCs/>
          <w:sz w:val="22"/>
          <w:szCs w:val="20"/>
        </w:rPr>
        <w:t>multiTone</w:t>
      </w:r>
      <w:r w:rsidRPr="008C0BAC">
        <w:rPr>
          <w:rFonts w:ascii="Times New Roman" w:eastAsia="Times New Roman" w:hAnsi="Times New Roman" w:cs="Times New Roman"/>
          <w:b/>
          <w:sz w:val="22"/>
          <w:szCs w:val="20"/>
        </w:rPr>
        <w:t xml:space="preserve"> in </w:t>
      </w:r>
      <w:r w:rsidRPr="00061374">
        <w:rPr>
          <w:rFonts w:ascii="Times New Roman" w:eastAsia="Times New Roman" w:hAnsi="Times New Roman" w:cs="Times New Roman"/>
          <w:b/>
          <w:i/>
          <w:sz w:val="22"/>
          <w:szCs w:val="20"/>
        </w:rPr>
        <w:t>npusch-MCS</w:t>
      </w:r>
      <w:r w:rsidRPr="008C0BAC">
        <w:rPr>
          <w:rFonts w:ascii="Times New Roman" w:eastAsia="Times New Roman" w:hAnsi="Times New Roman" w:cs="Times New Roman"/>
          <w:b/>
          <w:sz w:val="22"/>
          <w:szCs w:val="20"/>
        </w:rPr>
        <w:t xml:space="preserve"> in</w:t>
      </w:r>
      <w:r w:rsidRPr="008C0BAC">
        <w:rPr>
          <w:rFonts w:ascii="Times New Roman" w:eastAsia="Times New Roman" w:hAnsi="Times New Roman" w:cs="Times New Roman"/>
          <w:b/>
          <w:i/>
          <w:iCs/>
          <w:sz w:val="22"/>
          <w:szCs w:val="20"/>
        </w:rPr>
        <w:t xml:space="preserve"> pur-PhysicalConfig</w:t>
      </w:r>
      <w:r w:rsidRPr="008C0BAC">
        <w:rPr>
          <w:rFonts w:ascii="Times New Roman" w:eastAsia="Times New Roman" w:hAnsi="Times New Roman" w:cs="Times New Roman"/>
          <w:b/>
          <w:sz w:val="22"/>
          <w:szCs w:val="20"/>
        </w:rPr>
        <w:t xml:space="preserve"> indicates the TBS indices for 16-QAM.</w:t>
      </w:r>
    </w:p>
    <w:p w14:paraId="2E051305" w14:textId="77777777" w:rsidR="00B66E0C" w:rsidRDefault="00557DA3">
      <w:pPr>
        <w:spacing w:line="240" w:lineRule="auto"/>
      </w:pPr>
      <w:r>
        <w:rPr>
          <w:rFonts w:hint="eastAsia"/>
        </w:rPr>
        <w:t xml:space="preserve">Please input your comments </w:t>
      </w:r>
      <w:r>
        <w:t>on the above proposals</w:t>
      </w:r>
      <w:r>
        <w:rPr>
          <w:rFonts w:hint="eastAsia"/>
        </w:rPr>
        <w:t>:</w:t>
      </w:r>
    </w:p>
    <w:tbl>
      <w:tblPr>
        <w:tblStyle w:val="af1"/>
        <w:tblW w:w="0" w:type="auto"/>
        <w:tblLook w:val="04A0" w:firstRow="1" w:lastRow="0" w:firstColumn="1" w:lastColumn="0" w:noHBand="0" w:noVBand="1"/>
      </w:tblPr>
      <w:tblGrid>
        <w:gridCol w:w="1838"/>
        <w:gridCol w:w="7469"/>
      </w:tblGrid>
      <w:tr w:rsidR="00B66E0C" w14:paraId="53360BFB" w14:textId="77777777">
        <w:tc>
          <w:tcPr>
            <w:tcW w:w="1838" w:type="dxa"/>
          </w:tcPr>
          <w:p w14:paraId="13B77FD6" w14:textId="77777777" w:rsidR="00B66E0C" w:rsidRDefault="00557DA3">
            <w:pPr>
              <w:rPr>
                <w:szCs w:val="20"/>
              </w:rPr>
            </w:pPr>
            <w:r>
              <w:rPr>
                <w:rFonts w:hint="eastAsia"/>
                <w:szCs w:val="20"/>
              </w:rPr>
              <w:t>Comp</w:t>
            </w:r>
            <w:r>
              <w:rPr>
                <w:szCs w:val="20"/>
              </w:rPr>
              <w:t>anies</w:t>
            </w:r>
          </w:p>
        </w:tc>
        <w:tc>
          <w:tcPr>
            <w:tcW w:w="7469" w:type="dxa"/>
          </w:tcPr>
          <w:p w14:paraId="01AFE021" w14:textId="77777777" w:rsidR="00B66E0C" w:rsidRDefault="00557DA3">
            <w:pPr>
              <w:rPr>
                <w:szCs w:val="20"/>
              </w:rPr>
            </w:pPr>
            <w:r>
              <w:rPr>
                <w:rFonts w:hint="eastAsia"/>
                <w:szCs w:val="20"/>
              </w:rPr>
              <w:t>Comments</w:t>
            </w:r>
          </w:p>
        </w:tc>
      </w:tr>
      <w:tr w:rsidR="00B66E0C" w14:paraId="14AAB14C" w14:textId="77777777">
        <w:tc>
          <w:tcPr>
            <w:tcW w:w="1838" w:type="dxa"/>
          </w:tcPr>
          <w:p w14:paraId="5B768CA7" w14:textId="77777777" w:rsidR="00B66E0C" w:rsidRDefault="00557DA3">
            <w:pPr>
              <w:rPr>
                <w:sz w:val="20"/>
                <w:szCs w:val="20"/>
              </w:rPr>
            </w:pPr>
            <w:r>
              <w:rPr>
                <w:sz w:val="20"/>
                <w:szCs w:val="20"/>
              </w:rPr>
              <w:t>Ericsson v010</w:t>
            </w:r>
          </w:p>
        </w:tc>
        <w:tc>
          <w:tcPr>
            <w:tcW w:w="7469" w:type="dxa"/>
          </w:tcPr>
          <w:p w14:paraId="6DFEC5CC" w14:textId="77777777" w:rsidR="00B66E0C" w:rsidRDefault="00557DA3">
            <w:pPr>
              <w:pStyle w:val="af7"/>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1: Even if the CSI report were not supported, other DL related elements would have to be pre-configured such as data-to-pilot power ratios, and MCS ranges. If after </w:t>
            </w:r>
            <w:r>
              <w:rPr>
                <w:rFonts w:ascii="Times New Roman" w:hAnsi="Times New Roman" w:cs="Times New Roman"/>
                <w:sz w:val="20"/>
                <w:szCs w:val="20"/>
                <w:u w:val="single"/>
              </w:rPr>
              <w:t>truly pondering</w:t>
            </w:r>
            <w:r>
              <w:rPr>
                <w:rFonts w:ascii="Times New Roman" w:hAnsi="Times New Roman" w:cs="Times New Roman"/>
                <w:sz w:val="20"/>
                <w:szCs w:val="20"/>
              </w:rPr>
              <w:t xml:space="preserve"> the importance of the DL use-case (recall 64 QAM in DL was not supported for PUR) versus the specification impacts, the interest still prevails, then aiming at being constructive we could accept proposal 1 subject to have an agreement stating that: “</w:t>
            </w:r>
            <w:r>
              <w:rPr>
                <w:rFonts w:ascii="Times New Roman" w:hAnsi="Times New Roman" w:cs="Times New Roman"/>
                <w:i/>
                <w:iCs/>
                <w:sz w:val="20"/>
                <w:szCs w:val="20"/>
              </w:rPr>
              <w:t>Two new optional IEs for DL and UL 16QAM are introduced in the PUR configuration</w:t>
            </w:r>
            <w:r>
              <w:rPr>
                <w:rFonts w:ascii="Times New Roman" w:hAnsi="Times New Roman" w:cs="Times New Roman"/>
                <w:sz w:val="20"/>
                <w:szCs w:val="20"/>
              </w:rPr>
              <w:t>”. The above as to be able to control DL and UL separately in PUR.</w:t>
            </w:r>
          </w:p>
          <w:p w14:paraId="61F708DC" w14:textId="77777777" w:rsidR="00B66E0C" w:rsidRDefault="00557DA3">
            <w:pPr>
              <w:pStyle w:val="af7"/>
              <w:rPr>
                <w:rFonts w:ascii="Times New Roman" w:hAnsi="Times New Roman" w:cs="Times New Roman"/>
                <w:sz w:val="20"/>
                <w:szCs w:val="20"/>
              </w:rPr>
            </w:pPr>
            <w:r>
              <w:rPr>
                <w:rFonts w:ascii="Times New Roman" w:hAnsi="Times New Roman" w:cs="Times New Roman"/>
                <w:sz w:val="20"/>
                <w:szCs w:val="20"/>
              </w:rPr>
              <w:t xml:space="preserve"> </w:t>
            </w:r>
          </w:p>
          <w:p w14:paraId="5D1BD389" w14:textId="77777777" w:rsidR="00B66E0C" w:rsidRDefault="00557DA3">
            <w:pPr>
              <w:pStyle w:val="af7"/>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2: It seems that </w:t>
            </w:r>
            <w:r>
              <w:rPr>
                <w:rFonts w:ascii="Times New Roman" w:hAnsi="Times New Roman" w:cs="Times New Roman"/>
                <w:sz w:val="20"/>
                <w:szCs w:val="20"/>
                <w:u w:val="single"/>
              </w:rPr>
              <w:t>extending</w:t>
            </w:r>
            <w:r>
              <w:rPr>
                <w:rFonts w:ascii="Times New Roman" w:hAnsi="Times New Roman" w:cs="Times New Roman"/>
                <w:sz w:val="20"/>
                <w:szCs w:val="20"/>
              </w:rPr>
              <w:t xml:space="preserve"> the RRC IE </w:t>
            </w:r>
            <w:r>
              <w:rPr>
                <w:rFonts w:ascii="Times New Roman" w:hAnsi="Times New Roman" w:cs="Times New Roman"/>
                <w:i/>
                <w:iCs/>
                <w:sz w:val="20"/>
                <w:szCs w:val="20"/>
              </w:rPr>
              <w:t>multiTone</w:t>
            </w:r>
            <w:r>
              <w:rPr>
                <w:rFonts w:ascii="Times New Roman" w:hAnsi="Times New Roman" w:cs="Times New Roman"/>
                <w:sz w:val="20"/>
                <w:szCs w:val="20"/>
              </w:rPr>
              <w:t xml:space="preserve"> is not needed, since the following approach will allow to save bits.</w:t>
            </w:r>
          </w:p>
          <w:p w14:paraId="0F8F1307" w14:textId="77777777" w:rsidR="00B66E0C" w:rsidRDefault="00B66E0C">
            <w:pPr>
              <w:pStyle w:val="af7"/>
              <w:rPr>
                <w:rFonts w:ascii="Times New Roman" w:hAnsi="Times New Roman" w:cs="Times New Roman"/>
                <w:sz w:val="20"/>
                <w:szCs w:val="20"/>
              </w:rPr>
            </w:pPr>
          </w:p>
          <w:p w14:paraId="7ED9A85D" w14:textId="77777777" w:rsidR="00B66E0C" w:rsidRDefault="00557DA3">
            <w:pPr>
              <w:ind w:left="720"/>
              <w:rPr>
                <w:rFonts w:eastAsiaTheme="minorHAnsi"/>
                <w:b/>
                <w:bCs/>
                <w:sz w:val="20"/>
                <w:szCs w:val="20"/>
                <w:lang w:eastAsia="ar-SA"/>
              </w:rPr>
            </w:pPr>
            <w:r>
              <w:rPr>
                <w:b/>
                <w:bCs/>
                <w:sz w:val="20"/>
                <w:szCs w:val="20"/>
                <w:lang w:eastAsia="ar-SA"/>
              </w:rPr>
              <w:t>To support 16-QAM for NPUSCH in PUR procedure,</w:t>
            </w:r>
          </w:p>
          <w:p w14:paraId="7F1CFA28" w14:textId="77777777" w:rsidR="00B66E0C" w:rsidRDefault="00557DA3">
            <w:pPr>
              <w:numPr>
                <w:ilvl w:val="0"/>
                <w:numId w:val="12"/>
              </w:numPr>
              <w:autoSpaceDE/>
              <w:autoSpaceDN/>
              <w:adjustRightInd/>
              <w:snapToGrid/>
              <w:spacing w:after="0" w:line="240" w:lineRule="auto"/>
              <w:ind w:left="1440"/>
              <w:jc w:val="left"/>
              <w:rPr>
                <w:rFonts w:ascii="Calibri" w:eastAsia="Times New Roman" w:hAnsi="Calibri" w:cs="Calibri"/>
                <w:sz w:val="20"/>
                <w:szCs w:val="20"/>
                <w:lang w:eastAsia="zh-CN"/>
              </w:rPr>
            </w:pPr>
            <w:r>
              <w:rPr>
                <w:rFonts w:eastAsia="Times New Roman"/>
                <w:sz w:val="20"/>
                <w:szCs w:val="20"/>
                <w:lang w:eastAsia="zh-CN"/>
              </w:rPr>
              <w:t xml:space="preserve">One RRC IE is introduced in </w:t>
            </w:r>
            <w:r>
              <w:rPr>
                <w:rFonts w:eastAsia="Times New Roman"/>
                <w:i/>
                <w:iCs/>
                <w:sz w:val="20"/>
                <w:szCs w:val="20"/>
                <w:lang w:eastAsia="zh-CN"/>
              </w:rPr>
              <w:t>pur-PhysicalConfig</w:t>
            </w:r>
            <w:r>
              <w:rPr>
                <w:rFonts w:eastAsia="Times New Roman"/>
                <w:sz w:val="20"/>
                <w:szCs w:val="20"/>
                <w:lang w:eastAsia="zh-CN"/>
              </w:rPr>
              <w:t xml:space="preserve"> to enable the use of 16-QAM.</w:t>
            </w:r>
          </w:p>
          <w:p w14:paraId="15B5D2D6" w14:textId="77777777" w:rsidR="00B66E0C" w:rsidRDefault="00557DA3">
            <w:pPr>
              <w:numPr>
                <w:ilvl w:val="1"/>
                <w:numId w:val="12"/>
              </w:numPr>
              <w:autoSpaceDE/>
              <w:autoSpaceDN/>
              <w:adjustRightInd/>
              <w:snapToGrid/>
              <w:spacing w:after="0" w:line="240" w:lineRule="auto"/>
              <w:ind w:left="2160"/>
              <w:jc w:val="left"/>
              <w:rPr>
                <w:rFonts w:ascii="Times" w:eastAsia="Times New Roman" w:hAnsi="Times" w:cs="Times"/>
                <w:color w:val="ED7D31"/>
                <w:sz w:val="20"/>
                <w:szCs w:val="20"/>
                <w:lang w:eastAsia="zh-CN"/>
              </w:rPr>
            </w:pPr>
            <w:r>
              <w:rPr>
                <w:rFonts w:eastAsia="Times New Roman"/>
                <w:color w:val="ED7D31"/>
                <w:sz w:val="20"/>
                <w:szCs w:val="20"/>
                <w:lang w:eastAsia="zh-CN"/>
              </w:rPr>
              <w:t xml:space="preserve">When 16-QAM is enabled, </w:t>
            </w:r>
            <w:r>
              <w:rPr>
                <w:rFonts w:eastAsia="Times New Roman"/>
                <w:sz w:val="20"/>
                <w:szCs w:val="20"/>
                <w:lang w:eastAsia="zh-CN"/>
              </w:rPr>
              <w:t xml:space="preserve">the RRC IE </w:t>
            </w:r>
            <w:r>
              <w:rPr>
                <w:rFonts w:eastAsia="Times New Roman"/>
                <w:i/>
                <w:iCs/>
                <w:sz w:val="20"/>
                <w:szCs w:val="20"/>
                <w:lang w:eastAsia="zh-CN"/>
              </w:rPr>
              <w:t>multiTone</w:t>
            </w:r>
            <w:r>
              <w:rPr>
                <w:rFonts w:eastAsia="Times New Roman"/>
                <w:sz w:val="20"/>
                <w:szCs w:val="20"/>
                <w:lang w:eastAsia="zh-CN"/>
              </w:rPr>
              <w:t xml:space="preserve"> in npusch-MCS in</w:t>
            </w:r>
            <w:r>
              <w:rPr>
                <w:rFonts w:eastAsia="Times New Roman"/>
                <w:i/>
                <w:iCs/>
                <w:sz w:val="20"/>
                <w:szCs w:val="20"/>
                <w:lang w:eastAsia="zh-CN"/>
              </w:rPr>
              <w:t xml:space="preserve"> pur-PhysicalConfig</w:t>
            </w:r>
            <w:r>
              <w:rPr>
                <w:rFonts w:eastAsia="Times New Roman"/>
                <w:sz w:val="20"/>
                <w:szCs w:val="20"/>
                <w:lang w:eastAsia="zh-CN"/>
              </w:rPr>
              <w:t xml:space="preserve"> </w:t>
            </w:r>
            <w:r>
              <w:rPr>
                <w:rFonts w:eastAsia="Times New Roman"/>
                <w:color w:val="ED7D31"/>
                <w:sz w:val="20"/>
                <w:szCs w:val="20"/>
                <w:lang w:eastAsia="zh-CN"/>
              </w:rPr>
              <w:t>indicates MCS from 14 to 21.</w:t>
            </w:r>
          </w:p>
          <w:p w14:paraId="7B660A6B" w14:textId="77777777" w:rsidR="00B66E0C" w:rsidRDefault="00B66E0C">
            <w:pPr>
              <w:pStyle w:val="af7"/>
              <w:rPr>
                <w:rFonts w:ascii="Times New Roman" w:hAnsi="Times New Roman" w:cs="Times New Roman"/>
                <w:sz w:val="20"/>
                <w:szCs w:val="20"/>
              </w:rPr>
            </w:pPr>
          </w:p>
        </w:tc>
      </w:tr>
      <w:tr w:rsidR="00B66E0C" w14:paraId="0B22D1FD" w14:textId="77777777">
        <w:tc>
          <w:tcPr>
            <w:tcW w:w="1838" w:type="dxa"/>
          </w:tcPr>
          <w:p w14:paraId="73605EFD" w14:textId="77777777" w:rsidR="00B66E0C" w:rsidRDefault="00557DA3">
            <w:pPr>
              <w:rPr>
                <w:szCs w:val="20"/>
              </w:rPr>
            </w:pPr>
            <w:r>
              <w:rPr>
                <w:szCs w:val="20"/>
              </w:rPr>
              <w:t>Nokia, NSB</w:t>
            </w:r>
          </w:p>
        </w:tc>
        <w:tc>
          <w:tcPr>
            <w:tcW w:w="7469" w:type="dxa"/>
          </w:tcPr>
          <w:p w14:paraId="5328FA75" w14:textId="77777777" w:rsidR="00B66E0C" w:rsidRDefault="00557DA3">
            <w:r>
              <w:t>We support Proposal 1.</w:t>
            </w:r>
          </w:p>
          <w:p w14:paraId="661D3FBB" w14:textId="77777777" w:rsidR="00B66E0C" w:rsidRDefault="00557DA3">
            <w:r>
              <w:t>On Proposal 2, our original proposal was to only extend the multiTone field for UE capable of 16-QAM (i.e. no need to enable the use of 16-QAM separately). However, we have no strong view and can also accept Ericsson’s proposal to introduce two optional IEs.</w:t>
            </w:r>
          </w:p>
        </w:tc>
      </w:tr>
      <w:tr w:rsidR="00B66E0C" w14:paraId="24BB52A2" w14:textId="77777777">
        <w:tc>
          <w:tcPr>
            <w:tcW w:w="1838" w:type="dxa"/>
          </w:tcPr>
          <w:p w14:paraId="51DE7D59" w14:textId="77777777" w:rsidR="00B66E0C" w:rsidRDefault="00557DA3">
            <w:pPr>
              <w:rPr>
                <w:szCs w:val="20"/>
                <w:lang w:eastAsia="zh-CN"/>
              </w:rPr>
            </w:pPr>
            <w:r>
              <w:rPr>
                <w:szCs w:val="20"/>
                <w:lang w:eastAsia="zh-CN"/>
              </w:rPr>
              <w:t>MTK</w:t>
            </w:r>
          </w:p>
        </w:tc>
        <w:tc>
          <w:tcPr>
            <w:tcW w:w="7469" w:type="dxa"/>
          </w:tcPr>
          <w:p w14:paraId="5F7BA023" w14:textId="77777777" w:rsidR="00B66E0C" w:rsidRDefault="00557DA3">
            <w:pPr>
              <w:rPr>
                <w:szCs w:val="20"/>
                <w:lang w:eastAsia="zh-CN"/>
              </w:rPr>
            </w:pPr>
            <w:r>
              <w:rPr>
                <w:szCs w:val="20"/>
                <w:lang w:eastAsia="zh-CN"/>
              </w:rPr>
              <w:t>We are ok with Proposa1 and prefer the modified proposal2 from Ericsson.</w:t>
            </w:r>
          </w:p>
        </w:tc>
      </w:tr>
      <w:tr w:rsidR="00B66E0C" w14:paraId="12CB4CF0" w14:textId="77777777">
        <w:tc>
          <w:tcPr>
            <w:tcW w:w="1838" w:type="dxa"/>
          </w:tcPr>
          <w:p w14:paraId="415DC441" w14:textId="77777777" w:rsidR="00B66E0C" w:rsidRDefault="00557DA3">
            <w:pPr>
              <w:rPr>
                <w:szCs w:val="20"/>
                <w:lang w:eastAsia="zh-CN"/>
              </w:rPr>
            </w:pPr>
            <w:r>
              <w:rPr>
                <w:rFonts w:hint="eastAsia"/>
                <w:szCs w:val="20"/>
                <w:lang w:eastAsia="zh-CN"/>
              </w:rPr>
              <w:t>H</w:t>
            </w:r>
            <w:r>
              <w:rPr>
                <w:szCs w:val="20"/>
                <w:lang w:eastAsia="zh-CN"/>
              </w:rPr>
              <w:t>uawei, HiSilicon</w:t>
            </w:r>
          </w:p>
        </w:tc>
        <w:tc>
          <w:tcPr>
            <w:tcW w:w="7469" w:type="dxa"/>
          </w:tcPr>
          <w:p w14:paraId="453EBC51" w14:textId="77777777" w:rsidR="00B66E0C" w:rsidRDefault="00557DA3">
            <w:pPr>
              <w:rPr>
                <w:szCs w:val="20"/>
                <w:lang w:eastAsia="zh-CN"/>
              </w:rPr>
            </w:pPr>
            <w:r>
              <w:rPr>
                <w:rFonts w:hint="eastAsia"/>
                <w:szCs w:val="20"/>
                <w:lang w:eastAsia="zh-CN"/>
              </w:rPr>
              <w:t>F</w:t>
            </w:r>
            <w:r>
              <w:rPr>
                <w:szCs w:val="20"/>
                <w:lang w:eastAsia="zh-CN"/>
              </w:rPr>
              <w:t>or proposal 2 the detailed signaling can be up to RAN2. We are also fine with proposal 1.</w:t>
            </w:r>
          </w:p>
        </w:tc>
      </w:tr>
      <w:tr w:rsidR="00B66E0C" w14:paraId="320EB44C" w14:textId="77777777">
        <w:tc>
          <w:tcPr>
            <w:tcW w:w="1838" w:type="dxa"/>
          </w:tcPr>
          <w:p w14:paraId="1C53610A" w14:textId="77777777" w:rsidR="00B66E0C" w:rsidRDefault="00557DA3">
            <w:pPr>
              <w:rPr>
                <w:szCs w:val="20"/>
                <w:lang w:eastAsia="zh-CN"/>
              </w:rPr>
            </w:pPr>
            <w:r>
              <w:rPr>
                <w:rFonts w:hint="eastAsia"/>
                <w:szCs w:val="20"/>
                <w:lang w:eastAsia="zh-CN"/>
              </w:rPr>
              <w:t>ZTE, Sanechips</w:t>
            </w:r>
          </w:p>
        </w:tc>
        <w:tc>
          <w:tcPr>
            <w:tcW w:w="7469" w:type="dxa"/>
          </w:tcPr>
          <w:p w14:paraId="45BE8BE8" w14:textId="77777777" w:rsidR="00B66E0C" w:rsidRDefault="00557DA3">
            <w:pPr>
              <w:rPr>
                <w:szCs w:val="20"/>
                <w:lang w:eastAsia="zh-CN"/>
              </w:rPr>
            </w:pPr>
            <w:r>
              <w:rPr>
                <w:rFonts w:hint="eastAsia"/>
                <w:szCs w:val="20"/>
                <w:lang w:eastAsia="zh-CN"/>
              </w:rPr>
              <w:t>For proposal1, we can compromise to accept this proposal unless there is no any further optimization.</w:t>
            </w:r>
          </w:p>
          <w:p w14:paraId="3A0A23DD" w14:textId="77777777" w:rsidR="00B66E0C" w:rsidRDefault="00557DA3">
            <w:pPr>
              <w:rPr>
                <w:szCs w:val="20"/>
                <w:lang w:eastAsia="zh-CN"/>
              </w:rPr>
            </w:pPr>
            <w:r>
              <w:rPr>
                <w:rFonts w:hint="eastAsia"/>
                <w:szCs w:val="20"/>
                <w:lang w:eastAsia="zh-CN"/>
              </w:rPr>
              <w:t xml:space="preserve">For proposal2, alternatively, a new 5bits field, e.g., </w:t>
            </w:r>
            <w:r>
              <w:rPr>
                <w:b/>
                <w:i/>
              </w:rPr>
              <w:t>multiTone</w:t>
            </w:r>
            <w:r>
              <w:rPr>
                <w:rFonts w:hint="eastAsia"/>
                <w:b/>
                <w:i/>
                <w:lang w:eastAsia="zh-CN"/>
              </w:rPr>
              <w:t>-r17</w:t>
            </w:r>
            <w:r>
              <w:rPr>
                <w:rFonts w:hint="eastAsia"/>
                <w:bCs/>
                <w:iCs/>
                <w:lang w:eastAsia="zh-CN"/>
              </w:rPr>
              <w:t xml:space="preserve">, can also be used for enabling 16-QAM and corresponding MCS value. We think it is up to RAN2 decision. </w:t>
            </w:r>
            <w:r>
              <w:rPr>
                <w:b/>
              </w:rPr>
              <w:t xml:space="preserve"> </w:t>
            </w:r>
            <w:r>
              <w:rPr>
                <w:rFonts w:hint="eastAsia"/>
                <w:szCs w:val="20"/>
                <w:lang w:eastAsia="zh-CN"/>
              </w:rPr>
              <w:t xml:space="preserve"> </w:t>
            </w:r>
          </w:p>
        </w:tc>
      </w:tr>
      <w:tr w:rsidR="00B66E0C" w14:paraId="0439455F" w14:textId="77777777">
        <w:tc>
          <w:tcPr>
            <w:tcW w:w="1838" w:type="dxa"/>
          </w:tcPr>
          <w:p w14:paraId="7927875F" w14:textId="6BD841AE" w:rsidR="00B66E0C" w:rsidRDefault="005375CE">
            <w:pPr>
              <w:rPr>
                <w:rFonts w:hint="eastAsia"/>
                <w:szCs w:val="20"/>
                <w:lang w:eastAsia="zh-CN"/>
              </w:rPr>
            </w:pPr>
            <w:r>
              <w:rPr>
                <w:rFonts w:hint="eastAsia"/>
                <w:szCs w:val="20"/>
                <w:lang w:eastAsia="zh-CN"/>
              </w:rPr>
              <w:t>M</w:t>
            </w:r>
            <w:r>
              <w:rPr>
                <w:szCs w:val="20"/>
                <w:lang w:eastAsia="zh-CN"/>
              </w:rPr>
              <w:t>oderator</w:t>
            </w:r>
          </w:p>
        </w:tc>
        <w:tc>
          <w:tcPr>
            <w:tcW w:w="7469" w:type="dxa"/>
          </w:tcPr>
          <w:p w14:paraId="5F8E470F" w14:textId="32E7500E" w:rsidR="007A3C1C" w:rsidRDefault="007A3C1C" w:rsidP="005375CE">
            <w:pPr>
              <w:rPr>
                <w:szCs w:val="20"/>
                <w:lang w:eastAsia="zh-CN"/>
              </w:rPr>
            </w:pPr>
            <w:r>
              <w:rPr>
                <w:rFonts w:hint="eastAsia"/>
                <w:szCs w:val="20"/>
                <w:lang w:eastAsia="zh-CN"/>
              </w:rPr>
              <w:t>On comments from Ericsson, for NPDSCH in PUR procedure, the MCS is not pre-configured but scheduled from DCI</w:t>
            </w:r>
            <w:r>
              <w:rPr>
                <w:szCs w:val="20"/>
                <w:lang w:eastAsia="zh-CN"/>
              </w:rPr>
              <w:t xml:space="preserve">, so this new IE is not needed. </w:t>
            </w:r>
          </w:p>
          <w:p w14:paraId="69015919" w14:textId="77777777" w:rsidR="00B66E0C" w:rsidRDefault="005375CE" w:rsidP="005375CE">
            <w:pPr>
              <w:rPr>
                <w:szCs w:val="20"/>
                <w:lang w:eastAsia="zh-CN"/>
              </w:rPr>
            </w:pPr>
            <w:r>
              <w:rPr>
                <w:szCs w:val="20"/>
                <w:lang w:eastAsia="zh-CN"/>
              </w:rPr>
              <w:t>R</w:t>
            </w:r>
            <w:r>
              <w:rPr>
                <w:rFonts w:hint="eastAsia"/>
                <w:szCs w:val="20"/>
                <w:lang w:eastAsia="zh-CN"/>
              </w:rPr>
              <w:t xml:space="preserve">egarding </w:t>
            </w:r>
            <w:r>
              <w:rPr>
                <w:szCs w:val="20"/>
                <w:lang w:eastAsia="zh-CN"/>
              </w:rPr>
              <w:t>the comments, proposals are updated as below:</w:t>
            </w:r>
          </w:p>
          <w:p w14:paraId="4B15CFB3" w14:textId="23A80437" w:rsidR="007244D3" w:rsidRDefault="007244D3" w:rsidP="007244D3">
            <w:pPr>
              <w:pStyle w:val="a6"/>
              <w:jc w:val="left"/>
              <w:rPr>
                <w:sz w:val="22"/>
              </w:rPr>
            </w:pPr>
            <w:r>
              <w:rPr>
                <w:sz w:val="22"/>
              </w:rPr>
              <w:t>Proposal</w:t>
            </w:r>
            <w:r>
              <w:t xml:space="preserve"> 1</w:t>
            </w:r>
            <w:r>
              <w:rPr>
                <w:sz w:val="22"/>
              </w:rPr>
              <w:t>: Support 16-QAM for NPDSCH in PUR procedure</w:t>
            </w:r>
          </w:p>
          <w:p w14:paraId="1ECDD2DE" w14:textId="77777777" w:rsidR="007244D3" w:rsidRDefault="007244D3" w:rsidP="007244D3">
            <w:pPr>
              <w:pStyle w:val="a6"/>
              <w:numPr>
                <w:ilvl w:val="0"/>
                <w:numId w:val="13"/>
              </w:numPr>
              <w:jc w:val="left"/>
              <w:rPr>
                <w:sz w:val="22"/>
              </w:rPr>
            </w:pPr>
            <w:r>
              <w:rPr>
                <w:sz w:val="22"/>
              </w:rPr>
              <w:t>CSI report is not supported/expected during PUR procedure</w:t>
            </w:r>
          </w:p>
          <w:p w14:paraId="49B2A133" w14:textId="7ADBDBDA" w:rsidR="00DF0A14" w:rsidRPr="00DF0A14" w:rsidRDefault="00DF0A14" w:rsidP="00DF0A14">
            <w:pPr>
              <w:pStyle w:val="a6"/>
              <w:numPr>
                <w:ilvl w:val="0"/>
                <w:numId w:val="13"/>
              </w:numPr>
              <w:jc w:val="left"/>
              <w:rPr>
                <w:rFonts w:hint="eastAsia"/>
              </w:rPr>
            </w:pPr>
            <w:r>
              <w:t xml:space="preserve">The power ratios between NRS and NPDSCH </w:t>
            </w:r>
            <w:r w:rsidR="007A3C1C">
              <w:t>is</w:t>
            </w:r>
            <w:r>
              <w:t xml:space="preserve"> pre-configured for NPDSCH in PUR procedure</w:t>
            </w:r>
          </w:p>
          <w:p w14:paraId="767316B6" w14:textId="77777777" w:rsidR="007A3C1C" w:rsidRDefault="007A3C1C" w:rsidP="007A3C1C">
            <w:pPr>
              <w:spacing w:after="0" w:line="240" w:lineRule="auto"/>
              <w:rPr>
                <w:b/>
              </w:rPr>
            </w:pPr>
            <w:r>
              <w:rPr>
                <w:b/>
              </w:rPr>
              <w:t>Proposal 2: To support 16-QAM for NPUSCH in PUR procedure,</w:t>
            </w:r>
          </w:p>
          <w:p w14:paraId="0FAB0B51" w14:textId="77777777" w:rsidR="005375CE" w:rsidRDefault="007A3C1C" w:rsidP="007A3C1C">
            <w:pPr>
              <w:pStyle w:val="af7"/>
              <w:numPr>
                <w:ilvl w:val="0"/>
                <w:numId w:val="14"/>
              </w:numPr>
              <w:spacing w:line="240" w:lineRule="auto"/>
              <w:rPr>
                <w:rFonts w:ascii="Times New Roman" w:hAnsi="Times New Roman" w:cs="Times New Roman"/>
                <w:b/>
                <w:sz w:val="22"/>
                <w:szCs w:val="22"/>
              </w:rPr>
            </w:pPr>
            <w:r w:rsidRPr="007A3C1C">
              <w:rPr>
                <w:rFonts w:ascii="Times New Roman" w:hAnsi="Times New Roman" w:cs="Times New Roman" w:hint="eastAsia"/>
                <w:b/>
                <w:sz w:val="22"/>
                <w:szCs w:val="22"/>
              </w:rPr>
              <w:t xml:space="preserve">One RRC IE is </w:t>
            </w:r>
            <w:r w:rsidRPr="007A3C1C">
              <w:rPr>
                <w:rFonts w:ascii="Times New Roman" w:hAnsi="Times New Roman" w:cs="Times New Roman"/>
                <w:b/>
                <w:sz w:val="22"/>
                <w:szCs w:val="22"/>
              </w:rPr>
              <w:t xml:space="preserve">introduced in </w:t>
            </w:r>
            <w:r w:rsidRPr="007A3C1C">
              <w:rPr>
                <w:rFonts w:ascii="Times New Roman" w:hAnsi="Times New Roman" w:cs="Times New Roman"/>
                <w:b/>
                <w:i/>
                <w:sz w:val="22"/>
                <w:szCs w:val="22"/>
              </w:rPr>
              <w:t>pur-PhysicalConfig</w:t>
            </w:r>
            <w:r w:rsidRPr="007A3C1C">
              <w:rPr>
                <w:rFonts w:ascii="Times New Roman" w:hAnsi="Times New Roman" w:cs="Times New Roman"/>
                <w:b/>
                <w:sz w:val="22"/>
                <w:szCs w:val="22"/>
              </w:rPr>
              <w:t xml:space="preserve"> to enable the use of 16-QAM.</w:t>
            </w:r>
          </w:p>
          <w:p w14:paraId="7C813774" w14:textId="561B01B6" w:rsidR="007A3C1C" w:rsidRPr="008C0BAC" w:rsidRDefault="007A3C1C" w:rsidP="007A3C1C">
            <w:pPr>
              <w:pStyle w:val="af7"/>
              <w:numPr>
                <w:ilvl w:val="1"/>
                <w:numId w:val="14"/>
              </w:numPr>
              <w:spacing w:line="240" w:lineRule="auto"/>
              <w:rPr>
                <w:rFonts w:ascii="Times New Roman" w:hAnsi="Times New Roman" w:cs="Times New Roman"/>
                <w:b/>
                <w:sz w:val="22"/>
                <w:szCs w:val="22"/>
              </w:rPr>
            </w:pPr>
            <w:r w:rsidRPr="008C0BAC">
              <w:rPr>
                <w:rFonts w:ascii="Times New Roman" w:eastAsia="Times New Roman" w:hAnsi="Times New Roman" w:cs="Times New Roman"/>
                <w:b/>
                <w:sz w:val="22"/>
                <w:szCs w:val="20"/>
              </w:rPr>
              <w:lastRenderedPageBreak/>
              <w:t xml:space="preserve">When 16-QAM is enabled, the RRC IE </w:t>
            </w:r>
            <w:r w:rsidRPr="008C0BAC">
              <w:rPr>
                <w:rFonts w:ascii="Times New Roman" w:eastAsia="Times New Roman" w:hAnsi="Times New Roman" w:cs="Times New Roman"/>
                <w:b/>
                <w:i/>
                <w:iCs/>
                <w:sz w:val="22"/>
                <w:szCs w:val="20"/>
              </w:rPr>
              <w:t>multiTone</w:t>
            </w:r>
            <w:r w:rsidRPr="008C0BAC">
              <w:rPr>
                <w:rFonts w:ascii="Times New Roman" w:eastAsia="Times New Roman" w:hAnsi="Times New Roman" w:cs="Times New Roman"/>
                <w:b/>
                <w:sz w:val="22"/>
                <w:szCs w:val="20"/>
              </w:rPr>
              <w:t xml:space="preserve"> in npusch-MCS in</w:t>
            </w:r>
            <w:r w:rsidRPr="008C0BAC">
              <w:rPr>
                <w:rFonts w:ascii="Times New Roman" w:eastAsia="Times New Roman" w:hAnsi="Times New Roman" w:cs="Times New Roman"/>
                <w:b/>
                <w:i/>
                <w:iCs/>
                <w:sz w:val="22"/>
                <w:szCs w:val="20"/>
              </w:rPr>
              <w:t xml:space="preserve"> pur-PhysicalConfig</w:t>
            </w:r>
            <w:r w:rsidRPr="008C0BAC">
              <w:rPr>
                <w:rFonts w:ascii="Times New Roman" w:eastAsia="Times New Roman" w:hAnsi="Times New Roman" w:cs="Times New Roman"/>
                <w:b/>
                <w:sz w:val="22"/>
                <w:szCs w:val="20"/>
              </w:rPr>
              <w:t xml:space="preserve"> indicates the TBS indices for 16-QAM.</w:t>
            </w:r>
          </w:p>
        </w:tc>
      </w:tr>
      <w:tr w:rsidR="00B66E0C" w14:paraId="1AA2F754" w14:textId="77777777">
        <w:tc>
          <w:tcPr>
            <w:tcW w:w="1838" w:type="dxa"/>
          </w:tcPr>
          <w:p w14:paraId="2426F41A" w14:textId="73C3F915" w:rsidR="00B66E0C" w:rsidRDefault="00B66E0C">
            <w:pPr>
              <w:rPr>
                <w:szCs w:val="20"/>
                <w:lang w:eastAsia="zh-CN"/>
              </w:rPr>
            </w:pPr>
          </w:p>
        </w:tc>
        <w:tc>
          <w:tcPr>
            <w:tcW w:w="7469" w:type="dxa"/>
          </w:tcPr>
          <w:p w14:paraId="056F51D4" w14:textId="77777777" w:rsidR="00B66E0C" w:rsidRDefault="00B66E0C">
            <w:pPr>
              <w:rPr>
                <w:szCs w:val="20"/>
                <w:lang w:eastAsia="zh-CN"/>
              </w:rPr>
            </w:pPr>
          </w:p>
        </w:tc>
      </w:tr>
    </w:tbl>
    <w:p w14:paraId="78F705AA" w14:textId="77777777" w:rsidR="00B66E0C" w:rsidRDefault="00B66E0C">
      <w:pPr>
        <w:rPr>
          <w:b/>
        </w:rPr>
      </w:pPr>
    </w:p>
    <w:p w14:paraId="37A134C8" w14:textId="77777777" w:rsidR="00B66E0C" w:rsidRDefault="00557DA3">
      <w:pPr>
        <w:pStyle w:val="2"/>
        <w:rPr>
          <w:lang w:eastAsia="zh-CN"/>
        </w:rPr>
      </w:pPr>
      <w:r>
        <w:rPr>
          <w:lang w:eastAsia="zh-CN"/>
        </w:rPr>
        <w:t>DCI</w:t>
      </w:r>
    </w:p>
    <w:p w14:paraId="3E72B765" w14:textId="77777777" w:rsidR="00B66E0C" w:rsidRDefault="00557DA3">
      <w:pPr>
        <w:pStyle w:val="30"/>
      </w:pPr>
      <w:r>
        <w:rPr>
          <w:lang w:eastAsia="zh-CN"/>
        </w:rPr>
        <w:t>Issue 2: DCI design</w:t>
      </w:r>
    </w:p>
    <w:p w14:paraId="51F27642" w14:textId="77777777" w:rsidR="00B66E0C" w:rsidRDefault="00557DA3">
      <w:r>
        <w:rPr>
          <w:rFonts w:hint="eastAsia"/>
        </w:rPr>
        <w:t>The following have been achieved:</w:t>
      </w:r>
    </w:p>
    <w:p w14:paraId="5DAF9046" w14:textId="77777777" w:rsidR="00B66E0C" w:rsidRDefault="00557DA3">
      <w:pPr>
        <w:ind w:leftChars="200" w:left="440"/>
        <w:rPr>
          <w:highlight w:val="green"/>
          <w:lang w:eastAsia="zh-CN"/>
        </w:rPr>
      </w:pPr>
      <w:r>
        <w:rPr>
          <w:highlight w:val="green"/>
          <w:lang w:eastAsia="zh-CN"/>
        </w:rPr>
        <w:t>Confirm the working assumption:</w:t>
      </w:r>
    </w:p>
    <w:p w14:paraId="333EC684" w14:textId="77777777" w:rsidR="00B66E0C" w:rsidRDefault="00557DA3">
      <w:pPr>
        <w:ind w:leftChars="200" w:left="440"/>
        <w:rPr>
          <w:rFonts w:eastAsia="Batang"/>
        </w:rPr>
      </w:pPr>
      <w:r>
        <w:rPr>
          <w:rFonts w:eastAsia="Batang"/>
        </w:rPr>
        <w:t>Working Assumption</w:t>
      </w:r>
    </w:p>
    <w:p w14:paraId="0A527DD0" w14:textId="77777777" w:rsidR="00B66E0C" w:rsidRDefault="00557DA3">
      <w:pPr>
        <w:ind w:leftChars="400" w:left="880"/>
        <w:rPr>
          <w:rFonts w:eastAsia="Batang"/>
          <w:lang w:eastAsia="zh-CN"/>
        </w:rPr>
      </w:pPr>
      <w:r>
        <w:rPr>
          <w:rFonts w:eastAsia="Batang"/>
        </w:rPr>
        <w:t>For the indication of 16-QAM in uplink</w:t>
      </w:r>
    </w:p>
    <w:p w14:paraId="19B14F75" w14:textId="77777777" w:rsidR="00B66E0C" w:rsidRDefault="00557DA3">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The “Modulation and coding scheme” field in DCI Format N0 is utilized as in legacy for scheduling QPSK.</w:t>
      </w:r>
    </w:p>
    <w:p w14:paraId="42420C80" w14:textId="77777777" w:rsidR="00B66E0C" w:rsidRDefault="00557DA3">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One reserved state in the “Modulation and coding scheme” field in DCI Format N0 is utilized to indicate the use of 16QAM.</w:t>
      </w:r>
    </w:p>
    <w:p w14:paraId="7AE671E6" w14:textId="77777777" w:rsidR="00B66E0C" w:rsidRDefault="00557DA3">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14:paraId="75AC77DE" w14:textId="77777777" w:rsidR="00B66E0C" w:rsidRDefault="00557DA3">
      <w:pPr>
        <w:ind w:leftChars="200" w:left="440"/>
        <w:rPr>
          <w:highlight w:val="green"/>
          <w:lang w:eastAsia="zh-CN"/>
        </w:rPr>
      </w:pPr>
      <w:r>
        <w:rPr>
          <w:highlight w:val="green"/>
          <w:lang w:eastAsia="zh-CN"/>
        </w:rPr>
        <w:t>Agreement</w:t>
      </w:r>
    </w:p>
    <w:p w14:paraId="747F6E77" w14:textId="77777777" w:rsidR="00B66E0C" w:rsidRDefault="00557DA3">
      <w:pPr>
        <w:ind w:leftChars="200" w:left="440"/>
      </w:pPr>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in </w:t>
      </w:r>
      <w:commentRangeStart w:id="2"/>
      <w:r>
        <w:rPr>
          <w:b/>
        </w:rPr>
        <w:t>SIB</w:t>
      </w:r>
      <w:commentRangeEnd w:id="2"/>
      <w:r>
        <w:rPr>
          <w:rStyle w:val="af5"/>
        </w:rPr>
        <w:commentReference w:id="2"/>
      </w:r>
      <w:r>
        <w:rPr>
          <w:b/>
        </w:rPr>
        <w:t>.</w:t>
      </w:r>
    </w:p>
    <w:p w14:paraId="425BA594" w14:textId="77777777" w:rsidR="00B66E0C" w:rsidRDefault="00B66E0C"/>
    <w:p w14:paraId="19B79318" w14:textId="022419E2" w:rsidR="00557DA3" w:rsidRDefault="00557DA3">
      <w:r>
        <w:rPr>
          <w:rFonts w:hint="eastAsia"/>
        </w:rPr>
        <w:t xml:space="preserve">Regarding the comments that </w:t>
      </w:r>
      <w:r w:rsidR="006E061A">
        <w:t>inbandCarrierInfo can also be in Msg3, maybe we can have a proposal to correct it as below:</w:t>
      </w:r>
    </w:p>
    <w:p w14:paraId="34963961" w14:textId="69C5EC4B" w:rsidR="006E061A" w:rsidRPr="006E061A" w:rsidRDefault="006E061A">
      <w:pPr>
        <w:rPr>
          <w:b/>
        </w:rPr>
      </w:pPr>
      <w:r w:rsidRPr="006E061A">
        <w:rPr>
          <w:b/>
        </w:rPr>
        <w:t>Proposal 3: the agreement below is updated as</w:t>
      </w:r>
    </w:p>
    <w:p w14:paraId="548284F8" w14:textId="77777777" w:rsidR="006E061A" w:rsidRDefault="006E061A" w:rsidP="006E061A">
      <w:pPr>
        <w:ind w:leftChars="200" w:left="440"/>
        <w:rPr>
          <w:highlight w:val="green"/>
          <w:lang w:eastAsia="zh-CN"/>
        </w:rPr>
      </w:pPr>
      <w:r>
        <w:rPr>
          <w:highlight w:val="green"/>
          <w:lang w:eastAsia="zh-CN"/>
        </w:rPr>
        <w:t>Agreement</w:t>
      </w:r>
    </w:p>
    <w:p w14:paraId="5EEA9E40" w14:textId="2E340C64" w:rsidR="006E061A" w:rsidRDefault="006E061A" w:rsidP="006E061A">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w:t>
      </w:r>
      <w:r w:rsidRPr="006E061A">
        <w:rPr>
          <w:b/>
          <w:strike/>
          <w:color w:val="FF0000"/>
        </w:rPr>
        <w:t>in SIB</w:t>
      </w:r>
      <w:r>
        <w:rPr>
          <w:b/>
        </w:rPr>
        <w:t>.</w:t>
      </w:r>
    </w:p>
    <w:p w14:paraId="3292D091" w14:textId="77777777" w:rsidR="00557DA3" w:rsidRDefault="00557DA3"/>
    <w:p w14:paraId="360B5ABA" w14:textId="7413689D" w:rsidR="006E061A" w:rsidRDefault="006E061A">
      <w:pPr>
        <w:rPr>
          <w:rFonts w:hint="eastAsia"/>
        </w:rPr>
      </w:pPr>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6E061A" w14:paraId="0170DFA0" w14:textId="77777777" w:rsidTr="009177B2">
        <w:tc>
          <w:tcPr>
            <w:tcW w:w="1838" w:type="dxa"/>
          </w:tcPr>
          <w:p w14:paraId="26AD49DB" w14:textId="77777777" w:rsidR="006E061A" w:rsidRDefault="006E061A" w:rsidP="009177B2">
            <w:pPr>
              <w:rPr>
                <w:szCs w:val="20"/>
              </w:rPr>
            </w:pPr>
            <w:r>
              <w:rPr>
                <w:rFonts w:hint="eastAsia"/>
                <w:szCs w:val="20"/>
              </w:rPr>
              <w:t>Comp</w:t>
            </w:r>
            <w:r>
              <w:rPr>
                <w:szCs w:val="20"/>
              </w:rPr>
              <w:t>anies</w:t>
            </w:r>
          </w:p>
        </w:tc>
        <w:tc>
          <w:tcPr>
            <w:tcW w:w="7469" w:type="dxa"/>
          </w:tcPr>
          <w:p w14:paraId="60F711C0" w14:textId="77777777" w:rsidR="006E061A" w:rsidRDefault="006E061A" w:rsidP="009177B2">
            <w:pPr>
              <w:rPr>
                <w:szCs w:val="20"/>
              </w:rPr>
            </w:pPr>
            <w:r>
              <w:rPr>
                <w:rFonts w:hint="eastAsia"/>
                <w:szCs w:val="20"/>
              </w:rPr>
              <w:t>Comments</w:t>
            </w:r>
          </w:p>
        </w:tc>
      </w:tr>
      <w:tr w:rsidR="006E061A" w14:paraId="42DFB861" w14:textId="77777777" w:rsidTr="009177B2">
        <w:tc>
          <w:tcPr>
            <w:tcW w:w="1838" w:type="dxa"/>
          </w:tcPr>
          <w:p w14:paraId="623FADAD" w14:textId="408EA731" w:rsidR="006E061A" w:rsidRDefault="006E061A" w:rsidP="009177B2">
            <w:pPr>
              <w:rPr>
                <w:sz w:val="20"/>
                <w:szCs w:val="20"/>
              </w:rPr>
            </w:pPr>
          </w:p>
        </w:tc>
        <w:tc>
          <w:tcPr>
            <w:tcW w:w="7469" w:type="dxa"/>
          </w:tcPr>
          <w:p w14:paraId="67264987" w14:textId="77777777" w:rsidR="006E061A" w:rsidRDefault="006E061A" w:rsidP="009177B2">
            <w:pPr>
              <w:pStyle w:val="af7"/>
              <w:rPr>
                <w:rFonts w:ascii="Times New Roman" w:hAnsi="Times New Roman" w:cs="Times New Roman"/>
                <w:sz w:val="20"/>
                <w:szCs w:val="20"/>
              </w:rPr>
            </w:pPr>
          </w:p>
        </w:tc>
      </w:tr>
      <w:tr w:rsidR="006E061A" w14:paraId="16C14577" w14:textId="77777777" w:rsidTr="009177B2">
        <w:tc>
          <w:tcPr>
            <w:tcW w:w="1838" w:type="dxa"/>
          </w:tcPr>
          <w:p w14:paraId="1BB13024" w14:textId="084FF0CF" w:rsidR="006E061A" w:rsidRDefault="006E061A" w:rsidP="009177B2">
            <w:pPr>
              <w:rPr>
                <w:szCs w:val="20"/>
              </w:rPr>
            </w:pPr>
          </w:p>
        </w:tc>
        <w:tc>
          <w:tcPr>
            <w:tcW w:w="7469" w:type="dxa"/>
          </w:tcPr>
          <w:p w14:paraId="005D4F8B" w14:textId="3BB0CA5C" w:rsidR="006E061A" w:rsidRDefault="006E061A" w:rsidP="009177B2"/>
        </w:tc>
      </w:tr>
      <w:tr w:rsidR="006E061A" w14:paraId="5523F60D" w14:textId="77777777" w:rsidTr="009177B2">
        <w:tc>
          <w:tcPr>
            <w:tcW w:w="1838" w:type="dxa"/>
          </w:tcPr>
          <w:p w14:paraId="0F92A207" w14:textId="13713955" w:rsidR="006E061A" w:rsidRDefault="006E061A" w:rsidP="009177B2">
            <w:pPr>
              <w:rPr>
                <w:szCs w:val="20"/>
                <w:lang w:eastAsia="zh-CN"/>
              </w:rPr>
            </w:pPr>
          </w:p>
        </w:tc>
        <w:tc>
          <w:tcPr>
            <w:tcW w:w="7469" w:type="dxa"/>
          </w:tcPr>
          <w:p w14:paraId="075EA671" w14:textId="7DD5F050" w:rsidR="006E061A" w:rsidRDefault="006E061A" w:rsidP="009177B2">
            <w:pPr>
              <w:rPr>
                <w:szCs w:val="20"/>
                <w:lang w:eastAsia="zh-CN"/>
              </w:rPr>
            </w:pPr>
          </w:p>
        </w:tc>
      </w:tr>
    </w:tbl>
    <w:p w14:paraId="77EDAD04" w14:textId="77777777" w:rsidR="006E061A" w:rsidRDefault="006E061A"/>
    <w:p w14:paraId="6CA458C0" w14:textId="77777777" w:rsidR="006E061A" w:rsidRDefault="006E061A"/>
    <w:p w14:paraId="50EBF229" w14:textId="77777777" w:rsidR="00B66E0C" w:rsidRDefault="00557DA3">
      <w:pPr>
        <w:pStyle w:val="2"/>
        <w:rPr>
          <w:lang w:eastAsia="zh-CN"/>
        </w:rPr>
      </w:pPr>
      <w:r>
        <w:rPr>
          <w:lang w:eastAsia="zh-CN"/>
        </w:rPr>
        <w:t>Power allocation and power control</w:t>
      </w:r>
    </w:p>
    <w:p w14:paraId="06B5EF1B" w14:textId="77777777" w:rsidR="00B66E0C" w:rsidRDefault="00557DA3">
      <w:pPr>
        <w:pStyle w:val="30"/>
      </w:pPr>
      <w:r>
        <w:rPr>
          <w:lang w:eastAsia="zh-CN"/>
        </w:rPr>
        <w:t>Issue 3: downlink power allocation</w:t>
      </w:r>
    </w:p>
    <w:p w14:paraId="0CA29AFB" w14:textId="77777777" w:rsidR="00B66E0C" w:rsidRDefault="00557DA3">
      <w:pPr>
        <w:spacing w:line="240" w:lineRule="auto"/>
      </w:pPr>
      <w:r>
        <w:t>The following has been achieved:</w:t>
      </w:r>
    </w:p>
    <w:p w14:paraId="55203D30" w14:textId="77777777" w:rsidR="00B66E0C" w:rsidRDefault="00557DA3">
      <w:pPr>
        <w:autoSpaceDE/>
        <w:autoSpaceDN/>
        <w:adjustRightInd/>
        <w:snapToGrid/>
        <w:spacing w:after="0" w:line="240" w:lineRule="auto"/>
        <w:ind w:leftChars="200" w:left="440"/>
        <w:jc w:val="left"/>
        <w:rPr>
          <w:rFonts w:ascii="Times" w:hAnsi="Times"/>
          <w:b/>
          <w:sz w:val="20"/>
          <w:szCs w:val="24"/>
          <w:highlight w:val="green"/>
          <w:lang w:val="en-GB"/>
        </w:rPr>
      </w:pPr>
      <w:r>
        <w:rPr>
          <w:rFonts w:ascii="Times" w:hAnsi="Times"/>
          <w:b/>
          <w:sz w:val="20"/>
          <w:szCs w:val="24"/>
          <w:highlight w:val="green"/>
          <w:lang w:val="en-GB"/>
        </w:rPr>
        <w:t>Confirm working assumption:</w:t>
      </w:r>
    </w:p>
    <w:p w14:paraId="50D84882" w14:textId="77777777" w:rsidR="00B66E0C" w:rsidRDefault="00557DA3">
      <w:pPr>
        <w:overflowPunct w:val="0"/>
        <w:autoSpaceDE/>
        <w:autoSpaceDN/>
        <w:adjustRightInd/>
        <w:snapToGrid/>
        <w:spacing w:after="0" w:line="240" w:lineRule="auto"/>
        <w:ind w:leftChars="200" w:left="44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Working Assumption</w:t>
      </w:r>
    </w:p>
    <w:p w14:paraId="1462768D" w14:textId="77777777" w:rsidR="00B66E0C" w:rsidRDefault="00557DA3">
      <w:pPr>
        <w:overflowPunct w:val="0"/>
        <w:autoSpaceDE/>
        <w:autoSpaceDN/>
        <w:adjustRightInd/>
        <w:snapToGrid/>
        <w:spacing w:after="0" w:line="240" w:lineRule="auto"/>
        <w:ind w:leftChars="400" w:left="88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lastRenderedPageBreak/>
        <w:t>For downlink power allocation to support 16QAM:</w:t>
      </w:r>
    </w:p>
    <w:p w14:paraId="206AB21A" w14:textId="77777777" w:rsidR="00B66E0C" w:rsidRDefault="00557DA3">
      <w:pPr>
        <w:numPr>
          <w:ilvl w:val="0"/>
          <w:numId w:val="17"/>
        </w:numPr>
        <w:autoSpaceDE/>
        <w:autoSpaceDN/>
        <w:adjustRightInd/>
        <w:snapToGrid/>
        <w:spacing w:after="0" w:line="240" w:lineRule="auto"/>
        <w:ind w:leftChars="564" w:left="1601"/>
        <w:jc w:val="left"/>
        <w:rPr>
          <w:rFonts w:ascii="Times" w:hAnsi="Times" w:cs="Times"/>
          <w:sz w:val="20"/>
          <w:szCs w:val="20"/>
          <w:lang w:val="en-GB" w:eastAsia="ja-JP"/>
        </w:rPr>
      </w:pPr>
      <w:r>
        <w:rPr>
          <w:rFonts w:ascii="Times" w:hAnsi="Times" w:cs="Times"/>
          <w:sz w:val="20"/>
          <w:szCs w:val="20"/>
          <w:lang w:val="en-GB" w:eastAsia="ja-JP"/>
        </w:rPr>
        <w:t>For standalone and guard-band deployments:</w:t>
      </w:r>
    </w:p>
    <w:p w14:paraId="383F4FBC" w14:textId="77777777" w:rsidR="00B66E0C" w:rsidRDefault="00557DA3">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One power ratio is signaled optionally</w:t>
      </w:r>
    </w:p>
    <w:p w14:paraId="6FE2B34A" w14:textId="77777777" w:rsidR="00B66E0C" w:rsidRDefault="00557DA3">
      <w:pPr>
        <w:numPr>
          <w:ilvl w:val="2"/>
          <w:numId w:val="17"/>
        </w:numPr>
        <w:autoSpaceDE/>
        <w:autoSpaceDN/>
        <w:adjustRightInd/>
        <w:snapToGrid/>
        <w:spacing w:after="0" w:line="240" w:lineRule="auto"/>
        <w:ind w:leftChars="1218" w:left="3040"/>
        <w:jc w:val="left"/>
        <w:rPr>
          <w:rFonts w:ascii="Times" w:hAnsi="Times" w:cs="Times"/>
          <w:sz w:val="20"/>
          <w:szCs w:val="20"/>
          <w:lang w:val="en-GB" w:eastAsia="ja-JP"/>
        </w:rPr>
      </w:pPr>
      <w:r>
        <w:rPr>
          <w:rFonts w:ascii="Times" w:hAnsi="Times" w:cs="Times"/>
          <w:sz w:val="20"/>
          <w:szCs w:val="20"/>
          <w:lang w:val="en-GB" w:eastAsia="ja-JP"/>
        </w:rPr>
        <w:t>NPDSCH EPRE to NRS EPRE in symbols without NRS</w:t>
      </w:r>
    </w:p>
    <w:p w14:paraId="67050F79" w14:textId="77777777" w:rsidR="00B66E0C" w:rsidRDefault="00557DA3">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The same transmit power is assumed across different symbols.</w:t>
      </w:r>
    </w:p>
    <w:p w14:paraId="482F7CE2" w14:textId="77777777" w:rsidR="00B66E0C" w:rsidRDefault="00557DA3">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If the signalling is not indicated, the legacy power allocation is used.</w:t>
      </w:r>
    </w:p>
    <w:p w14:paraId="60D6C177" w14:textId="77777777" w:rsidR="00B66E0C" w:rsidRDefault="00557DA3">
      <w:pPr>
        <w:numPr>
          <w:ilvl w:val="2"/>
          <w:numId w:val="17"/>
        </w:numPr>
        <w:autoSpaceDE/>
        <w:autoSpaceDN/>
        <w:adjustRightInd/>
        <w:snapToGrid/>
        <w:spacing w:after="0" w:line="240" w:lineRule="auto"/>
        <w:ind w:leftChars="1218" w:left="3040"/>
        <w:jc w:val="left"/>
        <w:rPr>
          <w:rFonts w:ascii="Times" w:hAnsi="Times" w:cs="Times"/>
          <w:sz w:val="20"/>
          <w:szCs w:val="20"/>
          <w:lang w:val="en-GB" w:eastAsia="ja-JP"/>
        </w:rPr>
      </w:pPr>
      <w:r>
        <w:rPr>
          <w:rFonts w:ascii="Times" w:hAnsi="Times" w:cs="Times"/>
          <w:sz w:val="20"/>
          <w:szCs w:val="20"/>
          <w:lang w:val="en-GB" w:eastAsia="ja-JP"/>
        </w:rPr>
        <w:t>i.e., the ratio of NPDSCH EPRE to NRS EPRE is 0dB for one NRS antenna port, and -3dB for two NRS antenna ports</w:t>
      </w:r>
    </w:p>
    <w:p w14:paraId="29C8EA7E" w14:textId="77777777" w:rsidR="00B66E0C" w:rsidRDefault="00557DA3">
      <w:pPr>
        <w:numPr>
          <w:ilvl w:val="0"/>
          <w:numId w:val="17"/>
        </w:numPr>
        <w:autoSpaceDE/>
        <w:autoSpaceDN/>
        <w:adjustRightInd/>
        <w:snapToGrid/>
        <w:spacing w:after="0" w:line="240" w:lineRule="auto"/>
        <w:ind w:leftChars="564" w:left="1601"/>
        <w:jc w:val="left"/>
        <w:rPr>
          <w:rFonts w:ascii="Times" w:hAnsi="Times" w:cs="Times"/>
          <w:sz w:val="20"/>
          <w:szCs w:val="20"/>
          <w:lang w:val="en-GB" w:eastAsia="ja-JP"/>
        </w:rPr>
      </w:pPr>
      <w:r>
        <w:rPr>
          <w:rFonts w:ascii="Times" w:hAnsi="Times" w:cs="Times"/>
          <w:sz w:val="20"/>
          <w:szCs w:val="20"/>
          <w:lang w:val="en-GB" w:eastAsia="ja-JP"/>
        </w:rPr>
        <w:t>UE specific signalling is used</w:t>
      </w:r>
    </w:p>
    <w:p w14:paraId="077F689F" w14:textId="77777777" w:rsidR="002B53CD" w:rsidRDefault="002B53CD">
      <w:pPr>
        <w:spacing w:line="240" w:lineRule="auto"/>
      </w:pPr>
    </w:p>
    <w:p w14:paraId="1BD8ABB5" w14:textId="362012D6" w:rsidR="00B66E0C" w:rsidRDefault="002B53CD">
      <w:pPr>
        <w:spacing w:line="240" w:lineRule="auto"/>
      </w:pPr>
      <w:r>
        <w:rPr>
          <w:rFonts w:hint="eastAsia"/>
        </w:rPr>
        <w:t>For inband, there</w:t>
      </w:r>
      <w:r>
        <w:t>’s still following two alternatives:</w:t>
      </w:r>
    </w:p>
    <w:p w14:paraId="3DE25923" w14:textId="77777777" w:rsidR="002B53CD" w:rsidRPr="00CE3541" w:rsidRDefault="002B53CD" w:rsidP="002B53CD">
      <w:pPr>
        <w:numPr>
          <w:ilvl w:val="0"/>
          <w:numId w:val="23"/>
        </w:numPr>
        <w:autoSpaceDE/>
        <w:autoSpaceDN/>
        <w:adjustRightInd/>
        <w:snapToGrid/>
        <w:spacing w:after="0" w:line="240" w:lineRule="auto"/>
        <w:jc w:val="left"/>
        <w:rPr>
          <w:rFonts w:cs="Times"/>
          <w:szCs w:val="20"/>
          <w:lang w:eastAsia="zh-CN"/>
        </w:rPr>
      </w:pPr>
      <w:r w:rsidRPr="00CE3541">
        <w:rPr>
          <w:rFonts w:cs="Times"/>
          <w:szCs w:val="20"/>
          <w:lang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14:paraId="2F8273C6" w14:textId="77777777" w:rsidR="002B53CD" w:rsidRPr="00CE3541" w:rsidRDefault="002B53CD" w:rsidP="002B53CD">
      <w:pPr>
        <w:numPr>
          <w:ilvl w:val="1"/>
          <w:numId w:val="23"/>
        </w:numPr>
        <w:autoSpaceDE/>
        <w:autoSpaceDN/>
        <w:adjustRightInd/>
        <w:snapToGrid/>
        <w:spacing w:after="0" w:line="240" w:lineRule="auto"/>
        <w:jc w:val="left"/>
        <w:rPr>
          <w:rFonts w:cs="Times"/>
          <w:szCs w:val="20"/>
          <w:lang w:eastAsia="zh-CN"/>
        </w:rPr>
      </w:pPr>
      <w:r w:rsidRPr="00CE3541">
        <w:rPr>
          <w:rFonts w:cs="Times"/>
          <w:szCs w:val="20"/>
          <w:lang w:eastAsia="zh-CN"/>
        </w:rPr>
        <w:t>Alt 1:</w:t>
      </w:r>
    </w:p>
    <w:p w14:paraId="3AA04786" w14:textId="77777777" w:rsidR="002B53CD" w:rsidRPr="00CE3541" w:rsidRDefault="002B53CD" w:rsidP="002B53CD">
      <w:pPr>
        <w:numPr>
          <w:ilvl w:val="2"/>
          <w:numId w:val="23"/>
        </w:numPr>
        <w:autoSpaceDE/>
        <w:autoSpaceDN/>
        <w:adjustRightInd/>
        <w:snapToGrid/>
        <w:spacing w:after="0" w:line="240" w:lineRule="auto"/>
        <w:jc w:val="left"/>
        <w:rPr>
          <w:rFonts w:cs="Times"/>
          <w:szCs w:val="20"/>
          <w:lang w:eastAsia="zh-CN"/>
        </w:rPr>
      </w:pPr>
      <w:r w:rsidRPr="00CE3541">
        <w:rPr>
          <w:rFonts w:cs="Times"/>
          <w:szCs w:val="20"/>
          <w:lang w:eastAsia="zh-CN"/>
        </w:rPr>
        <w:t>The existing parameter nrs-CRS-PowerOffset is reused for same PCI case, and is signaled</w:t>
      </w:r>
      <w:r w:rsidRPr="00CE3541">
        <w:rPr>
          <w:szCs w:val="20"/>
          <w:lang w:eastAsia="zh-CN"/>
        </w:rPr>
        <w:t xml:space="preserve"> for different PCI case.</w:t>
      </w:r>
    </w:p>
    <w:p w14:paraId="31E4BC4B" w14:textId="77777777" w:rsidR="002B53CD" w:rsidRPr="00CE3541" w:rsidRDefault="002B53CD" w:rsidP="002B53CD">
      <w:pPr>
        <w:numPr>
          <w:ilvl w:val="2"/>
          <w:numId w:val="23"/>
        </w:numPr>
        <w:autoSpaceDE/>
        <w:autoSpaceDN/>
        <w:adjustRightInd/>
        <w:snapToGrid/>
        <w:spacing w:after="0" w:line="240" w:lineRule="auto"/>
        <w:jc w:val="left"/>
        <w:rPr>
          <w:szCs w:val="20"/>
          <w:lang w:eastAsia="zh-CN"/>
        </w:rPr>
      </w:pPr>
      <w:r w:rsidRPr="00CE3541">
        <w:rPr>
          <w:szCs w:val="20"/>
          <w:lang w:eastAsia="zh-CN"/>
        </w:rPr>
        <w:t xml:space="preserve">The same transmit power of different symbols is assumed as to derive from </w:t>
      </w:r>
      <w:r w:rsidRPr="00CE3541">
        <w:rPr>
          <w:i/>
          <w:iCs/>
          <w:szCs w:val="20"/>
          <w:lang w:eastAsia="zh-CN"/>
        </w:rPr>
        <w:t>nrs-CRS-PowerOffset</w:t>
      </w:r>
      <w:r w:rsidRPr="00CE3541">
        <w:rPr>
          <w:szCs w:val="20"/>
          <w:lang w:eastAsia="zh-CN"/>
        </w:rPr>
        <w:t xml:space="preserve"> the NPDSCH EPRE in symbols with CRS.</w:t>
      </w:r>
    </w:p>
    <w:p w14:paraId="2F185034" w14:textId="77777777" w:rsidR="002B53CD" w:rsidRPr="00CE3541" w:rsidRDefault="002B53CD" w:rsidP="002B53CD">
      <w:pPr>
        <w:numPr>
          <w:ilvl w:val="1"/>
          <w:numId w:val="23"/>
        </w:numPr>
        <w:autoSpaceDE/>
        <w:autoSpaceDN/>
        <w:adjustRightInd/>
        <w:snapToGrid/>
        <w:spacing w:after="0" w:line="240" w:lineRule="auto"/>
        <w:jc w:val="left"/>
        <w:rPr>
          <w:rFonts w:cs="Times"/>
          <w:szCs w:val="20"/>
          <w:lang w:eastAsia="zh-CN"/>
        </w:rPr>
      </w:pPr>
      <w:r w:rsidRPr="00CE3541">
        <w:rPr>
          <w:rFonts w:cs="Times"/>
          <w:szCs w:val="20"/>
          <w:lang w:eastAsia="zh-CN"/>
        </w:rPr>
        <w:t xml:space="preserve">Alt 2: </w:t>
      </w:r>
    </w:p>
    <w:p w14:paraId="52C9B541" w14:textId="77777777" w:rsidR="002B53CD" w:rsidRPr="00CE3541" w:rsidRDefault="002B53CD" w:rsidP="002B53CD">
      <w:pPr>
        <w:numPr>
          <w:ilvl w:val="2"/>
          <w:numId w:val="23"/>
        </w:numPr>
        <w:autoSpaceDE/>
        <w:autoSpaceDN/>
        <w:adjustRightInd/>
        <w:snapToGrid/>
        <w:spacing w:after="0" w:line="240" w:lineRule="auto"/>
        <w:jc w:val="left"/>
        <w:rPr>
          <w:szCs w:val="20"/>
          <w:lang w:eastAsia="zh-CN"/>
        </w:rPr>
      </w:pPr>
      <w:r w:rsidRPr="00CE3541">
        <w:rPr>
          <w:szCs w:val="20"/>
          <w:lang w:eastAsia="zh-CN"/>
        </w:rPr>
        <w:t>the power ratio between NPDSCH EPRE and NRS EPRE in symbols with CRS is signaled</w:t>
      </w:r>
    </w:p>
    <w:p w14:paraId="50F084B6" w14:textId="77777777" w:rsidR="002B53CD" w:rsidRDefault="002B53CD">
      <w:pPr>
        <w:spacing w:line="240" w:lineRule="auto"/>
      </w:pPr>
    </w:p>
    <w:p w14:paraId="6240009D" w14:textId="214260E3" w:rsidR="00B66E0C" w:rsidRDefault="00C305C0">
      <w:pPr>
        <w:spacing w:line="240" w:lineRule="auto"/>
      </w:pPr>
      <w:r>
        <w:t>For inband, o</w:t>
      </w:r>
      <w:r w:rsidR="00557DA3">
        <w:rPr>
          <w:rFonts w:hint="eastAsia"/>
        </w:rPr>
        <w:t>ne company (QC) raised a concern over Alt-1</w:t>
      </w:r>
      <w:r w:rsidR="00557DA3">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B66E0C" w14:paraId="7632E6C0" w14:textId="77777777">
        <w:tc>
          <w:tcPr>
            <w:tcW w:w="4653" w:type="dxa"/>
          </w:tcPr>
          <w:p w14:paraId="4C647A46" w14:textId="77777777" w:rsidR="00B66E0C" w:rsidRDefault="00557DA3">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B66E0C" w14:paraId="343EB7AA" w14:textId="77777777">
              <w:trPr>
                <w:trHeight w:val="300"/>
                <w:jc w:val="center"/>
              </w:trPr>
              <w:tc>
                <w:tcPr>
                  <w:tcW w:w="960" w:type="dxa"/>
                  <w:shd w:val="clear" w:color="000000" w:fill="FFC7CE"/>
                  <w:noWrap/>
                  <w:vAlign w:val="bottom"/>
                </w:tcPr>
                <w:p w14:paraId="45B3B735" w14:textId="77777777" w:rsidR="00B66E0C" w:rsidRDefault="00557DA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1A8835B0"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768054B6" w14:textId="77777777" w:rsidR="00B66E0C" w:rsidRDefault="00557DA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B66E0C" w14:paraId="42659F2C" w14:textId="77777777">
              <w:trPr>
                <w:trHeight w:val="300"/>
                <w:jc w:val="center"/>
              </w:trPr>
              <w:tc>
                <w:tcPr>
                  <w:tcW w:w="960" w:type="dxa"/>
                  <w:shd w:val="clear" w:color="000000" w:fill="FFEB9C"/>
                  <w:noWrap/>
                  <w:vAlign w:val="bottom"/>
                </w:tcPr>
                <w:p w14:paraId="6518BDD0"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0136B23A"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2A60107F"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5DE85440" w14:textId="77777777">
              <w:trPr>
                <w:trHeight w:val="300"/>
                <w:jc w:val="center"/>
              </w:trPr>
              <w:tc>
                <w:tcPr>
                  <w:tcW w:w="960" w:type="dxa"/>
                  <w:shd w:val="clear" w:color="000000" w:fill="FFEB9C"/>
                  <w:noWrap/>
                  <w:vAlign w:val="bottom"/>
                </w:tcPr>
                <w:p w14:paraId="4F982174"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1A4845CC"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1AA50BD"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406FE32B" w14:textId="77777777">
              <w:trPr>
                <w:trHeight w:val="300"/>
                <w:jc w:val="center"/>
              </w:trPr>
              <w:tc>
                <w:tcPr>
                  <w:tcW w:w="960" w:type="dxa"/>
                  <w:shd w:val="clear" w:color="000000" w:fill="FFEB9C"/>
                  <w:noWrap/>
                  <w:vAlign w:val="bottom"/>
                </w:tcPr>
                <w:p w14:paraId="34F5032D"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687ACB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0DF9BA6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23AD5ED7" w14:textId="77777777">
              <w:trPr>
                <w:trHeight w:val="300"/>
                <w:jc w:val="center"/>
              </w:trPr>
              <w:tc>
                <w:tcPr>
                  <w:tcW w:w="960" w:type="dxa"/>
                  <w:shd w:val="clear" w:color="000000" w:fill="FFEB9C"/>
                  <w:noWrap/>
                  <w:vAlign w:val="bottom"/>
                </w:tcPr>
                <w:p w14:paraId="1F6AD0D9"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5FDAE1B5"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B11C48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4C763C52" w14:textId="77777777">
              <w:trPr>
                <w:trHeight w:val="300"/>
                <w:jc w:val="center"/>
              </w:trPr>
              <w:tc>
                <w:tcPr>
                  <w:tcW w:w="960" w:type="dxa"/>
                  <w:shd w:val="clear" w:color="000000" w:fill="FFEB9C"/>
                  <w:noWrap/>
                  <w:vAlign w:val="bottom"/>
                </w:tcPr>
                <w:p w14:paraId="4D1C11E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8E6D249"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5A1E036C"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2A6F0D10" w14:textId="77777777">
              <w:trPr>
                <w:trHeight w:val="300"/>
                <w:jc w:val="center"/>
              </w:trPr>
              <w:tc>
                <w:tcPr>
                  <w:tcW w:w="960" w:type="dxa"/>
                  <w:shd w:val="clear" w:color="000000" w:fill="FFC7CE"/>
                  <w:noWrap/>
                  <w:vAlign w:val="bottom"/>
                </w:tcPr>
                <w:p w14:paraId="6EF4F9D1" w14:textId="77777777" w:rsidR="00B66E0C" w:rsidRDefault="00557DA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4720B392"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4C95D090" w14:textId="77777777" w:rsidR="00B66E0C" w:rsidRDefault="00557DA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B66E0C" w14:paraId="149AF379" w14:textId="77777777">
              <w:trPr>
                <w:trHeight w:val="300"/>
                <w:jc w:val="center"/>
              </w:trPr>
              <w:tc>
                <w:tcPr>
                  <w:tcW w:w="960" w:type="dxa"/>
                  <w:shd w:val="clear" w:color="000000" w:fill="FFEB9C"/>
                  <w:noWrap/>
                  <w:vAlign w:val="bottom"/>
                </w:tcPr>
                <w:p w14:paraId="0154F61C"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37234BD"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3F5E02B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00DA1FC3" w14:textId="77777777">
              <w:trPr>
                <w:trHeight w:val="300"/>
                <w:jc w:val="center"/>
              </w:trPr>
              <w:tc>
                <w:tcPr>
                  <w:tcW w:w="960" w:type="dxa"/>
                  <w:shd w:val="clear" w:color="000000" w:fill="FFEB9C"/>
                  <w:noWrap/>
                  <w:vAlign w:val="bottom"/>
                </w:tcPr>
                <w:p w14:paraId="177B219B"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9C4F712"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4475D7B"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00412B6C" w14:textId="77777777">
              <w:trPr>
                <w:trHeight w:val="300"/>
                <w:jc w:val="center"/>
              </w:trPr>
              <w:tc>
                <w:tcPr>
                  <w:tcW w:w="960" w:type="dxa"/>
                  <w:shd w:val="clear" w:color="000000" w:fill="FFEB9C"/>
                  <w:noWrap/>
                  <w:vAlign w:val="bottom"/>
                </w:tcPr>
                <w:p w14:paraId="4B013AC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0938D45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435D535"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23C74B24" w14:textId="77777777">
              <w:trPr>
                <w:trHeight w:val="300"/>
                <w:jc w:val="center"/>
              </w:trPr>
              <w:tc>
                <w:tcPr>
                  <w:tcW w:w="960" w:type="dxa"/>
                  <w:shd w:val="clear" w:color="000000" w:fill="FFEB9C"/>
                  <w:noWrap/>
                  <w:vAlign w:val="bottom"/>
                </w:tcPr>
                <w:p w14:paraId="5F2B878E"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3FC2AB5"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1BFF14A2"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4201D960" w14:textId="77777777">
              <w:trPr>
                <w:trHeight w:val="300"/>
                <w:jc w:val="center"/>
              </w:trPr>
              <w:tc>
                <w:tcPr>
                  <w:tcW w:w="960" w:type="dxa"/>
                  <w:shd w:val="clear" w:color="000000" w:fill="FFEB9C"/>
                  <w:noWrap/>
                  <w:vAlign w:val="bottom"/>
                </w:tcPr>
                <w:p w14:paraId="2F9A7813"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53FD3C2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34F8A5EA"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5BFD09C5" w14:textId="77777777" w:rsidR="00B66E0C" w:rsidRDefault="00B66E0C">
            <w:pPr>
              <w:spacing w:line="240" w:lineRule="auto"/>
            </w:pPr>
          </w:p>
        </w:tc>
        <w:tc>
          <w:tcPr>
            <w:tcW w:w="4654" w:type="dxa"/>
            <w:vMerge w:val="restart"/>
          </w:tcPr>
          <w:p w14:paraId="156CB8DD" w14:textId="77777777" w:rsidR="00B66E0C" w:rsidRDefault="00557DA3">
            <w:pPr>
              <w:pStyle w:val="a6"/>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B66E0C" w14:paraId="09C35C2C" w14:textId="77777777">
              <w:trPr>
                <w:trHeight w:val="300"/>
                <w:jc w:val="center"/>
              </w:trPr>
              <w:tc>
                <w:tcPr>
                  <w:tcW w:w="960" w:type="dxa"/>
                  <w:vMerge w:val="restart"/>
                  <w:shd w:val="clear" w:color="auto" w:fill="FFFFFF" w:themeFill="background1"/>
                </w:tcPr>
                <w:p w14:paraId="06FCB827" w14:textId="77777777" w:rsidR="00B66E0C" w:rsidRDefault="00B66E0C">
                  <w:pPr>
                    <w:spacing w:after="0"/>
                    <w:jc w:val="right"/>
                    <w:rPr>
                      <w:rFonts w:ascii="Calibri" w:hAnsi="Calibri" w:cs="Calibri"/>
                    </w:rPr>
                  </w:pPr>
                </w:p>
                <w:p w14:paraId="283156AF" w14:textId="77777777" w:rsidR="00B66E0C" w:rsidRDefault="00B66E0C">
                  <w:pPr>
                    <w:spacing w:after="0"/>
                    <w:jc w:val="right"/>
                    <w:rPr>
                      <w:rFonts w:ascii="Calibri" w:hAnsi="Calibri" w:cs="Calibri"/>
                    </w:rPr>
                  </w:pPr>
                </w:p>
                <w:p w14:paraId="07D738FE" w14:textId="77777777" w:rsidR="00B66E0C" w:rsidRDefault="00B66E0C">
                  <w:pPr>
                    <w:spacing w:after="0"/>
                    <w:jc w:val="right"/>
                    <w:rPr>
                      <w:rFonts w:ascii="Calibri" w:hAnsi="Calibri" w:cs="Calibri"/>
                    </w:rPr>
                  </w:pPr>
                </w:p>
                <w:p w14:paraId="66B20B56" w14:textId="77777777" w:rsidR="00B66E0C" w:rsidRDefault="00B66E0C">
                  <w:pPr>
                    <w:spacing w:after="0"/>
                    <w:jc w:val="right"/>
                    <w:rPr>
                      <w:rFonts w:ascii="Calibri" w:hAnsi="Calibri" w:cs="Calibri"/>
                    </w:rPr>
                  </w:pPr>
                </w:p>
                <w:p w14:paraId="5769E2BE" w14:textId="77777777" w:rsidR="00B66E0C" w:rsidRDefault="00B66E0C">
                  <w:pPr>
                    <w:spacing w:after="0"/>
                    <w:jc w:val="right"/>
                    <w:rPr>
                      <w:rFonts w:ascii="Calibri" w:hAnsi="Calibri" w:cs="Calibri"/>
                    </w:rPr>
                  </w:pPr>
                </w:p>
                <w:p w14:paraId="142C8092" w14:textId="77777777" w:rsidR="00B66E0C" w:rsidRDefault="00557DA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0A4D29F3"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D4EF8A3"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9A5693E"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4780C59E" w14:textId="77777777">
              <w:trPr>
                <w:trHeight w:val="300"/>
                <w:jc w:val="center"/>
              </w:trPr>
              <w:tc>
                <w:tcPr>
                  <w:tcW w:w="960" w:type="dxa"/>
                  <w:vMerge/>
                  <w:shd w:val="clear" w:color="auto" w:fill="FFFFFF" w:themeFill="background1"/>
                </w:tcPr>
                <w:p w14:paraId="26B3C600" w14:textId="77777777" w:rsidR="00B66E0C" w:rsidRDefault="00B66E0C">
                  <w:pPr>
                    <w:spacing w:after="0"/>
                    <w:jc w:val="right"/>
                    <w:rPr>
                      <w:rFonts w:ascii="Calibri" w:hAnsi="Calibri" w:cs="Calibri"/>
                    </w:rPr>
                  </w:pPr>
                </w:p>
              </w:tc>
              <w:tc>
                <w:tcPr>
                  <w:tcW w:w="960" w:type="dxa"/>
                  <w:shd w:val="clear" w:color="000000" w:fill="FFEB9C"/>
                  <w:noWrap/>
                  <w:vAlign w:val="bottom"/>
                </w:tcPr>
                <w:p w14:paraId="59BFA273"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7C7F550"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D1AC83E"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5EFED99" w14:textId="77777777">
              <w:trPr>
                <w:trHeight w:val="300"/>
                <w:jc w:val="center"/>
              </w:trPr>
              <w:tc>
                <w:tcPr>
                  <w:tcW w:w="960" w:type="dxa"/>
                  <w:vMerge/>
                  <w:shd w:val="clear" w:color="auto" w:fill="FFFFFF" w:themeFill="background1"/>
                </w:tcPr>
                <w:p w14:paraId="322A2919" w14:textId="77777777" w:rsidR="00B66E0C" w:rsidRDefault="00B66E0C">
                  <w:pPr>
                    <w:spacing w:after="0"/>
                    <w:jc w:val="right"/>
                    <w:rPr>
                      <w:rFonts w:ascii="Calibri" w:hAnsi="Calibri" w:cs="Calibri"/>
                    </w:rPr>
                  </w:pPr>
                </w:p>
              </w:tc>
              <w:tc>
                <w:tcPr>
                  <w:tcW w:w="960" w:type="dxa"/>
                  <w:shd w:val="clear" w:color="000000" w:fill="FFEB9C"/>
                  <w:noWrap/>
                  <w:vAlign w:val="bottom"/>
                </w:tcPr>
                <w:p w14:paraId="167770BD"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F2CAF2A"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048DA69"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BA533B4" w14:textId="77777777">
              <w:trPr>
                <w:trHeight w:val="300"/>
                <w:jc w:val="center"/>
              </w:trPr>
              <w:tc>
                <w:tcPr>
                  <w:tcW w:w="960" w:type="dxa"/>
                  <w:vMerge/>
                  <w:shd w:val="clear" w:color="auto" w:fill="FFFFFF" w:themeFill="background1"/>
                </w:tcPr>
                <w:p w14:paraId="507ADF5F" w14:textId="77777777" w:rsidR="00B66E0C" w:rsidRDefault="00B66E0C">
                  <w:pPr>
                    <w:spacing w:after="0"/>
                    <w:jc w:val="right"/>
                    <w:rPr>
                      <w:rFonts w:ascii="Calibri" w:hAnsi="Calibri" w:cs="Calibri"/>
                    </w:rPr>
                  </w:pPr>
                </w:p>
              </w:tc>
              <w:tc>
                <w:tcPr>
                  <w:tcW w:w="960" w:type="dxa"/>
                  <w:shd w:val="clear" w:color="000000" w:fill="FFEB9C"/>
                  <w:noWrap/>
                  <w:vAlign w:val="bottom"/>
                </w:tcPr>
                <w:p w14:paraId="14D822B8"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2B8B334"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2BF9ADF"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AFCDAC0" w14:textId="77777777">
              <w:trPr>
                <w:trHeight w:val="300"/>
                <w:jc w:val="center"/>
              </w:trPr>
              <w:tc>
                <w:tcPr>
                  <w:tcW w:w="960" w:type="dxa"/>
                  <w:vMerge/>
                  <w:shd w:val="clear" w:color="auto" w:fill="FFFFFF" w:themeFill="background1"/>
                </w:tcPr>
                <w:p w14:paraId="1BBD604D" w14:textId="77777777" w:rsidR="00B66E0C" w:rsidRDefault="00B66E0C">
                  <w:pPr>
                    <w:spacing w:after="0"/>
                    <w:jc w:val="right"/>
                    <w:rPr>
                      <w:rFonts w:ascii="Calibri" w:hAnsi="Calibri" w:cs="Calibri"/>
                    </w:rPr>
                  </w:pPr>
                </w:p>
              </w:tc>
              <w:tc>
                <w:tcPr>
                  <w:tcW w:w="960" w:type="dxa"/>
                  <w:shd w:val="clear" w:color="000000" w:fill="FFEB9C"/>
                  <w:noWrap/>
                  <w:vAlign w:val="bottom"/>
                </w:tcPr>
                <w:p w14:paraId="4B2430A1"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66A7557"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D24772C"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2C76E32" w14:textId="77777777">
              <w:trPr>
                <w:trHeight w:val="300"/>
                <w:jc w:val="center"/>
              </w:trPr>
              <w:tc>
                <w:tcPr>
                  <w:tcW w:w="960" w:type="dxa"/>
                  <w:vMerge/>
                  <w:shd w:val="clear" w:color="auto" w:fill="FFFFFF" w:themeFill="background1"/>
                </w:tcPr>
                <w:p w14:paraId="5160FD0C" w14:textId="77777777" w:rsidR="00B66E0C" w:rsidRDefault="00B66E0C">
                  <w:pPr>
                    <w:spacing w:after="0"/>
                    <w:jc w:val="right"/>
                    <w:rPr>
                      <w:rFonts w:ascii="Calibri" w:hAnsi="Calibri" w:cs="Calibri"/>
                    </w:rPr>
                  </w:pPr>
                </w:p>
              </w:tc>
              <w:tc>
                <w:tcPr>
                  <w:tcW w:w="960" w:type="dxa"/>
                  <w:shd w:val="clear" w:color="000000" w:fill="FFEB9C"/>
                  <w:noWrap/>
                  <w:vAlign w:val="bottom"/>
                </w:tcPr>
                <w:p w14:paraId="10D89499"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FC95FE3"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B706B0B"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0EEB7CF2" w14:textId="77777777">
              <w:trPr>
                <w:trHeight w:val="300"/>
                <w:jc w:val="center"/>
              </w:trPr>
              <w:tc>
                <w:tcPr>
                  <w:tcW w:w="960" w:type="dxa"/>
                  <w:vMerge/>
                  <w:shd w:val="clear" w:color="auto" w:fill="FFFFFF" w:themeFill="background1"/>
                </w:tcPr>
                <w:p w14:paraId="27DB4EE7" w14:textId="77777777" w:rsidR="00B66E0C" w:rsidRDefault="00B66E0C">
                  <w:pPr>
                    <w:spacing w:after="0"/>
                    <w:jc w:val="right"/>
                    <w:rPr>
                      <w:rFonts w:ascii="Calibri" w:hAnsi="Calibri" w:cs="Calibri"/>
                    </w:rPr>
                  </w:pPr>
                </w:p>
              </w:tc>
              <w:tc>
                <w:tcPr>
                  <w:tcW w:w="960" w:type="dxa"/>
                  <w:shd w:val="clear" w:color="000000" w:fill="FFC7CE"/>
                  <w:noWrap/>
                  <w:vAlign w:val="bottom"/>
                </w:tcPr>
                <w:p w14:paraId="236ECC7C"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CA77F58"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70CD4C0D"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7FCA4404" w14:textId="77777777">
              <w:trPr>
                <w:trHeight w:val="300"/>
                <w:jc w:val="center"/>
              </w:trPr>
              <w:tc>
                <w:tcPr>
                  <w:tcW w:w="960" w:type="dxa"/>
                  <w:vMerge/>
                  <w:shd w:val="clear" w:color="auto" w:fill="FFFFFF" w:themeFill="background1"/>
                </w:tcPr>
                <w:p w14:paraId="7B250AE1" w14:textId="77777777" w:rsidR="00B66E0C" w:rsidRDefault="00B66E0C">
                  <w:pPr>
                    <w:spacing w:after="0"/>
                    <w:jc w:val="right"/>
                    <w:rPr>
                      <w:rFonts w:ascii="Calibri" w:hAnsi="Calibri" w:cs="Calibri"/>
                    </w:rPr>
                  </w:pPr>
                </w:p>
              </w:tc>
              <w:tc>
                <w:tcPr>
                  <w:tcW w:w="960" w:type="dxa"/>
                  <w:shd w:val="clear" w:color="000000" w:fill="FFEB9C"/>
                  <w:noWrap/>
                  <w:vAlign w:val="bottom"/>
                </w:tcPr>
                <w:p w14:paraId="571F5811"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882679A"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DCD8092"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5F68BD76" w14:textId="77777777">
              <w:trPr>
                <w:trHeight w:val="300"/>
                <w:jc w:val="center"/>
              </w:trPr>
              <w:tc>
                <w:tcPr>
                  <w:tcW w:w="960" w:type="dxa"/>
                  <w:vMerge/>
                  <w:shd w:val="clear" w:color="auto" w:fill="FFFFFF" w:themeFill="background1"/>
                </w:tcPr>
                <w:p w14:paraId="0DA04BB6" w14:textId="77777777" w:rsidR="00B66E0C" w:rsidRDefault="00B66E0C">
                  <w:pPr>
                    <w:spacing w:after="0"/>
                    <w:jc w:val="right"/>
                    <w:rPr>
                      <w:rFonts w:ascii="Calibri" w:hAnsi="Calibri" w:cs="Calibri"/>
                    </w:rPr>
                  </w:pPr>
                </w:p>
              </w:tc>
              <w:tc>
                <w:tcPr>
                  <w:tcW w:w="960" w:type="dxa"/>
                  <w:shd w:val="clear" w:color="000000" w:fill="FFEB9C"/>
                  <w:noWrap/>
                  <w:vAlign w:val="bottom"/>
                </w:tcPr>
                <w:p w14:paraId="59853B24"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73AAC7E"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0F84480"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3C22124" w14:textId="77777777">
              <w:trPr>
                <w:trHeight w:val="300"/>
                <w:jc w:val="center"/>
              </w:trPr>
              <w:tc>
                <w:tcPr>
                  <w:tcW w:w="960" w:type="dxa"/>
                  <w:vMerge/>
                  <w:shd w:val="clear" w:color="auto" w:fill="FFFFFF" w:themeFill="background1"/>
                </w:tcPr>
                <w:p w14:paraId="50394556" w14:textId="77777777" w:rsidR="00B66E0C" w:rsidRDefault="00B66E0C">
                  <w:pPr>
                    <w:spacing w:after="0"/>
                    <w:jc w:val="right"/>
                    <w:rPr>
                      <w:rFonts w:ascii="Calibri" w:hAnsi="Calibri" w:cs="Calibri"/>
                    </w:rPr>
                  </w:pPr>
                </w:p>
              </w:tc>
              <w:tc>
                <w:tcPr>
                  <w:tcW w:w="960" w:type="dxa"/>
                  <w:shd w:val="clear" w:color="000000" w:fill="FFEB9C"/>
                  <w:noWrap/>
                  <w:vAlign w:val="bottom"/>
                </w:tcPr>
                <w:p w14:paraId="4025DC8B"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78A9458"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A69B142"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284FCE24" w14:textId="77777777">
              <w:trPr>
                <w:trHeight w:val="300"/>
                <w:jc w:val="center"/>
              </w:trPr>
              <w:tc>
                <w:tcPr>
                  <w:tcW w:w="960" w:type="dxa"/>
                  <w:vMerge/>
                  <w:shd w:val="clear" w:color="auto" w:fill="FFFFFF" w:themeFill="background1"/>
                </w:tcPr>
                <w:p w14:paraId="797E5F0E" w14:textId="77777777" w:rsidR="00B66E0C" w:rsidRDefault="00B66E0C">
                  <w:pPr>
                    <w:spacing w:after="0"/>
                    <w:jc w:val="right"/>
                    <w:rPr>
                      <w:rFonts w:ascii="Calibri" w:hAnsi="Calibri" w:cs="Calibri"/>
                    </w:rPr>
                  </w:pPr>
                </w:p>
              </w:tc>
              <w:tc>
                <w:tcPr>
                  <w:tcW w:w="960" w:type="dxa"/>
                  <w:shd w:val="clear" w:color="000000" w:fill="FFEB9C"/>
                  <w:noWrap/>
                  <w:vAlign w:val="bottom"/>
                </w:tcPr>
                <w:p w14:paraId="00119B65"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3E83162F"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5F6CE29"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01EF74A" w14:textId="77777777">
              <w:trPr>
                <w:trHeight w:val="300"/>
                <w:jc w:val="center"/>
              </w:trPr>
              <w:tc>
                <w:tcPr>
                  <w:tcW w:w="960" w:type="dxa"/>
                  <w:vMerge/>
                  <w:shd w:val="clear" w:color="auto" w:fill="FFFFFF" w:themeFill="background1"/>
                </w:tcPr>
                <w:p w14:paraId="18A40D5A" w14:textId="77777777" w:rsidR="00B66E0C" w:rsidRDefault="00B66E0C">
                  <w:pPr>
                    <w:spacing w:after="0"/>
                    <w:jc w:val="right"/>
                    <w:rPr>
                      <w:rFonts w:ascii="Calibri" w:hAnsi="Calibri" w:cs="Calibri"/>
                    </w:rPr>
                  </w:pPr>
                </w:p>
              </w:tc>
              <w:tc>
                <w:tcPr>
                  <w:tcW w:w="960" w:type="dxa"/>
                  <w:shd w:val="clear" w:color="000000" w:fill="FFEB9C"/>
                  <w:noWrap/>
                  <w:vAlign w:val="bottom"/>
                </w:tcPr>
                <w:p w14:paraId="68A0FA1A"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2A7B16F"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64E97B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61FB3057" w14:textId="77777777">
              <w:trPr>
                <w:trHeight w:val="300"/>
                <w:jc w:val="center"/>
              </w:trPr>
              <w:tc>
                <w:tcPr>
                  <w:tcW w:w="960" w:type="dxa"/>
                  <w:vMerge w:val="restart"/>
                  <w:shd w:val="clear" w:color="auto" w:fill="FFFFFF" w:themeFill="background1"/>
                </w:tcPr>
                <w:p w14:paraId="7F019816" w14:textId="77777777" w:rsidR="00B66E0C" w:rsidRDefault="00B66E0C">
                  <w:pPr>
                    <w:spacing w:after="0"/>
                    <w:jc w:val="right"/>
                    <w:rPr>
                      <w:rFonts w:ascii="Calibri" w:hAnsi="Calibri" w:cs="Calibri"/>
                    </w:rPr>
                  </w:pPr>
                </w:p>
                <w:p w14:paraId="7B348BC2" w14:textId="77777777" w:rsidR="00B66E0C" w:rsidRDefault="00B66E0C">
                  <w:pPr>
                    <w:spacing w:after="0"/>
                    <w:jc w:val="right"/>
                    <w:rPr>
                      <w:rFonts w:ascii="Calibri" w:hAnsi="Calibri" w:cs="Calibri"/>
                    </w:rPr>
                  </w:pPr>
                </w:p>
                <w:p w14:paraId="29E296C7" w14:textId="77777777" w:rsidR="00B66E0C" w:rsidRDefault="00B66E0C">
                  <w:pPr>
                    <w:spacing w:after="0"/>
                    <w:jc w:val="right"/>
                    <w:rPr>
                      <w:rFonts w:ascii="Calibri" w:hAnsi="Calibri" w:cs="Calibri"/>
                    </w:rPr>
                  </w:pPr>
                </w:p>
                <w:p w14:paraId="74BF0929" w14:textId="77777777" w:rsidR="00B66E0C" w:rsidRDefault="00B66E0C">
                  <w:pPr>
                    <w:spacing w:after="0"/>
                    <w:jc w:val="right"/>
                    <w:rPr>
                      <w:rFonts w:ascii="Calibri" w:hAnsi="Calibri" w:cs="Calibri"/>
                    </w:rPr>
                  </w:pPr>
                </w:p>
                <w:p w14:paraId="5FCF64ED" w14:textId="77777777" w:rsidR="00B66E0C" w:rsidRDefault="00B66E0C">
                  <w:pPr>
                    <w:spacing w:after="0"/>
                    <w:jc w:val="right"/>
                    <w:rPr>
                      <w:rFonts w:ascii="Calibri" w:hAnsi="Calibri" w:cs="Calibri"/>
                    </w:rPr>
                  </w:pPr>
                </w:p>
                <w:p w14:paraId="325FBBD4" w14:textId="77777777" w:rsidR="00B66E0C" w:rsidRDefault="00557DA3">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1DB584CA"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57B40BE1"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138900E"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0D6A9DE6" w14:textId="77777777">
              <w:trPr>
                <w:trHeight w:val="300"/>
                <w:jc w:val="center"/>
              </w:trPr>
              <w:tc>
                <w:tcPr>
                  <w:tcW w:w="960" w:type="dxa"/>
                  <w:vMerge/>
                  <w:shd w:val="clear" w:color="auto" w:fill="FFFFFF" w:themeFill="background1"/>
                </w:tcPr>
                <w:p w14:paraId="7C7A6FD7"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00217D1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FC80005"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6B5898C"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52F4567B" w14:textId="77777777">
              <w:trPr>
                <w:trHeight w:val="300"/>
                <w:jc w:val="center"/>
              </w:trPr>
              <w:tc>
                <w:tcPr>
                  <w:tcW w:w="960" w:type="dxa"/>
                  <w:vMerge/>
                  <w:shd w:val="clear" w:color="auto" w:fill="FFFFFF" w:themeFill="background1"/>
                </w:tcPr>
                <w:p w14:paraId="4E383275"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5CF48B4B"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C909F74"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41EB80"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5B372EE5" w14:textId="77777777">
              <w:trPr>
                <w:trHeight w:val="300"/>
                <w:jc w:val="center"/>
              </w:trPr>
              <w:tc>
                <w:tcPr>
                  <w:tcW w:w="960" w:type="dxa"/>
                  <w:vMerge/>
                  <w:shd w:val="clear" w:color="auto" w:fill="FFFFFF" w:themeFill="background1"/>
                </w:tcPr>
                <w:p w14:paraId="02A68361"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490AD9C8"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051BAAE"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A737AB5"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6FEF4B56" w14:textId="77777777">
              <w:trPr>
                <w:trHeight w:val="300"/>
                <w:jc w:val="center"/>
              </w:trPr>
              <w:tc>
                <w:tcPr>
                  <w:tcW w:w="960" w:type="dxa"/>
                  <w:vMerge/>
                  <w:shd w:val="clear" w:color="auto" w:fill="FFFFFF" w:themeFill="background1"/>
                </w:tcPr>
                <w:p w14:paraId="6F0EE96B"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2A1DB318"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06C780F"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C46B735"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478CEC3F" w14:textId="77777777">
              <w:trPr>
                <w:trHeight w:val="300"/>
                <w:jc w:val="center"/>
              </w:trPr>
              <w:tc>
                <w:tcPr>
                  <w:tcW w:w="960" w:type="dxa"/>
                  <w:vMerge/>
                  <w:shd w:val="clear" w:color="auto" w:fill="FFFFFF" w:themeFill="background1"/>
                </w:tcPr>
                <w:p w14:paraId="4A2A0F6A"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4A9E2202"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F8B9206"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86DCE38"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1FD2DB89" w14:textId="77777777">
              <w:trPr>
                <w:trHeight w:val="300"/>
                <w:jc w:val="center"/>
              </w:trPr>
              <w:tc>
                <w:tcPr>
                  <w:tcW w:w="960" w:type="dxa"/>
                  <w:vMerge/>
                  <w:shd w:val="clear" w:color="auto" w:fill="FFFFFF" w:themeFill="background1"/>
                </w:tcPr>
                <w:p w14:paraId="045005AE" w14:textId="77777777" w:rsidR="00B66E0C" w:rsidRDefault="00B66E0C">
                  <w:pPr>
                    <w:spacing w:after="0"/>
                    <w:jc w:val="right"/>
                    <w:rPr>
                      <w:rFonts w:ascii="Calibri" w:hAnsi="Calibri" w:cs="Calibri"/>
                      <w:color w:val="9C0006"/>
                    </w:rPr>
                  </w:pPr>
                </w:p>
              </w:tc>
              <w:tc>
                <w:tcPr>
                  <w:tcW w:w="960" w:type="dxa"/>
                  <w:shd w:val="clear" w:color="000000" w:fill="FFC7CE"/>
                  <w:noWrap/>
                  <w:vAlign w:val="bottom"/>
                </w:tcPr>
                <w:p w14:paraId="0CF6A10E"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C8D5C71"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06204A66"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15BEAE7E" w14:textId="77777777">
              <w:trPr>
                <w:trHeight w:val="300"/>
                <w:jc w:val="center"/>
              </w:trPr>
              <w:tc>
                <w:tcPr>
                  <w:tcW w:w="960" w:type="dxa"/>
                  <w:vMerge/>
                  <w:shd w:val="clear" w:color="auto" w:fill="FFFFFF" w:themeFill="background1"/>
                </w:tcPr>
                <w:p w14:paraId="773CDE40"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75272207"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79514C38"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EE5ECEA"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5AA0705B" w14:textId="77777777">
              <w:trPr>
                <w:trHeight w:val="300"/>
                <w:jc w:val="center"/>
              </w:trPr>
              <w:tc>
                <w:tcPr>
                  <w:tcW w:w="960" w:type="dxa"/>
                  <w:vMerge/>
                  <w:shd w:val="clear" w:color="auto" w:fill="FFFFFF" w:themeFill="background1"/>
                </w:tcPr>
                <w:p w14:paraId="4F38D750"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52A8F319"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682FA86"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9D1A47F"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0E832B78" w14:textId="77777777">
              <w:trPr>
                <w:trHeight w:val="300"/>
                <w:jc w:val="center"/>
              </w:trPr>
              <w:tc>
                <w:tcPr>
                  <w:tcW w:w="960" w:type="dxa"/>
                  <w:vMerge/>
                  <w:shd w:val="clear" w:color="auto" w:fill="FFFFFF" w:themeFill="background1"/>
                </w:tcPr>
                <w:p w14:paraId="58033331"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0DCFBA5E"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752D5A46"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7ED1D1F"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1ED4E8FE" w14:textId="77777777">
              <w:trPr>
                <w:trHeight w:val="300"/>
                <w:jc w:val="center"/>
              </w:trPr>
              <w:tc>
                <w:tcPr>
                  <w:tcW w:w="960" w:type="dxa"/>
                  <w:vMerge/>
                  <w:shd w:val="clear" w:color="auto" w:fill="FFFFFF" w:themeFill="background1"/>
                </w:tcPr>
                <w:p w14:paraId="59276213"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56EA57AE"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773293D0"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A5D7817"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2594A94F" w14:textId="77777777">
              <w:trPr>
                <w:trHeight w:val="300"/>
                <w:jc w:val="center"/>
              </w:trPr>
              <w:tc>
                <w:tcPr>
                  <w:tcW w:w="960" w:type="dxa"/>
                  <w:vMerge/>
                  <w:shd w:val="clear" w:color="auto" w:fill="FFFFFF" w:themeFill="background1"/>
                </w:tcPr>
                <w:p w14:paraId="68FB1B8F"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045D1B2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02E6CD8F"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B689122" w14:textId="77777777" w:rsidR="00B66E0C" w:rsidRDefault="00557DA3">
                  <w:pPr>
                    <w:spacing w:after="0"/>
                    <w:jc w:val="right"/>
                    <w:rPr>
                      <w:rFonts w:ascii="Calibri" w:hAnsi="Calibri" w:cs="Calibri"/>
                      <w:color w:val="9C5700"/>
                    </w:rPr>
                  </w:pPr>
                  <w:r>
                    <w:rPr>
                      <w:rFonts w:ascii="Calibri" w:hAnsi="Calibri" w:cs="Calibri"/>
                      <w:color w:val="9C5700"/>
                    </w:rPr>
                    <w:t>0</w:t>
                  </w:r>
                </w:p>
              </w:tc>
            </w:tr>
          </w:tbl>
          <w:p w14:paraId="53301217" w14:textId="77777777" w:rsidR="00B66E0C" w:rsidRDefault="00B66E0C">
            <w:pPr>
              <w:spacing w:line="240" w:lineRule="auto"/>
            </w:pPr>
          </w:p>
        </w:tc>
      </w:tr>
      <w:tr w:rsidR="00B66E0C" w14:paraId="27EDBE4E" w14:textId="77777777">
        <w:tc>
          <w:tcPr>
            <w:tcW w:w="4653" w:type="dxa"/>
          </w:tcPr>
          <w:p w14:paraId="19CB5142" w14:textId="77777777" w:rsidR="00B66E0C" w:rsidRDefault="00557DA3">
            <w:pPr>
              <w:pStyle w:val="a6"/>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B66E0C" w14:paraId="6B490BD1" w14:textId="77777777">
              <w:trPr>
                <w:trHeight w:val="300"/>
                <w:jc w:val="center"/>
              </w:trPr>
              <w:tc>
                <w:tcPr>
                  <w:tcW w:w="960" w:type="dxa"/>
                  <w:shd w:val="clear" w:color="000000" w:fill="FFC7CE"/>
                  <w:noWrap/>
                  <w:vAlign w:val="bottom"/>
                </w:tcPr>
                <w:p w14:paraId="27F90E0B"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189C9743"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A63A1F5"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3DDD16EA" w14:textId="77777777">
              <w:trPr>
                <w:trHeight w:val="300"/>
                <w:jc w:val="center"/>
              </w:trPr>
              <w:tc>
                <w:tcPr>
                  <w:tcW w:w="960" w:type="dxa"/>
                  <w:shd w:val="clear" w:color="auto" w:fill="F7CAAC" w:themeFill="accent2" w:themeFillTint="66"/>
                  <w:noWrap/>
                  <w:vAlign w:val="bottom"/>
                </w:tcPr>
                <w:p w14:paraId="6C574CA1"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C23B87E"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3169AB4B"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3B125728" w14:textId="77777777">
              <w:trPr>
                <w:trHeight w:val="300"/>
                <w:jc w:val="center"/>
              </w:trPr>
              <w:tc>
                <w:tcPr>
                  <w:tcW w:w="960" w:type="dxa"/>
                  <w:shd w:val="clear" w:color="auto" w:fill="F7CAAC" w:themeFill="accent2" w:themeFillTint="66"/>
                  <w:noWrap/>
                  <w:vAlign w:val="bottom"/>
                </w:tcPr>
                <w:p w14:paraId="65C4F176"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F702FA1"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DE025AE"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C7CEC5D" w14:textId="77777777">
              <w:trPr>
                <w:trHeight w:val="300"/>
                <w:jc w:val="center"/>
              </w:trPr>
              <w:tc>
                <w:tcPr>
                  <w:tcW w:w="960" w:type="dxa"/>
                  <w:shd w:val="clear" w:color="auto" w:fill="F7CAAC" w:themeFill="accent2" w:themeFillTint="66"/>
                  <w:noWrap/>
                  <w:vAlign w:val="bottom"/>
                </w:tcPr>
                <w:p w14:paraId="49A6764B"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214F025"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84D6733"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18154D34" w14:textId="77777777">
              <w:trPr>
                <w:trHeight w:val="300"/>
                <w:jc w:val="center"/>
              </w:trPr>
              <w:tc>
                <w:tcPr>
                  <w:tcW w:w="960" w:type="dxa"/>
                  <w:shd w:val="clear" w:color="auto" w:fill="F7CAAC" w:themeFill="accent2" w:themeFillTint="66"/>
                  <w:noWrap/>
                  <w:vAlign w:val="bottom"/>
                </w:tcPr>
                <w:p w14:paraId="3F8487A6"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5A54B94E"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F55C28B"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2FF10A8" w14:textId="77777777">
              <w:trPr>
                <w:trHeight w:val="300"/>
                <w:jc w:val="center"/>
              </w:trPr>
              <w:tc>
                <w:tcPr>
                  <w:tcW w:w="960" w:type="dxa"/>
                  <w:shd w:val="clear" w:color="auto" w:fill="F7CAAC" w:themeFill="accent2" w:themeFillTint="66"/>
                  <w:noWrap/>
                  <w:vAlign w:val="bottom"/>
                </w:tcPr>
                <w:p w14:paraId="043F7D5D"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2B9187A"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1ECC2EE"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7AE103F6" w14:textId="77777777">
              <w:trPr>
                <w:trHeight w:val="300"/>
                <w:jc w:val="center"/>
              </w:trPr>
              <w:tc>
                <w:tcPr>
                  <w:tcW w:w="960" w:type="dxa"/>
                  <w:shd w:val="clear" w:color="000000" w:fill="FFC7CE"/>
                  <w:noWrap/>
                  <w:vAlign w:val="bottom"/>
                </w:tcPr>
                <w:p w14:paraId="1E2EE1F6"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079F678C"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09541CC9"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41ED0135" w14:textId="77777777">
              <w:trPr>
                <w:trHeight w:val="300"/>
                <w:jc w:val="center"/>
              </w:trPr>
              <w:tc>
                <w:tcPr>
                  <w:tcW w:w="960" w:type="dxa"/>
                  <w:shd w:val="clear" w:color="auto" w:fill="F7CAAC" w:themeFill="accent2" w:themeFillTint="66"/>
                  <w:noWrap/>
                  <w:vAlign w:val="bottom"/>
                </w:tcPr>
                <w:p w14:paraId="2561F65F"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3A3553AF"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2AD82AC1"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4FF41B1" w14:textId="77777777">
              <w:trPr>
                <w:trHeight w:val="300"/>
                <w:jc w:val="center"/>
              </w:trPr>
              <w:tc>
                <w:tcPr>
                  <w:tcW w:w="960" w:type="dxa"/>
                  <w:shd w:val="clear" w:color="auto" w:fill="F7CAAC" w:themeFill="accent2" w:themeFillTint="66"/>
                  <w:noWrap/>
                  <w:vAlign w:val="bottom"/>
                </w:tcPr>
                <w:p w14:paraId="3C5438F4"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0619B54C"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234CD11E"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21FDDB3A" w14:textId="77777777">
              <w:trPr>
                <w:trHeight w:val="300"/>
                <w:jc w:val="center"/>
              </w:trPr>
              <w:tc>
                <w:tcPr>
                  <w:tcW w:w="960" w:type="dxa"/>
                  <w:shd w:val="clear" w:color="auto" w:fill="F7CAAC" w:themeFill="accent2" w:themeFillTint="66"/>
                  <w:noWrap/>
                  <w:vAlign w:val="bottom"/>
                </w:tcPr>
                <w:p w14:paraId="5F87FC50"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7EE7812B"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2535558"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0CB4DF1" w14:textId="77777777">
              <w:trPr>
                <w:trHeight w:val="300"/>
                <w:jc w:val="center"/>
              </w:trPr>
              <w:tc>
                <w:tcPr>
                  <w:tcW w:w="960" w:type="dxa"/>
                  <w:shd w:val="clear" w:color="auto" w:fill="F7CAAC" w:themeFill="accent2" w:themeFillTint="66"/>
                  <w:noWrap/>
                  <w:vAlign w:val="bottom"/>
                </w:tcPr>
                <w:p w14:paraId="22CFF3C6"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EC7B325"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E305F77"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77A2B2DC" w14:textId="77777777">
              <w:trPr>
                <w:trHeight w:val="300"/>
                <w:jc w:val="center"/>
              </w:trPr>
              <w:tc>
                <w:tcPr>
                  <w:tcW w:w="960" w:type="dxa"/>
                  <w:shd w:val="clear" w:color="auto" w:fill="F7CAAC" w:themeFill="accent2" w:themeFillTint="66"/>
                  <w:noWrap/>
                  <w:vAlign w:val="bottom"/>
                </w:tcPr>
                <w:p w14:paraId="2279FE2E"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3D18E634"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F443B45" w14:textId="77777777" w:rsidR="00B66E0C" w:rsidRDefault="00557DA3">
                  <w:pPr>
                    <w:spacing w:after="0"/>
                    <w:jc w:val="right"/>
                    <w:rPr>
                      <w:rFonts w:ascii="Calibri" w:hAnsi="Calibri" w:cs="Calibri"/>
                      <w:color w:val="9C5700"/>
                    </w:rPr>
                  </w:pPr>
                  <w:r>
                    <w:rPr>
                      <w:rFonts w:ascii="Calibri" w:hAnsi="Calibri" w:cs="Calibri"/>
                      <w:color w:val="9C5700"/>
                    </w:rPr>
                    <w:t>1</w:t>
                  </w:r>
                </w:p>
              </w:tc>
            </w:tr>
          </w:tbl>
          <w:p w14:paraId="37B4983C" w14:textId="77777777" w:rsidR="00B66E0C" w:rsidRDefault="00B66E0C">
            <w:pPr>
              <w:spacing w:line="240" w:lineRule="auto"/>
            </w:pPr>
          </w:p>
        </w:tc>
        <w:tc>
          <w:tcPr>
            <w:tcW w:w="4654" w:type="dxa"/>
            <w:vMerge/>
          </w:tcPr>
          <w:p w14:paraId="26410872" w14:textId="77777777" w:rsidR="00B66E0C" w:rsidRDefault="00B66E0C">
            <w:pPr>
              <w:spacing w:line="240" w:lineRule="auto"/>
            </w:pPr>
          </w:p>
        </w:tc>
      </w:tr>
    </w:tbl>
    <w:p w14:paraId="66AA7559" w14:textId="77777777" w:rsidR="00B66E0C" w:rsidRDefault="00B66E0C">
      <w:pPr>
        <w:autoSpaceDE/>
        <w:autoSpaceDN/>
        <w:adjustRightInd/>
        <w:snapToGrid/>
        <w:spacing w:after="0"/>
        <w:rPr>
          <w:b/>
          <w:szCs w:val="21"/>
          <w:lang w:eastAsia="zh-CN"/>
        </w:rPr>
      </w:pPr>
    </w:p>
    <w:p w14:paraId="63B259B2" w14:textId="77777777" w:rsidR="00872D7A" w:rsidRPr="00872D7A" w:rsidRDefault="00872D7A" w:rsidP="00872D7A">
      <w:pPr>
        <w:shd w:val="clear" w:color="auto" w:fill="FFFFFF"/>
        <w:spacing w:after="0" w:line="240" w:lineRule="auto"/>
        <w:rPr>
          <w:rFonts w:eastAsia="Batang"/>
          <w:b/>
          <w:lang w:val="en-GB" w:eastAsia="zh-CN"/>
        </w:rPr>
      </w:pPr>
      <w:r w:rsidRPr="00872D7A">
        <w:rPr>
          <w:b/>
          <w:lang w:eastAsia="zh-CN"/>
        </w:rPr>
        <w:t xml:space="preserve">Proposal 4: </w:t>
      </w:r>
      <w:r w:rsidRPr="00872D7A">
        <w:rPr>
          <w:rFonts w:eastAsia="Batang"/>
          <w:b/>
          <w:lang w:val="en-GB" w:eastAsia="zh-CN"/>
        </w:rPr>
        <w:t>For downlink power allocation to support 16QAM:</w:t>
      </w:r>
    </w:p>
    <w:p w14:paraId="3379F410" w14:textId="77777777" w:rsidR="00872D7A" w:rsidRPr="002B53CD" w:rsidRDefault="00872D7A" w:rsidP="00872D7A">
      <w:pPr>
        <w:numPr>
          <w:ilvl w:val="0"/>
          <w:numId w:val="23"/>
        </w:numPr>
        <w:autoSpaceDE/>
        <w:autoSpaceDN/>
        <w:adjustRightInd/>
        <w:snapToGrid/>
        <w:spacing w:after="0" w:line="240" w:lineRule="auto"/>
        <w:jc w:val="left"/>
        <w:rPr>
          <w:rFonts w:eastAsia="Batang"/>
          <w:b/>
          <w:lang w:val="en-GB" w:eastAsia="zh-CN"/>
        </w:rPr>
      </w:pPr>
      <w:r w:rsidRPr="002B53CD">
        <w:rPr>
          <w:rFonts w:eastAsia="Batang"/>
          <w:b/>
          <w:lang w:val="en-GB" w:eastAsia="zh-CN"/>
        </w:rPr>
        <w:t>For inband deploy</w:t>
      </w:r>
      <w:bookmarkStart w:id="3" w:name="_GoBack"/>
      <w:bookmarkEnd w:id="3"/>
      <w:r w:rsidRPr="002B53CD">
        <w:rPr>
          <w:rFonts w:eastAsia="Batang"/>
          <w:b/>
          <w:lang w:val="en-GB" w:eastAsia="zh-CN"/>
        </w:rPr>
        <w:t xml:space="preserve">ments, a power ratio is signaled in addition to the signalling for standalone and guard-band deployments which in this case applies to “symbols with NRS” and “symbols without NRS nor CRS”. Down-select from the following options in RAN1#106-e: </w:t>
      </w:r>
    </w:p>
    <w:p w14:paraId="6894DF27" w14:textId="77777777" w:rsidR="00872D7A" w:rsidRPr="00872D7A" w:rsidRDefault="00872D7A" w:rsidP="00872D7A">
      <w:pPr>
        <w:numPr>
          <w:ilvl w:val="1"/>
          <w:numId w:val="23"/>
        </w:numPr>
        <w:autoSpaceDE/>
        <w:autoSpaceDN/>
        <w:adjustRightInd/>
        <w:snapToGrid/>
        <w:spacing w:after="0" w:line="240" w:lineRule="auto"/>
        <w:jc w:val="left"/>
        <w:rPr>
          <w:rFonts w:eastAsia="Batang"/>
          <w:b/>
          <w:lang w:val="en-GB" w:eastAsia="zh-CN"/>
        </w:rPr>
      </w:pPr>
      <w:r w:rsidRPr="002B53CD">
        <w:rPr>
          <w:rFonts w:eastAsia="Batang"/>
          <w:b/>
          <w:lang w:val="en-GB" w:eastAsia="zh-CN"/>
        </w:rPr>
        <w:t xml:space="preserve">the power ratio between NPDSCH EPRE and NRS EPRE in symbols with CRS is </w:t>
      </w:r>
      <w:r w:rsidRPr="00872D7A">
        <w:rPr>
          <w:rFonts w:eastAsia="Batang"/>
          <w:b/>
          <w:lang w:val="en-GB" w:eastAsia="zh-CN"/>
        </w:rPr>
        <w:t>signalled</w:t>
      </w:r>
    </w:p>
    <w:p w14:paraId="3241D71A" w14:textId="77777777" w:rsidR="00872D7A" w:rsidRPr="002B53CD" w:rsidRDefault="00872D7A" w:rsidP="00872D7A">
      <w:pPr>
        <w:numPr>
          <w:ilvl w:val="1"/>
          <w:numId w:val="23"/>
        </w:numPr>
        <w:autoSpaceDE/>
        <w:autoSpaceDN/>
        <w:adjustRightInd/>
        <w:snapToGrid/>
        <w:spacing w:after="0" w:line="240" w:lineRule="auto"/>
        <w:jc w:val="left"/>
        <w:rPr>
          <w:rFonts w:eastAsia="Batang"/>
          <w:b/>
          <w:lang w:val="en-GB" w:eastAsia="zh-CN"/>
        </w:rPr>
      </w:pPr>
      <w:r w:rsidRPr="00872D7A">
        <w:rPr>
          <w:rFonts w:eastAsia="Batang"/>
          <w:b/>
          <w:lang w:val="en-GB" w:eastAsia="zh-CN"/>
        </w:rPr>
        <w:t>the signalling is UE specific</w:t>
      </w:r>
    </w:p>
    <w:p w14:paraId="12151A26" w14:textId="77777777" w:rsidR="00872D7A" w:rsidRDefault="00872D7A">
      <w:pPr>
        <w:autoSpaceDE/>
        <w:autoSpaceDN/>
        <w:adjustRightInd/>
        <w:snapToGrid/>
        <w:spacing w:after="0"/>
        <w:rPr>
          <w:rFonts w:hint="eastAsia"/>
          <w:b/>
          <w:szCs w:val="21"/>
          <w:lang w:eastAsia="zh-CN"/>
        </w:rPr>
      </w:pPr>
    </w:p>
    <w:p w14:paraId="3464CE52" w14:textId="77777777" w:rsidR="00B66E0C" w:rsidRDefault="00557DA3">
      <w:r>
        <w:rPr>
          <w:rFonts w:hint="eastAsia"/>
        </w:rPr>
        <w:t>P</w:t>
      </w:r>
      <w:r>
        <w:t>lease input your comments to the concern over Alt-1:</w:t>
      </w:r>
    </w:p>
    <w:tbl>
      <w:tblPr>
        <w:tblStyle w:val="af1"/>
        <w:tblW w:w="0" w:type="auto"/>
        <w:tblLook w:val="04A0" w:firstRow="1" w:lastRow="0" w:firstColumn="1" w:lastColumn="0" w:noHBand="0" w:noVBand="1"/>
      </w:tblPr>
      <w:tblGrid>
        <w:gridCol w:w="1838"/>
        <w:gridCol w:w="7469"/>
      </w:tblGrid>
      <w:tr w:rsidR="00B66E0C" w14:paraId="20C8F056" w14:textId="77777777">
        <w:tc>
          <w:tcPr>
            <w:tcW w:w="1838" w:type="dxa"/>
          </w:tcPr>
          <w:p w14:paraId="1A4BE45A" w14:textId="77777777" w:rsidR="00B66E0C" w:rsidRDefault="00557DA3">
            <w:pPr>
              <w:rPr>
                <w:szCs w:val="20"/>
              </w:rPr>
            </w:pPr>
            <w:r>
              <w:rPr>
                <w:rFonts w:hint="eastAsia"/>
                <w:szCs w:val="20"/>
              </w:rPr>
              <w:t>Comp</w:t>
            </w:r>
            <w:r>
              <w:rPr>
                <w:szCs w:val="20"/>
              </w:rPr>
              <w:t>anies</w:t>
            </w:r>
          </w:p>
        </w:tc>
        <w:tc>
          <w:tcPr>
            <w:tcW w:w="7469" w:type="dxa"/>
          </w:tcPr>
          <w:p w14:paraId="6C840BE3" w14:textId="77777777" w:rsidR="00B66E0C" w:rsidRDefault="00557DA3">
            <w:pPr>
              <w:rPr>
                <w:szCs w:val="20"/>
              </w:rPr>
            </w:pPr>
            <w:r>
              <w:rPr>
                <w:rFonts w:hint="eastAsia"/>
                <w:szCs w:val="20"/>
              </w:rPr>
              <w:t>Comments</w:t>
            </w:r>
          </w:p>
        </w:tc>
      </w:tr>
      <w:tr w:rsidR="00B66E0C" w14:paraId="2A467B85" w14:textId="77777777">
        <w:tc>
          <w:tcPr>
            <w:tcW w:w="1838" w:type="dxa"/>
          </w:tcPr>
          <w:p w14:paraId="57B8EA3C" w14:textId="77777777" w:rsidR="00B66E0C" w:rsidRDefault="00557DA3">
            <w:pPr>
              <w:rPr>
                <w:rFonts w:asciiTheme="minorHAnsi" w:hAnsiTheme="minorHAnsi" w:cstheme="minorHAnsi"/>
                <w:szCs w:val="20"/>
                <w:lang w:eastAsia="zh-CN"/>
              </w:rPr>
            </w:pPr>
            <w:r>
              <w:t>Huawei, HiSilicon</w:t>
            </w:r>
          </w:p>
        </w:tc>
        <w:tc>
          <w:tcPr>
            <w:tcW w:w="7469" w:type="dxa"/>
          </w:tcPr>
          <w:p w14:paraId="6BFED536" w14:textId="77777777" w:rsidR="00B66E0C" w:rsidRDefault="00557DA3">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B66E0C" w14:paraId="301DD983" w14:textId="77777777">
        <w:tc>
          <w:tcPr>
            <w:tcW w:w="1838" w:type="dxa"/>
          </w:tcPr>
          <w:p w14:paraId="6CFD5D61" w14:textId="77777777" w:rsidR="00B66E0C" w:rsidRDefault="00557DA3">
            <w:pPr>
              <w:rPr>
                <w:szCs w:val="20"/>
              </w:rPr>
            </w:pPr>
            <w:r>
              <w:rPr>
                <w:rFonts w:asciiTheme="minorHAnsi" w:hAnsiTheme="minorHAnsi" w:cstheme="minorHAnsi"/>
                <w:szCs w:val="20"/>
                <w:lang w:eastAsia="zh-CN"/>
              </w:rPr>
              <w:t>Ericsson</w:t>
            </w:r>
          </w:p>
        </w:tc>
        <w:tc>
          <w:tcPr>
            <w:tcW w:w="7469" w:type="dxa"/>
          </w:tcPr>
          <w:p w14:paraId="4EF437B1"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0A09590C"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lastRenderedPageBreak/>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14:paraId="23A9C960" w14:textId="77777777" w:rsidR="00B66E0C" w:rsidRDefault="00557DA3">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14:paraId="439F1B33"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14:paraId="49E35DA0" w14:textId="77777777" w:rsidR="00B66E0C" w:rsidRDefault="00557DA3">
            <w:pPr>
              <w:pStyle w:val="Proposal"/>
              <w:numPr>
                <w:ilvl w:val="0"/>
                <w:numId w:val="0"/>
              </w:numPr>
              <w:spacing w:line="240" w:lineRule="auto"/>
              <w:rPr>
                <w:b w:val="0"/>
                <w:bCs w:val="0"/>
              </w:rPr>
            </w:pPr>
            <w:r>
              <w:rPr>
                <w:b w:val="0"/>
                <w:bCs w:val="0"/>
              </w:rPr>
              <w:t>For the downlink power allocation to support 16-QAM in “In-band deployments”, Alt-2 is selected:</w:t>
            </w:r>
          </w:p>
          <w:p w14:paraId="328BA4C2" w14:textId="77777777" w:rsidR="00B66E0C" w:rsidRDefault="00557DA3">
            <w:pPr>
              <w:pStyle w:val="Proposal"/>
              <w:numPr>
                <w:ilvl w:val="0"/>
                <w:numId w:val="18"/>
              </w:numPr>
              <w:spacing w:line="240" w:lineRule="auto"/>
              <w:ind w:left="720"/>
              <w:rPr>
                <w:b w:val="0"/>
                <w:bCs w:val="0"/>
              </w:rPr>
            </w:pPr>
            <w:r>
              <w:rPr>
                <w:b w:val="0"/>
                <w:bCs w:val="0"/>
              </w:rPr>
              <w:t>The power ratio between NPDSCH EPRE and NRS EPRE in symbols with CRS is signaled.</w:t>
            </w:r>
          </w:p>
          <w:p w14:paraId="323C73F4" w14:textId="77777777" w:rsidR="00B66E0C" w:rsidRDefault="00557DA3">
            <w:pPr>
              <w:pStyle w:val="Proposal"/>
              <w:numPr>
                <w:ilvl w:val="0"/>
                <w:numId w:val="18"/>
              </w:numPr>
              <w:spacing w:line="240" w:lineRule="auto"/>
              <w:ind w:left="720"/>
              <w:rPr>
                <w:b w:val="0"/>
                <w:bCs w:val="0"/>
              </w:rPr>
            </w:pPr>
            <w:r>
              <w:rPr>
                <w:b w:val="0"/>
                <w:bCs w:val="0"/>
              </w:rPr>
              <w:t>UE specific signaling is used</w:t>
            </w:r>
          </w:p>
          <w:p w14:paraId="54392A6F" w14:textId="77777777" w:rsidR="00B66E0C" w:rsidRDefault="00B66E0C">
            <w:pPr>
              <w:rPr>
                <w:szCs w:val="20"/>
              </w:rPr>
            </w:pPr>
          </w:p>
        </w:tc>
      </w:tr>
      <w:tr w:rsidR="00B66E0C" w14:paraId="7A7BF480" w14:textId="77777777">
        <w:tc>
          <w:tcPr>
            <w:tcW w:w="1838" w:type="dxa"/>
          </w:tcPr>
          <w:p w14:paraId="042E53BB" w14:textId="77777777" w:rsidR="00B66E0C" w:rsidRDefault="00557DA3">
            <w:pPr>
              <w:rPr>
                <w:szCs w:val="20"/>
                <w:lang w:eastAsia="zh-CN"/>
              </w:rPr>
            </w:pPr>
            <w:r>
              <w:rPr>
                <w:rFonts w:hint="eastAsia"/>
                <w:szCs w:val="20"/>
                <w:lang w:eastAsia="zh-CN"/>
              </w:rPr>
              <w:lastRenderedPageBreak/>
              <w:t>L</w:t>
            </w:r>
            <w:r>
              <w:rPr>
                <w:szCs w:val="20"/>
                <w:lang w:eastAsia="zh-CN"/>
              </w:rPr>
              <w:t>enovo, MotoM</w:t>
            </w:r>
          </w:p>
        </w:tc>
        <w:tc>
          <w:tcPr>
            <w:tcW w:w="7469" w:type="dxa"/>
          </w:tcPr>
          <w:p w14:paraId="004ED7F2" w14:textId="77777777" w:rsidR="00B66E0C" w:rsidRDefault="00557DA3">
            <w:pPr>
              <w:rPr>
                <w:szCs w:val="20"/>
                <w:lang w:eastAsia="zh-CN"/>
              </w:rPr>
            </w:pPr>
            <w:r>
              <w:rPr>
                <w:rFonts w:hint="eastAsia"/>
                <w:szCs w:val="20"/>
                <w:lang w:eastAsia="zh-CN"/>
              </w:rPr>
              <w:t>W</w:t>
            </w:r>
            <w:r>
              <w:rPr>
                <w:szCs w:val="20"/>
                <w:lang w:eastAsia="zh-CN"/>
              </w:rPr>
              <w:t>e still prefer Alt-1</w:t>
            </w:r>
          </w:p>
          <w:p w14:paraId="6BBF1C6E" w14:textId="77777777" w:rsidR="00B66E0C" w:rsidRDefault="00557DA3">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1DB286AD" w14:textId="77777777" w:rsidR="00B66E0C" w:rsidRDefault="00557DA3">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64E54D1F" w14:textId="77777777" w:rsidR="00B66E0C" w:rsidRDefault="00B66E0C">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B66E0C" w14:paraId="0C0449F4" w14:textId="77777777">
              <w:trPr>
                <w:trHeight w:val="300"/>
                <w:jc w:val="center"/>
              </w:trPr>
              <w:tc>
                <w:tcPr>
                  <w:tcW w:w="960" w:type="dxa"/>
                  <w:vMerge w:val="restart"/>
                  <w:shd w:val="clear" w:color="auto" w:fill="FFFFFF" w:themeFill="background1"/>
                </w:tcPr>
                <w:p w14:paraId="4BCC99E5" w14:textId="77777777" w:rsidR="00B66E0C" w:rsidRDefault="00B66E0C">
                  <w:pPr>
                    <w:spacing w:after="0"/>
                    <w:jc w:val="right"/>
                    <w:rPr>
                      <w:rFonts w:ascii="Calibri" w:hAnsi="Calibri" w:cs="Calibri"/>
                    </w:rPr>
                  </w:pPr>
                </w:p>
                <w:p w14:paraId="0338B4CC" w14:textId="77777777" w:rsidR="00B66E0C" w:rsidRDefault="00B66E0C">
                  <w:pPr>
                    <w:spacing w:after="0"/>
                    <w:jc w:val="right"/>
                    <w:rPr>
                      <w:rFonts w:ascii="Calibri" w:hAnsi="Calibri" w:cs="Calibri"/>
                    </w:rPr>
                  </w:pPr>
                </w:p>
                <w:p w14:paraId="317C97FA" w14:textId="77777777" w:rsidR="00B66E0C" w:rsidRDefault="00B66E0C">
                  <w:pPr>
                    <w:spacing w:after="0"/>
                    <w:jc w:val="right"/>
                    <w:rPr>
                      <w:rFonts w:ascii="Calibri" w:hAnsi="Calibri" w:cs="Calibri"/>
                    </w:rPr>
                  </w:pPr>
                </w:p>
                <w:p w14:paraId="13DF2F90" w14:textId="77777777" w:rsidR="00B66E0C" w:rsidRDefault="00B66E0C">
                  <w:pPr>
                    <w:spacing w:after="0"/>
                    <w:jc w:val="right"/>
                    <w:rPr>
                      <w:rFonts w:ascii="Calibri" w:hAnsi="Calibri" w:cs="Calibri"/>
                    </w:rPr>
                  </w:pPr>
                </w:p>
                <w:p w14:paraId="74305457" w14:textId="77777777" w:rsidR="00B66E0C" w:rsidRDefault="00B66E0C">
                  <w:pPr>
                    <w:spacing w:after="0"/>
                    <w:jc w:val="right"/>
                    <w:rPr>
                      <w:rFonts w:ascii="Calibri" w:hAnsi="Calibri" w:cs="Calibri"/>
                    </w:rPr>
                  </w:pPr>
                </w:p>
                <w:p w14:paraId="7D20942C" w14:textId="77777777" w:rsidR="00B66E0C" w:rsidRDefault="00557DA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65E164E0"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12E7E02F"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49039BF"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58660C28" w14:textId="77777777">
              <w:trPr>
                <w:trHeight w:val="300"/>
                <w:jc w:val="center"/>
              </w:trPr>
              <w:tc>
                <w:tcPr>
                  <w:tcW w:w="960" w:type="dxa"/>
                  <w:vMerge/>
                  <w:shd w:val="clear" w:color="auto" w:fill="FFFFFF" w:themeFill="background1"/>
                </w:tcPr>
                <w:p w14:paraId="1B95C8E5" w14:textId="77777777" w:rsidR="00B66E0C" w:rsidRDefault="00B66E0C">
                  <w:pPr>
                    <w:spacing w:after="0"/>
                    <w:jc w:val="center"/>
                    <w:rPr>
                      <w:rFonts w:ascii="Calibri" w:hAnsi="Calibri" w:cs="Calibri"/>
                    </w:rPr>
                  </w:pPr>
                </w:p>
              </w:tc>
              <w:tc>
                <w:tcPr>
                  <w:tcW w:w="960" w:type="dxa"/>
                  <w:shd w:val="clear" w:color="000000" w:fill="FFC7CE"/>
                  <w:noWrap/>
                  <w:vAlign w:val="bottom"/>
                </w:tcPr>
                <w:p w14:paraId="5C48B5F5" w14:textId="77777777" w:rsidR="00B66E0C" w:rsidRDefault="00B66E0C">
                  <w:pPr>
                    <w:spacing w:after="0"/>
                    <w:jc w:val="right"/>
                    <w:rPr>
                      <w:rFonts w:ascii="Calibri" w:hAnsi="Calibri" w:cs="Calibri"/>
                      <w:color w:val="9C0006"/>
                    </w:rPr>
                  </w:pPr>
                </w:p>
              </w:tc>
              <w:tc>
                <w:tcPr>
                  <w:tcW w:w="960" w:type="dxa"/>
                  <w:shd w:val="clear" w:color="000000" w:fill="FFEB9C"/>
                  <w:noWrap/>
                  <w:vAlign w:val="bottom"/>
                </w:tcPr>
                <w:p w14:paraId="6C795DC1" w14:textId="77777777" w:rsidR="00B66E0C" w:rsidRDefault="00B66E0C">
                  <w:pPr>
                    <w:spacing w:after="0"/>
                    <w:jc w:val="right"/>
                    <w:rPr>
                      <w:rFonts w:ascii="Calibri" w:hAnsi="Calibri" w:cs="Calibri"/>
                      <w:color w:val="9C5700"/>
                    </w:rPr>
                  </w:pPr>
                </w:p>
              </w:tc>
              <w:tc>
                <w:tcPr>
                  <w:tcW w:w="960" w:type="dxa"/>
                  <w:shd w:val="clear" w:color="000000" w:fill="C6EFCE"/>
                  <w:noWrap/>
                  <w:vAlign w:val="bottom"/>
                </w:tcPr>
                <w:p w14:paraId="070EA895" w14:textId="77777777" w:rsidR="00B66E0C" w:rsidRDefault="00B66E0C">
                  <w:pPr>
                    <w:spacing w:after="0"/>
                    <w:jc w:val="right"/>
                    <w:rPr>
                      <w:rFonts w:ascii="Calibri" w:hAnsi="Calibri" w:cs="Calibri"/>
                      <w:color w:val="006100"/>
                    </w:rPr>
                  </w:pPr>
                </w:p>
              </w:tc>
            </w:tr>
            <w:tr w:rsidR="00B66E0C" w14:paraId="1B4DF58C" w14:textId="77777777">
              <w:trPr>
                <w:trHeight w:val="300"/>
                <w:jc w:val="center"/>
              </w:trPr>
              <w:tc>
                <w:tcPr>
                  <w:tcW w:w="960" w:type="dxa"/>
                  <w:vMerge/>
                  <w:shd w:val="clear" w:color="auto" w:fill="FFFFFF" w:themeFill="background1"/>
                </w:tcPr>
                <w:p w14:paraId="5DED44EE" w14:textId="77777777" w:rsidR="00B66E0C" w:rsidRDefault="00B66E0C">
                  <w:pPr>
                    <w:spacing w:after="0"/>
                    <w:jc w:val="right"/>
                    <w:rPr>
                      <w:rFonts w:ascii="Calibri" w:hAnsi="Calibri" w:cs="Calibri"/>
                    </w:rPr>
                  </w:pPr>
                </w:p>
              </w:tc>
              <w:tc>
                <w:tcPr>
                  <w:tcW w:w="960" w:type="dxa"/>
                  <w:shd w:val="clear" w:color="000000" w:fill="FFEB9C"/>
                  <w:noWrap/>
                  <w:vAlign w:val="bottom"/>
                </w:tcPr>
                <w:p w14:paraId="727A359A"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567384D"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3E7B66A"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0889032E" w14:textId="77777777">
              <w:trPr>
                <w:trHeight w:val="300"/>
                <w:jc w:val="center"/>
              </w:trPr>
              <w:tc>
                <w:tcPr>
                  <w:tcW w:w="960" w:type="dxa"/>
                  <w:vMerge/>
                  <w:shd w:val="clear" w:color="auto" w:fill="FFFFFF" w:themeFill="background1"/>
                </w:tcPr>
                <w:p w14:paraId="18D1CB36" w14:textId="77777777" w:rsidR="00B66E0C" w:rsidRDefault="00B66E0C">
                  <w:pPr>
                    <w:spacing w:after="0"/>
                    <w:jc w:val="right"/>
                    <w:rPr>
                      <w:rFonts w:ascii="Calibri" w:hAnsi="Calibri" w:cs="Calibri"/>
                    </w:rPr>
                  </w:pPr>
                </w:p>
              </w:tc>
              <w:tc>
                <w:tcPr>
                  <w:tcW w:w="960" w:type="dxa"/>
                  <w:shd w:val="clear" w:color="000000" w:fill="FFEB9C"/>
                  <w:noWrap/>
                  <w:vAlign w:val="bottom"/>
                </w:tcPr>
                <w:p w14:paraId="436D97CE"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E6594B9"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A0763B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1DD6D9C3" w14:textId="77777777">
              <w:trPr>
                <w:trHeight w:val="300"/>
                <w:jc w:val="center"/>
              </w:trPr>
              <w:tc>
                <w:tcPr>
                  <w:tcW w:w="960" w:type="dxa"/>
                  <w:vMerge/>
                  <w:shd w:val="clear" w:color="auto" w:fill="FFFFFF" w:themeFill="background1"/>
                </w:tcPr>
                <w:p w14:paraId="0B4BA8E5" w14:textId="77777777" w:rsidR="00B66E0C" w:rsidRDefault="00B66E0C">
                  <w:pPr>
                    <w:spacing w:after="0"/>
                    <w:jc w:val="right"/>
                    <w:rPr>
                      <w:rFonts w:ascii="Calibri" w:hAnsi="Calibri" w:cs="Calibri"/>
                    </w:rPr>
                  </w:pPr>
                </w:p>
              </w:tc>
              <w:tc>
                <w:tcPr>
                  <w:tcW w:w="960" w:type="dxa"/>
                  <w:shd w:val="clear" w:color="000000" w:fill="FFEB9C"/>
                  <w:noWrap/>
                  <w:vAlign w:val="bottom"/>
                </w:tcPr>
                <w:p w14:paraId="709B20F8"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A4CCAC0"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F0AD69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41D0755" w14:textId="77777777">
              <w:trPr>
                <w:trHeight w:val="300"/>
                <w:jc w:val="center"/>
              </w:trPr>
              <w:tc>
                <w:tcPr>
                  <w:tcW w:w="960" w:type="dxa"/>
                  <w:vMerge/>
                  <w:shd w:val="clear" w:color="auto" w:fill="FFFFFF" w:themeFill="background1"/>
                </w:tcPr>
                <w:p w14:paraId="566CDA31" w14:textId="77777777" w:rsidR="00B66E0C" w:rsidRDefault="00B66E0C">
                  <w:pPr>
                    <w:spacing w:after="0"/>
                    <w:jc w:val="right"/>
                    <w:rPr>
                      <w:rFonts w:ascii="Calibri" w:hAnsi="Calibri" w:cs="Calibri"/>
                    </w:rPr>
                  </w:pPr>
                </w:p>
              </w:tc>
              <w:tc>
                <w:tcPr>
                  <w:tcW w:w="960" w:type="dxa"/>
                  <w:shd w:val="clear" w:color="000000" w:fill="FFEB9C"/>
                  <w:noWrap/>
                  <w:vAlign w:val="bottom"/>
                </w:tcPr>
                <w:p w14:paraId="28FB672A"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FB1762C"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60F4D80"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FE19F8B" w14:textId="77777777">
              <w:trPr>
                <w:trHeight w:val="300"/>
                <w:jc w:val="center"/>
              </w:trPr>
              <w:tc>
                <w:tcPr>
                  <w:tcW w:w="960" w:type="dxa"/>
                  <w:vMerge/>
                  <w:shd w:val="clear" w:color="auto" w:fill="FFFFFF" w:themeFill="background1"/>
                </w:tcPr>
                <w:p w14:paraId="18AF2DEF" w14:textId="77777777" w:rsidR="00B66E0C" w:rsidRDefault="00B66E0C">
                  <w:pPr>
                    <w:spacing w:after="0"/>
                    <w:jc w:val="right"/>
                    <w:rPr>
                      <w:rFonts w:ascii="Calibri" w:hAnsi="Calibri" w:cs="Calibri"/>
                    </w:rPr>
                  </w:pPr>
                </w:p>
              </w:tc>
              <w:tc>
                <w:tcPr>
                  <w:tcW w:w="960" w:type="dxa"/>
                  <w:shd w:val="clear" w:color="000000" w:fill="FFEB9C"/>
                  <w:noWrap/>
                  <w:vAlign w:val="bottom"/>
                </w:tcPr>
                <w:p w14:paraId="1381EC97"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A5E0A42"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04BC8908"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AA24B84" w14:textId="77777777">
              <w:trPr>
                <w:trHeight w:val="300"/>
                <w:jc w:val="center"/>
              </w:trPr>
              <w:tc>
                <w:tcPr>
                  <w:tcW w:w="960" w:type="dxa"/>
                  <w:vMerge/>
                  <w:shd w:val="clear" w:color="auto" w:fill="FFFFFF" w:themeFill="background1"/>
                </w:tcPr>
                <w:p w14:paraId="1DB274B6" w14:textId="77777777" w:rsidR="00B66E0C" w:rsidRDefault="00B66E0C">
                  <w:pPr>
                    <w:spacing w:after="0"/>
                    <w:jc w:val="right"/>
                    <w:rPr>
                      <w:rFonts w:ascii="Calibri" w:hAnsi="Calibri" w:cs="Calibri"/>
                    </w:rPr>
                  </w:pPr>
                </w:p>
              </w:tc>
              <w:tc>
                <w:tcPr>
                  <w:tcW w:w="960" w:type="dxa"/>
                  <w:shd w:val="clear" w:color="000000" w:fill="FFC7CE"/>
                  <w:noWrap/>
                  <w:vAlign w:val="bottom"/>
                </w:tcPr>
                <w:p w14:paraId="62341C18"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0426A47B"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5980BB67"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50EC80FE" w14:textId="77777777">
              <w:trPr>
                <w:trHeight w:val="300"/>
                <w:jc w:val="center"/>
              </w:trPr>
              <w:tc>
                <w:tcPr>
                  <w:tcW w:w="960" w:type="dxa"/>
                  <w:vMerge/>
                  <w:shd w:val="clear" w:color="auto" w:fill="FFFFFF" w:themeFill="background1"/>
                </w:tcPr>
                <w:p w14:paraId="7F37CC68" w14:textId="77777777" w:rsidR="00B66E0C" w:rsidRDefault="00B66E0C">
                  <w:pPr>
                    <w:spacing w:after="0"/>
                    <w:jc w:val="right"/>
                    <w:rPr>
                      <w:rFonts w:ascii="Calibri" w:hAnsi="Calibri" w:cs="Calibri"/>
                    </w:rPr>
                  </w:pPr>
                </w:p>
              </w:tc>
              <w:tc>
                <w:tcPr>
                  <w:tcW w:w="960" w:type="dxa"/>
                  <w:shd w:val="clear" w:color="000000" w:fill="FFEB9C"/>
                  <w:noWrap/>
                  <w:vAlign w:val="bottom"/>
                </w:tcPr>
                <w:p w14:paraId="1AA9C099"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D4E6926"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424C027"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B3B3E24" w14:textId="77777777">
              <w:trPr>
                <w:trHeight w:val="300"/>
                <w:jc w:val="center"/>
              </w:trPr>
              <w:tc>
                <w:tcPr>
                  <w:tcW w:w="960" w:type="dxa"/>
                  <w:vMerge/>
                  <w:shd w:val="clear" w:color="auto" w:fill="FFFFFF" w:themeFill="background1"/>
                </w:tcPr>
                <w:p w14:paraId="1C1D6E89" w14:textId="77777777" w:rsidR="00B66E0C" w:rsidRDefault="00B66E0C">
                  <w:pPr>
                    <w:spacing w:after="0"/>
                    <w:jc w:val="right"/>
                    <w:rPr>
                      <w:rFonts w:ascii="Calibri" w:hAnsi="Calibri" w:cs="Calibri"/>
                    </w:rPr>
                  </w:pPr>
                </w:p>
              </w:tc>
              <w:tc>
                <w:tcPr>
                  <w:tcW w:w="960" w:type="dxa"/>
                  <w:shd w:val="clear" w:color="000000" w:fill="FFEB9C"/>
                  <w:noWrap/>
                  <w:vAlign w:val="bottom"/>
                </w:tcPr>
                <w:p w14:paraId="30264494"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721AE31"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2247221"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DB73B91" w14:textId="77777777">
              <w:trPr>
                <w:trHeight w:val="300"/>
                <w:jc w:val="center"/>
              </w:trPr>
              <w:tc>
                <w:tcPr>
                  <w:tcW w:w="960" w:type="dxa"/>
                  <w:vMerge/>
                  <w:shd w:val="clear" w:color="auto" w:fill="FFFFFF" w:themeFill="background1"/>
                </w:tcPr>
                <w:p w14:paraId="2ACBE97C" w14:textId="77777777" w:rsidR="00B66E0C" w:rsidRDefault="00B66E0C">
                  <w:pPr>
                    <w:spacing w:after="0"/>
                    <w:jc w:val="right"/>
                    <w:rPr>
                      <w:rFonts w:ascii="Calibri" w:hAnsi="Calibri" w:cs="Calibri"/>
                    </w:rPr>
                  </w:pPr>
                </w:p>
              </w:tc>
              <w:tc>
                <w:tcPr>
                  <w:tcW w:w="960" w:type="dxa"/>
                  <w:shd w:val="clear" w:color="000000" w:fill="FFEB9C"/>
                  <w:noWrap/>
                  <w:vAlign w:val="bottom"/>
                </w:tcPr>
                <w:p w14:paraId="6BC8FE01"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8C562E7"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76FF92E"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36631AD" w14:textId="77777777">
              <w:trPr>
                <w:trHeight w:val="300"/>
                <w:jc w:val="center"/>
              </w:trPr>
              <w:tc>
                <w:tcPr>
                  <w:tcW w:w="960" w:type="dxa"/>
                  <w:vMerge/>
                  <w:shd w:val="clear" w:color="auto" w:fill="FFFFFF" w:themeFill="background1"/>
                </w:tcPr>
                <w:p w14:paraId="09750C0F" w14:textId="77777777" w:rsidR="00B66E0C" w:rsidRDefault="00B66E0C">
                  <w:pPr>
                    <w:spacing w:after="0"/>
                    <w:jc w:val="right"/>
                    <w:rPr>
                      <w:rFonts w:ascii="Calibri" w:hAnsi="Calibri" w:cs="Calibri"/>
                    </w:rPr>
                  </w:pPr>
                </w:p>
              </w:tc>
              <w:tc>
                <w:tcPr>
                  <w:tcW w:w="960" w:type="dxa"/>
                  <w:shd w:val="clear" w:color="000000" w:fill="FFEB9C"/>
                  <w:noWrap/>
                  <w:vAlign w:val="bottom"/>
                </w:tcPr>
                <w:p w14:paraId="6A5C61E1"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523EB0C"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DFD244A"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069E27B7" w14:textId="77777777">
              <w:trPr>
                <w:trHeight w:val="300"/>
                <w:jc w:val="center"/>
              </w:trPr>
              <w:tc>
                <w:tcPr>
                  <w:tcW w:w="960" w:type="dxa"/>
                  <w:vMerge/>
                  <w:shd w:val="clear" w:color="auto" w:fill="FFFFFF" w:themeFill="background1"/>
                </w:tcPr>
                <w:p w14:paraId="328CB15C" w14:textId="77777777" w:rsidR="00B66E0C" w:rsidRDefault="00B66E0C">
                  <w:pPr>
                    <w:spacing w:after="0"/>
                    <w:jc w:val="right"/>
                    <w:rPr>
                      <w:rFonts w:ascii="Calibri" w:hAnsi="Calibri" w:cs="Calibri"/>
                    </w:rPr>
                  </w:pPr>
                </w:p>
              </w:tc>
              <w:tc>
                <w:tcPr>
                  <w:tcW w:w="960" w:type="dxa"/>
                  <w:shd w:val="clear" w:color="000000" w:fill="FFEB9C"/>
                  <w:noWrap/>
                  <w:vAlign w:val="bottom"/>
                </w:tcPr>
                <w:p w14:paraId="5A7CE578"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47C1EA3"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8B0183A" w14:textId="77777777" w:rsidR="00B66E0C" w:rsidRDefault="00557DA3">
                  <w:pPr>
                    <w:spacing w:after="0"/>
                    <w:jc w:val="right"/>
                    <w:rPr>
                      <w:rFonts w:ascii="Calibri" w:hAnsi="Calibri" w:cs="Calibri"/>
                      <w:color w:val="9C5700"/>
                    </w:rPr>
                  </w:pPr>
                  <w:r>
                    <w:rPr>
                      <w:rFonts w:ascii="Calibri" w:hAnsi="Calibri" w:cs="Calibri"/>
                      <w:color w:val="9C5700"/>
                    </w:rPr>
                    <w:t>2</w:t>
                  </w:r>
                </w:p>
              </w:tc>
            </w:tr>
          </w:tbl>
          <w:p w14:paraId="7C664542" w14:textId="77777777" w:rsidR="00B66E0C" w:rsidRDefault="00B66E0C">
            <w:pPr>
              <w:rPr>
                <w:szCs w:val="20"/>
                <w:lang w:eastAsia="zh-CN"/>
              </w:rPr>
            </w:pPr>
          </w:p>
        </w:tc>
      </w:tr>
      <w:tr w:rsidR="00B66E0C" w14:paraId="0DEFD755" w14:textId="77777777">
        <w:tc>
          <w:tcPr>
            <w:tcW w:w="1838" w:type="dxa"/>
          </w:tcPr>
          <w:p w14:paraId="005FD8B3" w14:textId="77777777" w:rsidR="00B66E0C" w:rsidRDefault="00557DA3">
            <w:pPr>
              <w:rPr>
                <w:szCs w:val="20"/>
                <w:lang w:eastAsia="zh-CN"/>
              </w:rPr>
            </w:pPr>
            <w:r>
              <w:rPr>
                <w:rFonts w:hint="eastAsia"/>
                <w:szCs w:val="20"/>
                <w:lang w:eastAsia="zh-CN"/>
              </w:rPr>
              <w:t>ZTE, Sanechips</w:t>
            </w:r>
          </w:p>
        </w:tc>
        <w:tc>
          <w:tcPr>
            <w:tcW w:w="7469" w:type="dxa"/>
          </w:tcPr>
          <w:p w14:paraId="78090ACA" w14:textId="77777777" w:rsidR="00B66E0C" w:rsidRDefault="00557DA3">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 xml:space="preserve">NPDSCH EPRE to NRS EPRE in symbols without </w:t>
            </w:r>
            <w:r>
              <w:rPr>
                <w:rFonts w:cs="Times"/>
                <w:lang w:val="en-GB" w:eastAsia="ja-JP"/>
              </w:rPr>
              <w:lastRenderedPageBreak/>
              <w:t>NRS</w:t>
            </w:r>
            <w:r>
              <w:rPr>
                <w:rFonts w:cs="Times" w:hint="eastAsia"/>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B66E0C" w14:paraId="5A8B6089" w14:textId="77777777">
        <w:tc>
          <w:tcPr>
            <w:tcW w:w="1838" w:type="dxa"/>
          </w:tcPr>
          <w:p w14:paraId="4524819D" w14:textId="77777777" w:rsidR="00B66E0C" w:rsidRDefault="00557DA3">
            <w:pPr>
              <w:rPr>
                <w:szCs w:val="20"/>
                <w:lang w:eastAsia="zh-CN"/>
              </w:rPr>
            </w:pPr>
            <w:r>
              <w:rPr>
                <w:szCs w:val="20"/>
                <w:lang w:eastAsia="zh-CN"/>
              </w:rPr>
              <w:lastRenderedPageBreak/>
              <w:t>Nokia, NSB</w:t>
            </w:r>
          </w:p>
        </w:tc>
        <w:tc>
          <w:tcPr>
            <w:tcW w:w="7469" w:type="dxa"/>
          </w:tcPr>
          <w:p w14:paraId="248D448B" w14:textId="77777777" w:rsidR="00B66E0C" w:rsidRDefault="00557DA3">
            <w:pPr>
              <w:rPr>
                <w:szCs w:val="20"/>
                <w:lang w:eastAsia="zh-CN"/>
              </w:rPr>
            </w:pPr>
            <w:r>
              <w:rPr>
                <w:szCs w:val="20"/>
                <w:lang w:eastAsia="zh-CN"/>
              </w:rPr>
              <w:t>We support proposal 6</w:t>
            </w:r>
          </w:p>
        </w:tc>
      </w:tr>
      <w:tr w:rsidR="00B66E0C" w14:paraId="4BDF813C" w14:textId="77777777">
        <w:tc>
          <w:tcPr>
            <w:tcW w:w="1838" w:type="dxa"/>
          </w:tcPr>
          <w:p w14:paraId="30035205" w14:textId="77777777" w:rsidR="00B66E0C" w:rsidRDefault="00557DA3">
            <w:pPr>
              <w:rPr>
                <w:szCs w:val="20"/>
                <w:lang w:eastAsia="zh-CN"/>
              </w:rPr>
            </w:pPr>
            <w:r>
              <w:rPr>
                <w:szCs w:val="20"/>
                <w:lang w:eastAsia="zh-CN"/>
              </w:rPr>
              <w:t>Qualcomm</w:t>
            </w:r>
          </w:p>
        </w:tc>
        <w:tc>
          <w:tcPr>
            <w:tcW w:w="7469" w:type="dxa"/>
          </w:tcPr>
          <w:p w14:paraId="0A6E5306" w14:textId="77777777" w:rsidR="00B66E0C" w:rsidRDefault="00557DA3">
            <w:pPr>
              <w:rPr>
                <w:szCs w:val="20"/>
                <w:lang w:eastAsia="zh-CN"/>
              </w:rPr>
            </w:pPr>
            <w:r>
              <w:rPr>
                <w:szCs w:val="20"/>
                <w:lang w:eastAsia="zh-CN"/>
              </w:rPr>
              <w:t>Proposal 6 is OK.</w:t>
            </w:r>
          </w:p>
          <w:p w14:paraId="4573D26A" w14:textId="77777777" w:rsidR="00B66E0C" w:rsidRDefault="00557DA3">
            <w:pPr>
              <w:rPr>
                <w:szCs w:val="20"/>
                <w:lang w:eastAsia="zh-CN"/>
              </w:rPr>
            </w:pPr>
            <w:r>
              <w:rPr>
                <w:szCs w:val="20"/>
                <w:lang w:eastAsia="zh-CN"/>
              </w:rPr>
              <w:t>For in-band, let us reply to some of the comments:</w:t>
            </w:r>
          </w:p>
          <w:p w14:paraId="075C000F" w14:textId="77777777" w:rsidR="00B66E0C" w:rsidRDefault="00557DA3">
            <w:pPr>
              <w:rPr>
                <w:lang w:val="en-GB"/>
              </w:rPr>
            </w:pPr>
            <w:r>
              <w:rPr>
                <w:szCs w:val="20"/>
                <w:lang w:eastAsia="zh-CN"/>
              </w:rPr>
              <w:t>“</w:t>
            </w:r>
            <w:r>
              <w:rPr>
                <w:lang w:eastAsia="zh-CN"/>
              </w:rPr>
              <w:t>However, there will be different transmit power for symbol 1 and 2. It seems the design is not aligned.”</w:t>
            </w:r>
          </w:p>
          <w:p w14:paraId="6F7AE0DD" w14:textId="77777777" w:rsidR="00B66E0C" w:rsidRDefault="00557DA3">
            <w:pPr>
              <w:rPr>
                <w:szCs w:val="20"/>
                <w:lang w:eastAsia="zh-CN"/>
              </w:rPr>
            </w:pPr>
            <w:r>
              <w:rPr>
                <w:szCs w:val="20"/>
                <w:lang w:eastAsia="zh-CN"/>
              </w:rPr>
              <w:t>The transmit power in symbols 1 and 2 are indeed different if you only take into account the NBIOT PRB. If you add the other PRB we show in our contribution, the power is constant (that’s the whole point).</w:t>
            </w:r>
          </w:p>
          <w:p w14:paraId="58117EF0" w14:textId="77777777" w:rsidR="00B66E0C" w:rsidRDefault="00557DA3">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14:paraId="323F9262" w14:textId="77777777" w:rsidR="00B66E0C" w:rsidRDefault="00557DA3">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r w:rsidR="00C305C0" w14:paraId="09571171" w14:textId="77777777">
        <w:tc>
          <w:tcPr>
            <w:tcW w:w="1838" w:type="dxa"/>
          </w:tcPr>
          <w:p w14:paraId="56CBAED8" w14:textId="188E2733" w:rsidR="00C305C0" w:rsidRDefault="00C305C0">
            <w:pPr>
              <w:rPr>
                <w:rFonts w:hint="eastAsia"/>
                <w:szCs w:val="20"/>
                <w:lang w:eastAsia="zh-CN"/>
              </w:rPr>
            </w:pPr>
            <w:r>
              <w:rPr>
                <w:rFonts w:hint="eastAsia"/>
                <w:szCs w:val="20"/>
                <w:lang w:eastAsia="zh-CN"/>
              </w:rPr>
              <w:t>Moderator</w:t>
            </w:r>
          </w:p>
        </w:tc>
        <w:tc>
          <w:tcPr>
            <w:tcW w:w="7469" w:type="dxa"/>
          </w:tcPr>
          <w:p w14:paraId="5A870CAC" w14:textId="77777777" w:rsidR="00C305C0" w:rsidRDefault="00C305C0" w:rsidP="002B53CD">
            <w:pPr>
              <w:rPr>
                <w:szCs w:val="20"/>
                <w:lang w:eastAsia="zh-CN"/>
              </w:rPr>
            </w:pPr>
            <w:r>
              <w:rPr>
                <w:rFonts w:hint="eastAsia"/>
                <w:szCs w:val="20"/>
                <w:lang w:eastAsia="zh-CN"/>
              </w:rPr>
              <w:t>As there</w:t>
            </w:r>
            <w:r>
              <w:rPr>
                <w:szCs w:val="20"/>
                <w:lang w:eastAsia="zh-CN"/>
              </w:rPr>
              <w:t>’s no further response regarding QC’s elaboration, the</w:t>
            </w:r>
            <w:r w:rsidR="002B53CD">
              <w:rPr>
                <w:szCs w:val="20"/>
                <w:lang w:eastAsia="zh-CN"/>
              </w:rPr>
              <w:t xml:space="preserve"> concern that for LTE the transmit power between different symbols should be same and the CRS power should be constant within LTE bandwidth, the following is proposed:</w:t>
            </w:r>
          </w:p>
          <w:p w14:paraId="0D216CCE" w14:textId="77777777" w:rsidR="002B53CD" w:rsidRPr="002B53CD" w:rsidRDefault="002B53CD" w:rsidP="002B53CD">
            <w:pPr>
              <w:numPr>
                <w:ilvl w:val="0"/>
                <w:numId w:val="23"/>
              </w:numPr>
              <w:autoSpaceDE/>
              <w:autoSpaceDN/>
              <w:adjustRightInd/>
              <w:snapToGrid/>
              <w:spacing w:after="0" w:line="240" w:lineRule="auto"/>
              <w:jc w:val="left"/>
              <w:rPr>
                <w:rFonts w:ascii="Times" w:eastAsia="Batang" w:hAnsi="Times" w:cs="Times"/>
                <w:sz w:val="20"/>
                <w:szCs w:val="20"/>
                <w:lang w:val="en-GB" w:eastAsia="zh-CN"/>
              </w:rPr>
            </w:pPr>
            <w:r w:rsidRPr="002B53CD">
              <w:rPr>
                <w:rFonts w:ascii="Times" w:eastAsia="Batang" w:hAnsi="Times" w:cs="Times"/>
                <w:sz w:val="20"/>
                <w:szCs w:val="20"/>
                <w:lang w:val="en-GB"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14:paraId="64E79BD1" w14:textId="776D534B" w:rsidR="002B53CD" w:rsidRDefault="002B53CD" w:rsidP="002B53CD">
            <w:pPr>
              <w:numPr>
                <w:ilvl w:val="1"/>
                <w:numId w:val="23"/>
              </w:numPr>
              <w:autoSpaceDE/>
              <w:autoSpaceDN/>
              <w:adjustRightInd/>
              <w:snapToGrid/>
              <w:spacing w:after="0" w:line="240" w:lineRule="auto"/>
              <w:jc w:val="left"/>
              <w:rPr>
                <w:rFonts w:ascii="Times" w:eastAsia="Batang" w:hAnsi="Times"/>
                <w:sz w:val="20"/>
                <w:szCs w:val="20"/>
                <w:lang w:val="en-GB" w:eastAsia="zh-CN"/>
              </w:rPr>
            </w:pPr>
            <w:r w:rsidRPr="002B53CD">
              <w:rPr>
                <w:rFonts w:ascii="Times" w:eastAsia="Batang" w:hAnsi="Times"/>
                <w:sz w:val="20"/>
                <w:szCs w:val="20"/>
                <w:lang w:val="en-GB" w:eastAsia="zh-CN"/>
              </w:rPr>
              <w:t xml:space="preserve">the power ratio between NPDSCH EPRE and NRS EPRE in symbols with CRS is </w:t>
            </w:r>
            <w:r>
              <w:rPr>
                <w:rFonts w:ascii="Times" w:eastAsia="Batang" w:hAnsi="Times"/>
                <w:sz w:val="20"/>
                <w:szCs w:val="20"/>
                <w:lang w:val="en-GB" w:eastAsia="zh-CN"/>
              </w:rPr>
              <w:t>signalled</w:t>
            </w:r>
          </w:p>
          <w:p w14:paraId="24517E83" w14:textId="49F5A10A" w:rsidR="002B53CD" w:rsidRPr="002B53CD" w:rsidRDefault="002B53CD" w:rsidP="002B53CD">
            <w:pPr>
              <w:numPr>
                <w:ilvl w:val="1"/>
                <w:numId w:val="23"/>
              </w:numPr>
              <w:autoSpaceDE/>
              <w:autoSpaceDN/>
              <w:adjustRightInd/>
              <w:snapToGrid/>
              <w:spacing w:after="0" w:line="240" w:lineRule="auto"/>
              <w:jc w:val="left"/>
              <w:rPr>
                <w:rFonts w:ascii="Times" w:eastAsia="Batang" w:hAnsi="Times"/>
                <w:sz w:val="20"/>
                <w:szCs w:val="20"/>
                <w:lang w:val="en-GB" w:eastAsia="zh-CN"/>
              </w:rPr>
            </w:pPr>
            <w:r>
              <w:rPr>
                <w:rFonts w:ascii="Times" w:eastAsia="Batang" w:hAnsi="Times"/>
                <w:sz w:val="20"/>
                <w:szCs w:val="20"/>
                <w:lang w:val="en-GB" w:eastAsia="zh-CN"/>
              </w:rPr>
              <w:t>the signalling is UE specific</w:t>
            </w:r>
          </w:p>
          <w:p w14:paraId="5EFF75CD" w14:textId="431367EF" w:rsidR="002B53CD" w:rsidRPr="002B53CD" w:rsidRDefault="002B53CD" w:rsidP="002B53CD">
            <w:pPr>
              <w:rPr>
                <w:szCs w:val="20"/>
                <w:lang w:val="en-GB" w:eastAsia="zh-CN"/>
              </w:rPr>
            </w:pPr>
          </w:p>
        </w:tc>
      </w:tr>
      <w:tr w:rsidR="00C305C0" w14:paraId="538B0D68" w14:textId="77777777">
        <w:tc>
          <w:tcPr>
            <w:tcW w:w="1838" w:type="dxa"/>
          </w:tcPr>
          <w:p w14:paraId="64734717" w14:textId="09FDFBF4" w:rsidR="00C305C0" w:rsidRDefault="00C305C0">
            <w:pPr>
              <w:rPr>
                <w:szCs w:val="20"/>
                <w:lang w:eastAsia="zh-CN"/>
              </w:rPr>
            </w:pPr>
          </w:p>
        </w:tc>
        <w:tc>
          <w:tcPr>
            <w:tcW w:w="7469" w:type="dxa"/>
          </w:tcPr>
          <w:p w14:paraId="357B3AC9" w14:textId="77777777" w:rsidR="00C305C0" w:rsidRDefault="00C305C0">
            <w:pPr>
              <w:rPr>
                <w:szCs w:val="20"/>
                <w:lang w:eastAsia="zh-CN"/>
              </w:rPr>
            </w:pPr>
          </w:p>
        </w:tc>
      </w:tr>
    </w:tbl>
    <w:p w14:paraId="586DA726" w14:textId="77777777" w:rsidR="00B66E0C" w:rsidRDefault="00B66E0C">
      <w:pPr>
        <w:autoSpaceDE/>
        <w:autoSpaceDN/>
        <w:adjustRightInd/>
        <w:snapToGrid/>
        <w:spacing w:after="0"/>
        <w:rPr>
          <w:b/>
          <w:szCs w:val="21"/>
          <w:lang w:eastAsia="zh-CN"/>
        </w:rPr>
      </w:pPr>
    </w:p>
    <w:p w14:paraId="01B23A2B" w14:textId="77777777" w:rsidR="00B66E0C" w:rsidRDefault="00557DA3">
      <w:pPr>
        <w:pStyle w:val="30"/>
      </w:pPr>
      <w:r>
        <w:rPr>
          <w:lang w:eastAsia="zh-CN"/>
        </w:rPr>
        <w:t>Issue 4: uplink power control</w:t>
      </w:r>
    </w:p>
    <w:p w14:paraId="2D6E4389" w14:textId="77777777" w:rsidR="00B66E0C" w:rsidRDefault="00557DA3">
      <w:r>
        <w:rPr>
          <w:rFonts w:hint="eastAsia"/>
        </w:rPr>
        <w:t>Re</w:t>
      </w:r>
      <w:r>
        <w:t>garding the options proposed for uplink power control,</w:t>
      </w:r>
    </w:p>
    <w:p w14:paraId="7A21B649" w14:textId="77777777" w:rsidR="00B66E0C" w:rsidRDefault="00557DA3">
      <w:pPr>
        <w:pStyle w:val="af7"/>
        <w:numPr>
          <w:ilvl w:val="0"/>
          <w:numId w:val="19"/>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423F0080" w14:textId="77777777" w:rsidR="00B66E0C" w:rsidRDefault="00557DA3">
      <w:pPr>
        <w:pStyle w:val="af7"/>
        <w:numPr>
          <w:ilvl w:val="0"/>
          <w:numId w:val="19"/>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51C233E7" w14:textId="77777777" w:rsidR="00B66E0C" w:rsidRDefault="00557DA3">
      <w:pPr>
        <w:pStyle w:val="af7"/>
        <w:numPr>
          <w:ilvl w:val="0"/>
          <w:numId w:val="19"/>
        </w:numPr>
      </w:pPr>
      <w:r>
        <w:rPr>
          <w:rFonts w:ascii="Times New Roman" w:hAnsi="Times New Roman" w:cs="Times New Roman"/>
          <w:sz w:val="22"/>
        </w:rPr>
        <w:t>Option 3: A TPC command is introduce to indicate the power offset for NPUSCH with 16-QAM.</w:t>
      </w:r>
    </w:p>
    <w:p w14:paraId="224E10F7" w14:textId="77777777" w:rsidR="00B66E0C" w:rsidRDefault="00557DA3">
      <w:pPr>
        <w:pStyle w:val="af7"/>
        <w:numPr>
          <w:ilvl w:val="0"/>
          <w:numId w:val="19"/>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0994C8E0" w14:textId="77777777" w:rsidR="00B66E0C" w:rsidRDefault="00557DA3">
      <w:pPr>
        <w:pStyle w:val="af7"/>
        <w:numPr>
          <w:ilvl w:val="0"/>
          <w:numId w:val="19"/>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6FBFC649" w14:textId="77777777" w:rsidR="00B66E0C" w:rsidRDefault="00557DA3">
      <w:pPr>
        <w:autoSpaceDE/>
        <w:autoSpaceDN/>
        <w:adjustRightInd/>
        <w:snapToGrid/>
        <w:spacing w:line="240" w:lineRule="auto"/>
        <w:rPr>
          <w:szCs w:val="21"/>
          <w:lang w:eastAsia="zh-CN"/>
        </w:rPr>
      </w:pPr>
      <w:r>
        <w:rPr>
          <w:rFonts w:hint="eastAsia"/>
          <w:szCs w:val="21"/>
          <w:lang w:eastAsia="zh-CN"/>
        </w:rPr>
        <w:t xml:space="preserve">The following has been </w:t>
      </w:r>
      <w:r>
        <w:rPr>
          <w:szCs w:val="21"/>
          <w:lang w:eastAsia="zh-CN"/>
        </w:rPr>
        <w:t>achieved:</w:t>
      </w:r>
    </w:p>
    <w:p w14:paraId="2B26CACB" w14:textId="77777777" w:rsidR="00B66E0C" w:rsidRDefault="00557DA3">
      <w:pPr>
        <w:ind w:leftChars="200" w:left="440"/>
        <w:rPr>
          <w:highlight w:val="green"/>
          <w:lang w:eastAsia="ar-SA"/>
        </w:rPr>
      </w:pPr>
      <w:r>
        <w:rPr>
          <w:highlight w:val="green"/>
          <w:lang w:eastAsia="ar-SA"/>
        </w:rPr>
        <w:t>Agreement</w:t>
      </w:r>
    </w:p>
    <w:p w14:paraId="0A3E935C" w14:textId="77777777" w:rsidR="00B66E0C" w:rsidRDefault="00557DA3">
      <w:pPr>
        <w:ind w:leftChars="200" w:left="440"/>
        <w:rPr>
          <w:lang w:eastAsia="ar-SA"/>
        </w:rPr>
      </w:pPr>
      <w:r>
        <w:rPr>
          <w:rFonts w:hint="cs"/>
          <w:lang w:eastAsia="ar-SA"/>
        </w:rPr>
        <w:t>D</w:t>
      </w:r>
      <w:r>
        <w:rPr>
          <w:lang w:eastAsia="ar-SA"/>
        </w:rPr>
        <w:t>own-select one option from Cat 1 as starting point</w:t>
      </w:r>
    </w:p>
    <w:p w14:paraId="1DA7DA16" w14:textId="77777777" w:rsidR="00B66E0C" w:rsidRDefault="00557DA3">
      <w:pPr>
        <w:numPr>
          <w:ilvl w:val="0"/>
          <w:numId w:val="17"/>
        </w:numPr>
        <w:autoSpaceDE/>
        <w:autoSpaceDN/>
        <w:adjustRightInd/>
        <w:snapToGrid/>
        <w:spacing w:after="0" w:line="240" w:lineRule="auto"/>
        <w:ind w:leftChars="564" w:left="1601"/>
        <w:jc w:val="left"/>
        <w:rPr>
          <w:rFonts w:cs="Times"/>
          <w:szCs w:val="20"/>
          <w:lang w:eastAsia="ja-JP"/>
        </w:rPr>
      </w:pPr>
      <w:r>
        <w:rPr>
          <w:rFonts w:cs="Times"/>
          <w:szCs w:val="20"/>
          <w:lang w:eastAsia="ja-JP"/>
        </w:rPr>
        <w:lastRenderedPageBreak/>
        <w:t>Cat 1: Option 1, Option 2/Option 4, Option 5</w:t>
      </w:r>
    </w:p>
    <w:p w14:paraId="4B66312B" w14:textId="77777777" w:rsidR="00B66E0C" w:rsidRDefault="00557DA3">
      <w:pPr>
        <w:ind w:leftChars="200" w:left="440"/>
        <w:rPr>
          <w:rFonts w:cs="Times"/>
          <w:szCs w:val="20"/>
          <w:lang w:eastAsia="ja-JP"/>
        </w:rPr>
      </w:pPr>
      <w:r>
        <w:rPr>
          <w:rFonts w:cs="Times"/>
          <w:szCs w:val="20"/>
          <w:lang w:eastAsia="ja-JP"/>
        </w:rPr>
        <w:t xml:space="preserve">FFS </w:t>
      </w:r>
      <w:r>
        <w:rPr>
          <w:rFonts w:cs="Times" w:hint="cs"/>
          <w:szCs w:val="20"/>
          <w:lang w:eastAsia="ja-JP"/>
        </w:rPr>
        <w:t>C</w:t>
      </w:r>
      <w:r>
        <w:rPr>
          <w:rFonts w:cs="Times"/>
          <w:szCs w:val="20"/>
          <w:lang w:eastAsia="ja-JP"/>
        </w:rPr>
        <w:t>at 2: Option 3, for close-loop power control</w:t>
      </w:r>
    </w:p>
    <w:p w14:paraId="2A791AC9" w14:textId="77777777" w:rsidR="00B66E0C" w:rsidRDefault="00B66E0C">
      <w:pPr>
        <w:autoSpaceDE/>
        <w:autoSpaceDN/>
        <w:adjustRightInd/>
        <w:snapToGrid/>
        <w:spacing w:line="240" w:lineRule="auto"/>
        <w:rPr>
          <w:szCs w:val="21"/>
          <w:lang w:eastAsia="zh-CN"/>
        </w:rPr>
      </w:pPr>
    </w:p>
    <w:p w14:paraId="03055489" w14:textId="77777777" w:rsidR="00B66E0C" w:rsidRDefault="00557DA3">
      <w:r>
        <w:rPr>
          <w:rFonts w:hint="eastAsia"/>
        </w:rPr>
        <w:t>P</w:t>
      </w:r>
      <w:r>
        <w:t>lease input your preference and reasons on the down-selection, and your comments on the FFS as well:</w:t>
      </w:r>
    </w:p>
    <w:tbl>
      <w:tblPr>
        <w:tblStyle w:val="af1"/>
        <w:tblW w:w="0" w:type="auto"/>
        <w:tblLook w:val="04A0" w:firstRow="1" w:lastRow="0" w:firstColumn="1" w:lastColumn="0" w:noHBand="0" w:noVBand="1"/>
      </w:tblPr>
      <w:tblGrid>
        <w:gridCol w:w="1838"/>
        <w:gridCol w:w="7469"/>
      </w:tblGrid>
      <w:tr w:rsidR="00B66E0C" w14:paraId="2D42EC7A" w14:textId="77777777">
        <w:tc>
          <w:tcPr>
            <w:tcW w:w="1838" w:type="dxa"/>
          </w:tcPr>
          <w:p w14:paraId="7E88B221" w14:textId="77777777" w:rsidR="00B66E0C" w:rsidRDefault="00557DA3">
            <w:pPr>
              <w:rPr>
                <w:szCs w:val="20"/>
              </w:rPr>
            </w:pPr>
            <w:r>
              <w:rPr>
                <w:rFonts w:hint="eastAsia"/>
                <w:szCs w:val="20"/>
              </w:rPr>
              <w:t>Comp</w:t>
            </w:r>
            <w:r>
              <w:rPr>
                <w:szCs w:val="20"/>
              </w:rPr>
              <w:t>anies</w:t>
            </w:r>
          </w:p>
        </w:tc>
        <w:tc>
          <w:tcPr>
            <w:tcW w:w="7469" w:type="dxa"/>
          </w:tcPr>
          <w:p w14:paraId="5D269C31" w14:textId="77777777" w:rsidR="00B66E0C" w:rsidRDefault="00557DA3">
            <w:pPr>
              <w:rPr>
                <w:szCs w:val="20"/>
              </w:rPr>
            </w:pPr>
            <w:r>
              <w:rPr>
                <w:rFonts w:hint="eastAsia"/>
                <w:szCs w:val="20"/>
              </w:rPr>
              <w:t>Comments</w:t>
            </w:r>
          </w:p>
        </w:tc>
      </w:tr>
      <w:tr w:rsidR="00B66E0C" w14:paraId="60D5B806" w14:textId="77777777">
        <w:tc>
          <w:tcPr>
            <w:tcW w:w="1838" w:type="dxa"/>
          </w:tcPr>
          <w:p w14:paraId="7B76D4A4" w14:textId="77777777" w:rsidR="00B66E0C" w:rsidRDefault="00557DA3">
            <w:r>
              <w:t>Huawei, HiSilicon</w:t>
            </w:r>
          </w:p>
        </w:tc>
        <w:tc>
          <w:tcPr>
            <w:tcW w:w="7469" w:type="dxa"/>
          </w:tcPr>
          <w:p w14:paraId="18C88CFE" w14:textId="77777777" w:rsidR="00B66E0C" w:rsidRDefault="00557DA3">
            <w:r>
              <w:rPr>
                <w:rFonts w:hint="eastAsia"/>
              </w:rPr>
              <w:t>W</w:t>
            </w:r>
            <w:r>
              <w:t>e are OK with proposal 7 and support option 1, since it is sufficient to follow the LTE principle and seems no need to introduce a different one.</w:t>
            </w:r>
          </w:p>
        </w:tc>
      </w:tr>
      <w:tr w:rsidR="00B66E0C" w14:paraId="40D3B20F" w14:textId="77777777">
        <w:tc>
          <w:tcPr>
            <w:tcW w:w="1838" w:type="dxa"/>
          </w:tcPr>
          <w:p w14:paraId="0201B086" w14:textId="77777777" w:rsidR="00B66E0C" w:rsidRDefault="00557DA3">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15DDBF34"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Proposal 7:</w:t>
            </w:r>
          </w:p>
          <w:p w14:paraId="76FCDC0C"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5D92A501" w14:textId="77777777" w:rsidR="00B66E0C" w:rsidRDefault="00557DA3">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64B71A48" w14:textId="77777777" w:rsidR="00B66E0C" w:rsidRDefault="00B66E0C">
            <w:pPr>
              <w:pStyle w:val="af7"/>
              <w:rPr>
                <w:rFonts w:ascii="Times New Roman" w:hAnsi="Times New Roman"/>
                <w:sz w:val="20"/>
                <w:szCs w:val="20"/>
                <w:lang w:val="en-GB" w:eastAsia="ja-JP"/>
              </w:rPr>
            </w:pPr>
          </w:p>
          <w:p w14:paraId="5F7828BA" w14:textId="77777777" w:rsidR="00B66E0C" w:rsidRDefault="00557DA3">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16AD88C8" w14:textId="77777777" w:rsidR="00B66E0C" w:rsidRDefault="00557DA3">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74466C41" w14:textId="77777777" w:rsidR="00B66E0C" w:rsidRDefault="00557DA3">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4CB3F5D8" w14:textId="77777777" w:rsidR="00B66E0C" w:rsidRDefault="00557DA3">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B66E0C" w14:paraId="6C2CDDA3" w14:textId="77777777">
        <w:tc>
          <w:tcPr>
            <w:tcW w:w="1838" w:type="dxa"/>
          </w:tcPr>
          <w:p w14:paraId="1462B056" w14:textId="77777777" w:rsidR="00B66E0C" w:rsidRDefault="00557DA3">
            <w:pPr>
              <w:rPr>
                <w:szCs w:val="20"/>
                <w:lang w:eastAsia="zh-CN"/>
              </w:rPr>
            </w:pPr>
            <w:r>
              <w:rPr>
                <w:rFonts w:hint="eastAsia"/>
                <w:szCs w:val="20"/>
                <w:lang w:eastAsia="zh-CN"/>
              </w:rPr>
              <w:t>L</w:t>
            </w:r>
            <w:r>
              <w:rPr>
                <w:szCs w:val="20"/>
                <w:lang w:eastAsia="zh-CN"/>
              </w:rPr>
              <w:t>enovo, MotoM</w:t>
            </w:r>
          </w:p>
        </w:tc>
        <w:tc>
          <w:tcPr>
            <w:tcW w:w="7469" w:type="dxa"/>
          </w:tcPr>
          <w:p w14:paraId="29138047" w14:textId="77777777" w:rsidR="00B66E0C" w:rsidRDefault="00557DA3">
            <w:pPr>
              <w:rPr>
                <w:szCs w:val="20"/>
                <w:lang w:eastAsia="zh-CN"/>
              </w:rPr>
            </w:pPr>
            <w:r>
              <w:rPr>
                <w:rFonts w:hint="eastAsia"/>
              </w:rPr>
              <w:t>W</w:t>
            </w:r>
            <w:r>
              <w:t>e are OK with proposal 7 and support option 1, since it is sufficient to follow the LTE principle and seems no need to introduce a different one.</w:t>
            </w:r>
          </w:p>
        </w:tc>
      </w:tr>
      <w:tr w:rsidR="00B66E0C" w14:paraId="3D73D90E" w14:textId="77777777">
        <w:tc>
          <w:tcPr>
            <w:tcW w:w="1838" w:type="dxa"/>
          </w:tcPr>
          <w:p w14:paraId="103F98C0" w14:textId="77777777" w:rsidR="00B66E0C" w:rsidRDefault="00557DA3">
            <w:pPr>
              <w:rPr>
                <w:rFonts w:asciiTheme="minorHAnsi" w:hAnsiTheme="minorHAnsi" w:cstheme="minorHAnsi"/>
                <w:szCs w:val="20"/>
                <w:lang w:eastAsia="zh-CN"/>
              </w:rPr>
            </w:pPr>
            <w:r>
              <w:rPr>
                <w:rFonts w:asciiTheme="minorHAnsi" w:hAnsiTheme="minorHAnsi" w:cstheme="minorHAnsi" w:hint="eastAsia"/>
                <w:szCs w:val="20"/>
                <w:lang w:eastAsia="zh-CN"/>
              </w:rPr>
              <w:t>ZTE,Sanechips</w:t>
            </w:r>
          </w:p>
        </w:tc>
        <w:tc>
          <w:tcPr>
            <w:tcW w:w="7469" w:type="dxa"/>
          </w:tcPr>
          <w:p w14:paraId="72D3ABD4" w14:textId="77777777" w:rsidR="00B66E0C" w:rsidRDefault="00557DA3">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rsidR="00B66E0C" w14:paraId="3F069643" w14:textId="77777777">
        <w:tc>
          <w:tcPr>
            <w:tcW w:w="1838" w:type="dxa"/>
          </w:tcPr>
          <w:p w14:paraId="205ABD70" w14:textId="77777777" w:rsidR="00B66E0C" w:rsidRDefault="00557DA3">
            <w:pPr>
              <w:rPr>
                <w:szCs w:val="20"/>
                <w:lang w:eastAsia="zh-CN"/>
              </w:rPr>
            </w:pPr>
            <w:r>
              <w:rPr>
                <w:szCs w:val="20"/>
                <w:lang w:eastAsia="zh-CN"/>
              </w:rPr>
              <w:t>Nokia, NSB</w:t>
            </w:r>
          </w:p>
        </w:tc>
        <w:tc>
          <w:tcPr>
            <w:tcW w:w="7469" w:type="dxa"/>
          </w:tcPr>
          <w:p w14:paraId="542232E0" w14:textId="77777777" w:rsidR="00B66E0C" w:rsidRDefault="00557DA3">
            <w:pPr>
              <w:rPr>
                <w:szCs w:val="20"/>
                <w:lang w:eastAsia="zh-CN"/>
              </w:rPr>
            </w:pPr>
            <w:r>
              <w:rPr>
                <w:szCs w:val="20"/>
                <w:lang w:eastAsia="zh-CN"/>
              </w:rPr>
              <w:t>We are fine with proposal 7. Our preference is option 2, which is a simplified version of option 1/5.</w:t>
            </w:r>
          </w:p>
        </w:tc>
      </w:tr>
      <w:tr w:rsidR="00B66E0C" w14:paraId="74628096" w14:textId="77777777">
        <w:tc>
          <w:tcPr>
            <w:tcW w:w="1838" w:type="dxa"/>
          </w:tcPr>
          <w:p w14:paraId="7ABF6ED7" w14:textId="77777777" w:rsidR="00B66E0C" w:rsidRDefault="00557DA3">
            <w:pPr>
              <w:rPr>
                <w:szCs w:val="20"/>
                <w:lang w:eastAsia="zh-CN"/>
              </w:rPr>
            </w:pPr>
            <w:r>
              <w:rPr>
                <w:szCs w:val="20"/>
                <w:lang w:eastAsia="zh-CN"/>
              </w:rPr>
              <w:t>Qualcomm</w:t>
            </w:r>
          </w:p>
        </w:tc>
        <w:tc>
          <w:tcPr>
            <w:tcW w:w="7469" w:type="dxa"/>
          </w:tcPr>
          <w:p w14:paraId="1D0C1A87" w14:textId="77777777" w:rsidR="00B66E0C" w:rsidRDefault="00557DA3">
            <w:pPr>
              <w:rPr>
                <w:szCs w:val="20"/>
                <w:lang w:eastAsia="zh-CN"/>
              </w:rPr>
            </w:pPr>
            <w:r>
              <w:rPr>
                <w:szCs w:val="20"/>
                <w:lang w:eastAsia="zh-CN"/>
              </w:rPr>
              <w:t>We think Option 3 should be removed. The other options can be further discussed.</w:t>
            </w:r>
          </w:p>
        </w:tc>
      </w:tr>
      <w:tr w:rsidR="00B66E0C" w14:paraId="5D391205" w14:textId="77777777">
        <w:tc>
          <w:tcPr>
            <w:tcW w:w="1838" w:type="dxa"/>
          </w:tcPr>
          <w:p w14:paraId="01EBE8A4" w14:textId="77777777" w:rsidR="00B66E0C" w:rsidRDefault="00557DA3">
            <w:pPr>
              <w:rPr>
                <w:sz w:val="20"/>
                <w:szCs w:val="20"/>
                <w:lang w:eastAsia="zh-CN"/>
              </w:rPr>
            </w:pPr>
            <w:r>
              <w:rPr>
                <w:sz w:val="20"/>
                <w:szCs w:val="20"/>
                <w:lang w:eastAsia="zh-CN"/>
              </w:rPr>
              <w:t>Ericsson v010</w:t>
            </w:r>
          </w:p>
        </w:tc>
        <w:tc>
          <w:tcPr>
            <w:tcW w:w="7469" w:type="dxa"/>
          </w:tcPr>
          <w:p w14:paraId="52488FA7" w14:textId="77777777" w:rsidR="00B66E0C" w:rsidRDefault="00557DA3">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14:paraId="44BBDCBA" w14:textId="77777777" w:rsidR="00B66E0C" w:rsidRDefault="00557DA3">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dB.</w:t>
            </w:r>
          </w:p>
          <w:p w14:paraId="760F9AFE" w14:textId="77777777" w:rsidR="00B66E0C" w:rsidRDefault="00557DA3">
            <w:pPr>
              <w:rPr>
                <w:sz w:val="20"/>
                <w:szCs w:val="20"/>
                <w:lang w:eastAsia="zh-CN"/>
              </w:rPr>
            </w:pPr>
            <w:r>
              <w:rPr>
                <w:sz w:val="20"/>
                <w:szCs w:val="20"/>
                <w:lang w:eastAsia="zh-CN"/>
              </w:rPr>
              <w:t xml:space="preserve">An equation-based solution as Option 1 and Option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14:paraId="4FB9F0CB" w14:textId="77777777" w:rsidR="00B66E0C" w:rsidRDefault="00557DA3">
            <w:pPr>
              <w:pStyle w:val="af7"/>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{A</w:t>
            </w:r>
            <w:r>
              <w:rPr>
                <w:rFonts w:ascii="Times New Roman" w:hAnsi="Times New Roman" w:cs="Times New Roman"/>
                <w:i/>
                <w:iCs/>
                <w:sz w:val="20"/>
                <w:szCs w:val="20"/>
              </w:rPr>
              <w:t>dB</w:t>
            </w:r>
            <w:r>
              <w:rPr>
                <w:rFonts w:ascii="Times New Roman" w:hAnsi="Times New Roman" w:cs="Times New Roman"/>
                <w:sz w:val="20"/>
                <w:szCs w:val="20"/>
              </w:rPr>
              <w:t>, B</w:t>
            </w:r>
            <w:r>
              <w:rPr>
                <w:rFonts w:ascii="Times New Roman" w:hAnsi="Times New Roman" w:cs="Times New Roman"/>
                <w:i/>
                <w:iCs/>
                <w:sz w:val="20"/>
                <w:szCs w:val="20"/>
              </w:rPr>
              <w:t>dB</w:t>
            </w:r>
            <w:r>
              <w:rPr>
                <w:rFonts w:ascii="Times New Roman" w:hAnsi="Times New Roman" w:cs="Times New Roman"/>
                <w:sz w:val="20"/>
                <w:szCs w:val="20"/>
              </w:rPr>
              <w:t>, C</w:t>
            </w:r>
            <w:r>
              <w:rPr>
                <w:rFonts w:ascii="Times New Roman" w:hAnsi="Times New Roman" w:cs="Times New Roman"/>
                <w:i/>
                <w:iCs/>
                <w:sz w:val="20"/>
                <w:szCs w:val="20"/>
              </w:rPr>
              <w:t>dB</w:t>
            </w:r>
            <w:r>
              <w:rPr>
                <w:rFonts w:ascii="Times New Roman" w:hAnsi="Times New Roman" w:cs="Times New Roman"/>
                <w:sz w:val="20"/>
                <w:szCs w:val="20"/>
              </w:rPr>
              <w:t>, D</w:t>
            </w:r>
            <w:r>
              <w:rPr>
                <w:rFonts w:ascii="Times New Roman" w:hAnsi="Times New Roman" w:cs="Times New Roman"/>
                <w:i/>
                <w:iCs/>
                <w:sz w:val="20"/>
                <w:szCs w:val="20"/>
              </w:rPr>
              <w:t>dB</w:t>
            </w:r>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14:paraId="2B577297" w14:textId="77777777" w:rsidR="00B66E0C" w:rsidRDefault="00557DA3">
            <w:pPr>
              <w:pStyle w:val="af7"/>
              <w:numPr>
                <w:ilvl w:val="0"/>
                <w:numId w:val="20"/>
              </w:numPr>
              <w:rPr>
                <w:rFonts w:ascii="Times New Roman" w:hAnsi="Times New Roman" w:cs="Times New Roman"/>
                <w:sz w:val="20"/>
                <w:szCs w:val="20"/>
              </w:rPr>
            </w:pPr>
            <w:r>
              <w:rPr>
                <w:rFonts w:ascii="Times New Roman" w:hAnsi="Times New Roman" w:cs="Times New Roman"/>
                <w:sz w:val="20"/>
                <w:szCs w:val="20"/>
              </w:rPr>
              <w:t>FFS: A, B, C, D.</w:t>
            </w:r>
          </w:p>
          <w:p w14:paraId="54D3D256" w14:textId="77777777" w:rsidR="00B66E0C" w:rsidRDefault="00557DA3">
            <w:pPr>
              <w:rPr>
                <w:sz w:val="20"/>
                <w:szCs w:val="20"/>
                <w:lang w:eastAsia="zh-CN"/>
              </w:rPr>
            </w:pPr>
            <w:r>
              <w:rPr>
                <w:sz w:val="20"/>
                <w:szCs w:val="20"/>
                <w:lang w:eastAsia="zh-CN"/>
              </w:rPr>
              <w:lastRenderedPageBreak/>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rsidR="00B66E0C" w14:paraId="69A784B0" w14:textId="77777777">
        <w:tc>
          <w:tcPr>
            <w:tcW w:w="1838" w:type="dxa"/>
          </w:tcPr>
          <w:p w14:paraId="71752F6B" w14:textId="77777777" w:rsidR="00B66E0C" w:rsidRDefault="00557DA3">
            <w:pPr>
              <w:rPr>
                <w:szCs w:val="20"/>
                <w:lang w:eastAsia="zh-CN"/>
              </w:rPr>
            </w:pPr>
            <w:r>
              <w:rPr>
                <w:szCs w:val="20"/>
                <w:lang w:eastAsia="zh-CN"/>
              </w:rPr>
              <w:lastRenderedPageBreak/>
              <w:t>Nokia, NSB</w:t>
            </w:r>
          </w:p>
        </w:tc>
        <w:tc>
          <w:tcPr>
            <w:tcW w:w="7469" w:type="dxa"/>
          </w:tcPr>
          <w:p w14:paraId="37A90166" w14:textId="77777777" w:rsidR="00B66E0C" w:rsidRDefault="00557DA3">
            <w:pPr>
              <w:rPr>
                <w:szCs w:val="20"/>
                <w:lang w:eastAsia="zh-CN"/>
              </w:rPr>
            </w:pPr>
            <w:r>
              <w:rPr>
                <w:szCs w:val="20"/>
                <w:lang w:eastAsia="zh-CN"/>
              </w:rPr>
              <w:t>We think that a single value per MCS level defined in specifications should be sufficient. There is no need to computer the value for each allocation nor have multiple higher-layer configured values.</w:t>
            </w:r>
          </w:p>
        </w:tc>
      </w:tr>
      <w:tr w:rsidR="00B66E0C" w14:paraId="7243DF8A" w14:textId="77777777">
        <w:tc>
          <w:tcPr>
            <w:tcW w:w="1838" w:type="dxa"/>
          </w:tcPr>
          <w:p w14:paraId="5A9A3D96" w14:textId="77777777" w:rsidR="00B66E0C" w:rsidRDefault="00557DA3">
            <w:pPr>
              <w:rPr>
                <w:szCs w:val="20"/>
                <w:lang w:eastAsia="zh-CN"/>
              </w:rPr>
            </w:pPr>
            <w:r>
              <w:t>Huawei, HiSilicon</w:t>
            </w:r>
          </w:p>
        </w:tc>
        <w:tc>
          <w:tcPr>
            <w:tcW w:w="7469" w:type="dxa"/>
          </w:tcPr>
          <w:p w14:paraId="6A3981AD" w14:textId="77777777" w:rsidR="00B66E0C" w:rsidRDefault="00557DA3">
            <w:r>
              <w:t xml:space="preserve">The specific value is calculated based on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t xml:space="preserve"> 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rPr>
              <w:t xml:space="preserve"> is given by higher layer parameter </w:t>
            </w:r>
            <w:r>
              <w:rPr>
                <w:i/>
              </w:rPr>
              <w:t>deltaMCS-Enabled</w:t>
            </w:r>
            <w: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t xml:space="preserve"> where K is the code block size.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hint="eastAsia"/>
                <w:lang w:eastAsia="zh-CN"/>
              </w:rPr>
              <w:t xml:space="preserve"> </w:t>
            </w:r>
            <w:r>
              <w:rPr>
                <w:lang w:eastAsia="zh-CN"/>
              </w:rPr>
              <w:t>is the number of REs for NPUSCH.</w:t>
            </w:r>
          </w:p>
        </w:tc>
      </w:tr>
      <w:tr w:rsidR="00B66E0C" w14:paraId="27713532" w14:textId="77777777">
        <w:tc>
          <w:tcPr>
            <w:tcW w:w="1838" w:type="dxa"/>
          </w:tcPr>
          <w:p w14:paraId="30E3AC8A" w14:textId="77777777" w:rsidR="00B66E0C" w:rsidRDefault="00557DA3">
            <w:pPr>
              <w:rPr>
                <w:lang w:eastAsia="zh-CN"/>
              </w:rPr>
            </w:pPr>
            <w:r>
              <w:rPr>
                <w:rFonts w:hint="eastAsia"/>
                <w:lang w:eastAsia="zh-CN"/>
              </w:rPr>
              <w:t>ZTE, Sanechips</w:t>
            </w:r>
          </w:p>
        </w:tc>
        <w:tc>
          <w:tcPr>
            <w:tcW w:w="7469" w:type="dxa"/>
          </w:tcPr>
          <w:p w14:paraId="295F0A44" w14:textId="77777777" w:rsidR="00B66E0C" w:rsidRDefault="00557DA3">
            <w:pPr>
              <w:rPr>
                <w:lang w:eastAsia="zh-CN"/>
              </w:rPr>
            </w:pPr>
            <w:r>
              <w:rPr>
                <w:rFonts w:hint="eastAsia"/>
                <w:lang w:eastAsia="zh-CN"/>
              </w:rPr>
              <w:t xml:space="preserve">A repurposed field with 4 bits can be used for TPC command. There are enough states to include all </w:t>
            </w:r>
            <w:r>
              <w:t>power offset</w:t>
            </w:r>
            <w:r>
              <w:rPr>
                <w:rFonts w:hint="eastAsia"/>
                <w:lang w:eastAsia="zh-CN"/>
              </w:rPr>
              <w:t xml:space="preserve"> determined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lang w:eastAsia="zh-CN"/>
              </w:rPr>
              <w:t xml:space="preserve">We do not see any benefits to adopt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lang w:eastAsia="zh-CN"/>
              </w:rPr>
              <w:t>, instead of dynamic TPC control.</w:t>
            </w:r>
          </w:p>
        </w:tc>
      </w:tr>
    </w:tbl>
    <w:p w14:paraId="3D127B7B" w14:textId="77777777" w:rsidR="00B66E0C" w:rsidRDefault="00B66E0C">
      <w:pPr>
        <w:autoSpaceDE/>
        <w:autoSpaceDN/>
        <w:adjustRightInd/>
        <w:snapToGrid/>
        <w:spacing w:after="0"/>
        <w:rPr>
          <w:b/>
          <w:szCs w:val="21"/>
          <w:lang w:eastAsia="zh-CN"/>
        </w:rPr>
      </w:pPr>
    </w:p>
    <w:p w14:paraId="0917FFFE" w14:textId="77777777" w:rsidR="00B66E0C" w:rsidRDefault="00B66E0C">
      <w:pPr>
        <w:autoSpaceDE/>
        <w:autoSpaceDN/>
        <w:adjustRightInd/>
        <w:snapToGrid/>
        <w:spacing w:after="0"/>
        <w:rPr>
          <w:b/>
          <w:szCs w:val="21"/>
          <w:lang w:eastAsia="zh-CN"/>
        </w:rPr>
      </w:pPr>
    </w:p>
    <w:p w14:paraId="78C472BC" w14:textId="77777777" w:rsidR="00B66E0C" w:rsidRDefault="00557DA3">
      <w:pPr>
        <w:pStyle w:val="2"/>
        <w:rPr>
          <w:lang w:eastAsia="zh-CN"/>
        </w:rPr>
      </w:pPr>
      <w:r>
        <w:rPr>
          <w:lang w:eastAsia="zh-CN"/>
        </w:rPr>
        <w:t>Channel quality reporting</w:t>
      </w:r>
    </w:p>
    <w:p w14:paraId="237290BB" w14:textId="77777777" w:rsidR="00B66E0C" w:rsidRDefault="00B66E0C">
      <w:pPr>
        <w:autoSpaceDE/>
        <w:autoSpaceDN/>
        <w:adjustRightInd/>
        <w:snapToGrid/>
        <w:spacing w:after="0"/>
        <w:rPr>
          <w:b/>
          <w:szCs w:val="21"/>
          <w:lang w:eastAsia="zh-CN"/>
        </w:rPr>
      </w:pPr>
    </w:p>
    <w:p w14:paraId="7D272847" w14:textId="77777777" w:rsidR="00B66E0C" w:rsidRDefault="00557DA3">
      <w:pPr>
        <w:pStyle w:val="30"/>
      </w:pPr>
      <w:r>
        <w:rPr>
          <w:lang w:eastAsia="zh-CN"/>
        </w:rPr>
        <w:t>Issue 5: Channel quality reporting</w:t>
      </w:r>
    </w:p>
    <w:p w14:paraId="62411D88" w14:textId="77777777" w:rsidR="00B66E0C" w:rsidRDefault="00557DA3">
      <w:pPr>
        <w:spacing w:line="240" w:lineRule="auto"/>
      </w:pPr>
      <w:r>
        <w:rPr>
          <w:rFonts w:hint="eastAsia"/>
        </w:rPr>
        <w:t>As most companies propose to not support channel quality report in Msg3 in connected mode, the following is pr</w:t>
      </w:r>
      <w:r>
        <w:t>oposed:</w:t>
      </w:r>
    </w:p>
    <w:p w14:paraId="7716E06A" w14:textId="77777777" w:rsidR="00B66E0C" w:rsidRDefault="00557DA3">
      <w:pPr>
        <w:spacing w:line="240" w:lineRule="auto"/>
      </w:pPr>
      <w:r>
        <w:rPr>
          <w:b/>
        </w:rPr>
        <w:t>Proposal 8 (conclusion): The channel quality report is not supported in Msg3 in connected mode in Rel-17.</w:t>
      </w:r>
    </w:p>
    <w:p w14:paraId="43AC45EF" w14:textId="77777777" w:rsidR="00B66E0C" w:rsidRDefault="00557DA3">
      <w:pPr>
        <w:spacing w:line="240" w:lineRule="auto"/>
      </w:pPr>
      <w:r>
        <w:t>On the CQI table for downlink 16-QAM, 4 companies (Nokia, NSB, Lenovo, Moto) prefer option 1, 1 company (Ericsson) prefers option 2, and 7 companies (Huawei, HiSilicon, Nokia, NSB, ZTE, Sanechips, MTK) prefer option 3.</w:t>
      </w:r>
    </w:p>
    <w:p w14:paraId="4303AC61" w14:textId="77777777" w:rsidR="00B66E0C" w:rsidRDefault="00557DA3">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EF8D4CF" w14:textId="77777777" w:rsidR="00B66E0C" w:rsidRDefault="00557DA3">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B0905A8" w14:textId="77777777" w:rsidR="00B66E0C" w:rsidRDefault="00557DA3">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14:paraId="142ACCA2" w14:textId="77777777" w:rsidR="00B66E0C" w:rsidRDefault="00557DA3">
      <w:pPr>
        <w:spacing w:line="240" w:lineRule="auto"/>
      </w:pPr>
      <w:r>
        <w:t>For the majority view (option 3), the concerns can be easily addressed by a Rel-17 RRC parameter. If it can be resolved, the following is proposed to move forward based on majority view:</w:t>
      </w:r>
    </w:p>
    <w:p w14:paraId="48F92B15" w14:textId="77777777" w:rsidR="00B66E0C" w:rsidRDefault="00557DA3">
      <w:pPr>
        <w:spacing w:line="240" w:lineRule="auto"/>
      </w:pPr>
      <w:r>
        <w:rPr>
          <w:b/>
        </w:rPr>
        <w:t>Proposal 9: For downlink 16-QAM, a new CQI table is defined based on the table 7.2.3-3 in TS 36.213 as a starting point.</w:t>
      </w:r>
    </w:p>
    <w:p w14:paraId="19F6A25E" w14:textId="77777777" w:rsidR="00B66E0C" w:rsidRDefault="00557DA3">
      <w:pPr>
        <w:spacing w:line="240" w:lineRule="auto"/>
      </w:pPr>
      <w:r>
        <w:rPr>
          <w:rFonts w:hint="eastAsia"/>
        </w:rPr>
        <w:t>P</w:t>
      </w:r>
      <w:r>
        <w:t>lease input your comments for the above proposals:</w:t>
      </w:r>
    </w:p>
    <w:tbl>
      <w:tblPr>
        <w:tblStyle w:val="af1"/>
        <w:tblW w:w="0" w:type="auto"/>
        <w:tblLook w:val="04A0" w:firstRow="1" w:lastRow="0" w:firstColumn="1" w:lastColumn="0" w:noHBand="0" w:noVBand="1"/>
      </w:tblPr>
      <w:tblGrid>
        <w:gridCol w:w="1838"/>
        <w:gridCol w:w="7469"/>
      </w:tblGrid>
      <w:tr w:rsidR="00B66E0C" w14:paraId="6C345E7C" w14:textId="77777777">
        <w:tc>
          <w:tcPr>
            <w:tcW w:w="1838" w:type="dxa"/>
          </w:tcPr>
          <w:p w14:paraId="25BFAC8B" w14:textId="77777777" w:rsidR="00B66E0C" w:rsidRDefault="00557DA3">
            <w:pPr>
              <w:rPr>
                <w:szCs w:val="20"/>
              </w:rPr>
            </w:pPr>
            <w:r>
              <w:rPr>
                <w:rFonts w:hint="eastAsia"/>
                <w:szCs w:val="20"/>
              </w:rPr>
              <w:t>Comp</w:t>
            </w:r>
            <w:r>
              <w:rPr>
                <w:szCs w:val="20"/>
              </w:rPr>
              <w:t>anies</w:t>
            </w:r>
          </w:p>
        </w:tc>
        <w:tc>
          <w:tcPr>
            <w:tcW w:w="7469" w:type="dxa"/>
          </w:tcPr>
          <w:p w14:paraId="454B1368" w14:textId="77777777" w:rsidR="00B66E0C" w:rsidRDefault="00557DA3">
            <w:pPr>
              <w:rPr>
                <w:szCs w:val="20"/>
              </w:rPr>
            </w:pPr>
            <w:r>
              <w:rPr>
                <w:rFonts w:hint="eastAsia"/>
                <w:szCs w:val="20"/>
              </w:rPr>
              <w:t>Comments</w:t>
            </w:r>
          </w:p>
        </w:tc>
      </w:tr>
      <w:tr w:rsidR="00B66E0C" w14:paraId="0A3BE9DF" w14:textId="77777777">
        <w:tc>
          <w:tcPr>
            <w:tcW w:w="1838" w:type="dxa"/>
          </w:tcPr>
          <w:p w14:paraId="3019B5DB" w14:textId="77777777" w:rsidR="00B66E0C" w:rsidRDefault="00557DA3">
            <w:r>
              <w:t>Huawei, HiSilicon</w:t>
            </w:r>
          </w:p>
        </w:tc>
        <w:tc>
          <w:tcPr>
            <w:tcW w:w="7469" w:type="dxa"/>
          </w:tcPr>
          <w:p w14:paraId="6562614E" w14:textId="77777777" w:rsidR="00B66E0C" w:rsidRDefault="00557DA3">
            <w:r>
              <w:rPr>
                <w:rFonts w:hint="eastAsia"/>
              </w:rPr>
              <w:t>W</w:t>
            </w:r>
            <w:r>
              <w:t xml:space="preserve">e are OK with proposal 8 and proposal 9. </w:t>
            </w:r>
          </w:p>
        </w:tc>
      </w:tr>
      <w:tr w:rsidR="00B66E0C" w14:paraId="394A895B" w14:textId="77777777">
        <w:tc>
          <w:tcPr>
            <w:tcW w:w="1838" w:type="dxa"/>
          </w:tcPr>
          <w:p w14:paraId="3787BF24" w14:textId="77777777" w:rsidR="00B66E0C" w:rsidRDefault="00557DA3">
            <w:pPr>
              <w:rPr>
                <w:szCs w:val="20"/>
              </w:rPr>
            </w:pPr>
            <w:r>
              <w:rPr>
                <w:rFonts w:asciiTheme="minorHAnsi" w:hAnsiTheme="minorHAnsi" w:cstheme="minorHAnsi"/>
                <w:szCs w:val="20"/>
                <w:lang w:eastAsia="zh-CN"/>
              </w:rPr>
              <w:t>Ericsson</w:t>
            </w:r>
          </w:p>
        </w:tc>
        <w:tc>
          <w:tcPr>
            <w:tcW w:w="7469" w:type="dxa"/>
          </w:tcPr>
          <w:p w14:paraId="6DBCAB95" w14:textId="77777777" w:rsidR="00B66E0C" w:rsidRDefault="00557DA3">
            <w:pPr>
              <w:pStyle w:val="af7"/>
              <w:numPr>
                <w:ilvl w:val="0"/>
                <w:numId w:val="15"/>
              </w:numPr>
            </w:pPr>
            <w:r>
              <w:t>Proposal 8: Ok.</w:t>
            </w:r>
          </w:p>
          <w:p w14:paraId="7A0F555B" w14:textId="77777777" w:rsidR="00B66E0C" w:rsidRDefault="00557DA3">
            <w:pPr>
              <w:pStyle w:val="af7"/>
              <w:numPr>
                <w:ilvl w:val="0"/>
                <w:numId w:val="15"/>
              </w:numPr>
            </w:pPr>
            <w:r>
              <w:t>Proposal 9: We are not ok with it, mainly because of the no backward compatibility from option 1 and option 3.</w:t>
            </w:r>
          </w:p>
        </w:tc>
      </w:tr>
      <w:tr w:rsidR="00B66E0C" w14:paraId="4254B7A0" w14:textId="77777777">
        <w:tc>
          <w:tcPr>
            <w:tcW w:w="1838" w:type="dxa"/>
          </w:tcPr>
          <w:p w14:paraId="7B84474A" w14:textId="77777777" w:rsidR="00B66E0C" w:rsidRDefault="00557DA3">
            <w:pPr>
              <w:rPr>
                <w:szCs w:val="20"/>
                <w:lang w:eastAsia="zh-CN"/>
              </w:rPr>
            </w:pPr>
            <w:r>
              <w:rPr>
                <w:rFonts w:hint="eastAsia"/>
                <w:szCs w:val="20"/>
                <w:lang w:eastAsia="zh-CN"/>
              </w:rPr>
              <w:lastRenderedPageBreak/>
              <w:t>L</w:t>
            </w:r>
            <w:r>
              <w:rPr>
                <w:szCs w:val="20"/>
                <w:lang w:eastAsia="zh-CN"/>
              </w:rPr>
              <w:t>enovo, MotoM</w:t>
            </w:r>
          </w:p>
        </w:tc>
        <w:tc>
          <w:tcPr>
            <w:tcW w:w="7469" w:type="dxa"/>
          </w:tcPr>
          <w:p w14:paraId="1CAFDCEB" w14:textId="77777777" w:rsidR="00B66E0C" w:rsidRDefault="00557DA3">
            <w:pPr>
              <w:rPr>
                <w:szCs w:val="20"/>
                <w:lang w:eastAsia="zh-CN"/>
              </w:rPr>
            </w:pPr>
            <w:r>
              <w:rPr>
                <w:szCs w:val="20"/>
                <w:lang w:eastAsia="zh-CN"/>
              </w:rPr>
              <w:t>We are OK with proposal 8</w:t>
            </w:r>
          </w:p>
          <w:p w14:paraId="21BAE0BD" w14:textId="77777777" w:rsidR="00B66E0C" w:rsidRDefault="00557DA3">
            <w:pPr>
              <w:rPr>
                <w:szCs w:val="20"/>
                <w:lang w:eastAsia="zh-CN"/>
              </w:rPr>
            </w:pPr>
            <w:r>
              <w:rPr>
                <w:rFonts w:hint="eastAsia"/>
                <w:szCs w:val="20"/>
                <w:lang w:eastAsia="zh-CN"/>
              </w:rPr>
              <w:t>F</w:t>
            </w:r>
            <w:r>
              <w:rPr>
                <w:szCs w:val="20"/>
                <w:lang w:eastAsia="zh-CN"/>
              </w:rPr>
              <w:t>or proposal 9, we have some concern because it is not aligned with the WID</w:t>
            </w:r>
          </w:p>
          <w:p w14:paraId="194C836F" w14:textId="77777777" w:rsidR="00B66E0C" w:rsidRDefault="00557DA3">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275B0BD2" w14:textId="77777777" w:rsidR="00B66E0C" w:rsidRDefault="00557DA3">
            <w:pPr>
              <w:pStyle w:val="af7"/>
              <w:numPr>
                <w:ilvl w:val="0"/>
                <w:numId w:val="11"/>
              </w:numPr>
              <w:snapToGrid w:val="0"/>
              <w:spacing w:line="240" w:lineRule="auto"/>
              <w:ind w:leftChars="36" w:left="439"/>
              <w:jc w:val="left"/>
              <w:rPr>
                <w:rFonts w:ascii="Times New Roman" w:hAnsi="Times New Roman"/>
                <w:bCs/>
                <w:sz w:val="20"/>
                <w:szCs w:val="20"/>
              </w:rPr>
            </w:pPr>
            <w:r>
              <w:rPr>
                <w:rFonts w:ascii="Times New Roman" w:eastAsia="等线"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eastAsia="等线" w:hAnsi="Times New Roman"/>
                <w:sz w:val="20"/>
                <w:szCs w:val="20"/>
              </w:rPr>
              <w:t xml:space="preserve"> [NB-IoT] [RAN1, RAN4]</w:t>
            </w:r>
          </w:p>
          <w:p w14:paraId="6AE1509A" w14:textId="77777777" w:rsidR="00B66E0C" w:rsidRDefault="00557DA3">
            <w:pPr>
              <w:pStyle w:val="af7"/>
              <w:numPr>
                <w:ilvl w:val="1"/>
                <w:numId w:val="11"/>
              </w:numPr>
              <w:snapToGrid w:val="0"/>
              <w:spacing w:line="240" w:lineRule="auto"/>
              <w:ind w:left="785"/>
              <w:jc w:val="left"/>
              <w:rPr>
                <w:rFonts w:ascii="Times New Roman" w:hAnsi="Times New Roman"/>
                <w:bCs/>
                <w:sz w:val="20"/>
                <w:szCs w:val="20"/>
              </w:rPr>
            </w:pPr>
            <w:r>
              <w:rPr>
                <w:rFonts w:ascii="Times New Roman" w:eastAsia="等线" w:hAnsi="Times New Roman"/>
                <w:sz w:val="20"/>
                <w:szCs w:val="20"/>
              </w:rPr>
              <w:t xml:space="preserve">Extend the NB-IoT channel quality reporting </w:t>
            </w:r>
            <w:r>
              <w:rPr>
                <w:rFonts w:ascii="Times New Roman" w:eastAsia="等线" w:hAnsi="Times New Roman"/>
                <w:sz w:val="20"/>
                <w:szCs w:val="20"/>
                <w:highlight w:val="yellow"/>
              </w:rPr>
              <w:t>based on the framework of Rel-14—16</w:t>
            </w:r>
            <w:r>
              <w:rPr>
                <w:rFonts w:ascii="Times New Roman" w:eastAsia="等线" w:hAnsi="Times New Roman"/>
                <w:sz w:val="20"/>
                <w:szCs w:val="20"/>
              </w:rPr>
              <w:t xml:space="preserve">, to support 16-QAM in DL. [NB-IoT] [RAN2, RAN1, RAN4] </w:t>
            </w:r>
          </w:p>
          <w:p w14:paraId="60DE1190" w14:textId="77777777" w:rsidR="00B66E0C" w:rsidRDefault="00B66E0C">
            <w:pPr>
              <w:rPr>
                <w:szCs w:val="20"/>
                <w:lang w:eastAsia="zh-CN"/>
              </w:rPr>
            </w:pPr>
          </w:p>
        </w:tc>
      </w:tr>
      <w:tr w:rsidR="00B66E0C" w14:paraId="5576C86A" w14:textId="77777777">
        <w:tc>
          <w:tcPr>
            <w:tcW w:w="1838" w:type="dxa"/>
          </w:tcPr>
          <w:p w14:paraId="471547B2" w14:textId="77777777" w:rsidR="00B66E0C" w:rsidRDefault="00557DA3">
            <w:pPr>
              <w:rPr>
                <w:szCs w:val="20"/>
                <w:lang w:eastAsia="zh-CN"/>
              </w:rPr>
            </w:pPr>
            <w:r>
              <w:rPr>
                <w:rFonts w:hint="eastAsia"/>
                <w:szCs w:val="20"/>
                <w:lang w:eastAsia="zh-CN"/>
              </w:rPr>
              <w:t>MTK</w:t>
            </w:r>
          </w:p>
        </w:tc>
        <w:tc>
          <w:tcPr>
            <w:tcW w:w="7469" w:type="dxa"/>
          </w:tcPr>
          <w:p w14:paraId="166C57F3" w14:textId="77777777" w:rsidR="00B66E0C" w:rsidRDefault="00557DA3">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rsidR="00B66E0C" w14:paraId="463619BF" w14:textId="77777777">
        <w:tc>
          <w:tcPr>
            <w:tcW w:w="1838" w:type="dxa"/>
          </w:tcPr>
          <w:p w14:paraId="48F35AC1" w14:textId="77777777" w:rsidR="00B66E0C" w:rsidRDefault="00557DA3">
            <w:pPr>
              <w:rPr>
                <w:szCs w:val="20"/>
                <w:lang w:eastAsia="zh-CN"/>
              </w:rPr>
            </w:pPr>
            <w:r>
              <w:rPr>
                <w:rFonts w:hint="eastAsia"/>
                <w:szCs w:val="20"/>
                <w:lang w:eastAsia="zh-CN"/>
              </w:rPr>
              <w:t>ZTE, Sanechips</w:t>
            </w:r>
          </w:p>
        </w:tc>
        <w:tc>
          <w:tcPr>
            <w:tcW w:w="7469" w:type="dxa"/>
          </w:tcPr>
          <w:p w14:paraId="3AED8C8F" w14:textId="77777777" w:rsidR="00B66E0C" w:rsidRDefault="00557DA3">
            <w:pPr>
              <w:tabs>
                <w:tab w:val="left" w:pos="3130"/>
              </w:tabs>
              <w:rPr>
                <w:szCs w:val="20"/>
                <w:lang w:eastAsia="zh-CN"/>
              </w:rPr>
            </w:pPr>
            <w:r>
              <w:rPr>
                <w:rFonts w:hint="eastAsia"/>
                <w:szCs w:val="20"/>
                <w:lang w:eastAsia="zh-CN"/>
              </w:rPr>
              <w:t>Agree with Proposal 8 and 9.</w:t>
            </w:r>
          </w:p>
        </w:tc>
      </w:tr>
      <w:tr w:rsidR="00B66E0C" w14:paraId="3EBDC360" w14:textId="77777777">
        <w:trPr>
          <w:trHeight w:val="456"/>
        </w:trPr>
        <w:tc>
          <w:tcPr>
            <w:tcW w:w="1838" w:type="dxa"/>
          </w:tcPr>
          <w:p w14:paraId="24869F63" w14:textId="77777777" w:rsidR="00B66E0C" w:rsidRDefault="00557DA3">
            <w:pPr>
              <w:rPr>
                <w:szCs w:val="20"/>
                <w:lang w:eastAsia="zh-CN"/>
              </w:rPr>
            </w:pPr>
            <w:r>
              <w:rPr>
                <w:szCs w:val="20"/>
                <w:lang w:eastAsia="zh-CN"/>
              </w:rPr>
              <w:t>Nokia, NSB</w:t>
            </w:r>
          </w:p>
        </w:tc>
        <w:tc>
          <w:tcPr>
            <w:tcW w:w="7469" w:type="dxa"/>
          </w:tcPr>
          <w:p w14:paraId="5B9D5B20" w14:textId="77777777" w:rsidR="00B66E0C" w:rsidRDefault="00557DA3">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r w:rsidR="00B66E0C" w14:paraId="27461247" w14:textId="77777777">
        <w:tc>
          <w:tcPr>
            <w:tcW w:w="1838" w:type="dxa"/>
          </w:tcPr>
          <w:p w14:paraId="10FD112B" w14:textId="77777777" w:rsidR="00B66E0C" w:rsidRDefault="00B66E0C">
            <w:pPr>
              <w:rPr>
                <w:szCs w:val="20"/>
                <w:lang w:eastAsia="zh-CN"/>
              </w:rPr>
            </w:pPr>
          </w:p>
        </w:tc>
        <w:tc>
          <w:tcPr>
            <w:tcW w:w="7469" w:type="dxa"/>
          </w:tcPr>
          <w:p w14:paraId="5788698C" w14:textId="77777777" w:rsidR="00B66E0C" w:rsidRDefault="00B66E0C">
            <w:pPr>
              <w:tabs>
                <w:tab w:val="left" w:pos="3130"/>
              </w:tabs>
              <w:rPr>
                <w:szCs w:val="20"/>
                <w:lang w:eastAsia="zh-CN"/>
              </w:rPr>
            </w:pPr>
          </w:p>
        </w:tc>
      </w:tr>
      <w:tr w:rsidR="00B66E0C" w14:paraId="31EEB69B" w14:textId="77777777">
        <w:tc>
          <w:tcPr>
            <w:tcW w:w="1838" w:type="dxa"/>
          </w:tcPr>
          <w:p w14:paraId="4637EF48" w14:textId="77777777" w:rsidR="00B66E0C" w:rsidRDefault="00B66E0C">
            <w:pPr>
              <w:rPr>
                <w:szCs w:val="20"/>
                <w:lang w:eastAsia="zh-CN"/>
              </w:rPr>
            </w:pPr>
          </w:p>
        </w:tc>
        <w:tc>
          <w:tcPr>
            <w:tcW w:w="7469" w:type="dxa"/>
          </w:tcPr>
          <w:p w14:paraId="6AE36D8D" w14:textId="77777777" w:rsidR="00B66E0C" w:rsidRDefault="00B66E0C">
            <w:pPr>
              <w:tabs>
                <w:tab w:val="left" w:pos="3130"/>
              </w:tabs>
              <w:rPr>
                <w:szCs w:val="20"/>
                <w:lang w:eastAsia="zh-CN"/>
              </w:rPr>
            </w:pPr>
          </w:p>
        </w:tc>
      </w:tr>
      <w:tr w:rsidR="00B66E0C" w14:paraId="6D1F0D63" w14:textId="77777777">
        <w:tc>
          <w:tcPr>
            <w:tcW w:w="1838" w:type="dxa"/>
          </w:tcPr>
          <w:p w14:paraId="2DE01FDE" w14:textId="77777777" w:rsidR="00B66E0C" w:rsidRDefault="00B66E0C">
            <w:pPr>
              <w:rPr>
                <w:szCs w:val="20"/>
                <w:lang w:eastAsia="zh-CN"/>
              </w:rPr>
            </w:pPr>
          </w:p>
        </w:tc>
        <w:tc>
          <w:tcPr>
            <w:tcW w:w="7469" w:type="dxa"/>
          </w:tcPr>
          <w:p w14:paraId="0A334D09" w14:textId="77777777" w:rsidR="00B66E0C" w:rsidRDefault="00B66E0C">
            <w:pPr>
              <w:tabs>
                <w:tab w:val="left" w:pos="3130"/>
              </w:tabs>
              <w:rPr>
                <w:szCs w:val="20"/>
                <w:lang w:eastAsia="zh-CN"/>
              </w:rPr>
            </w:pPr>
          </w:p>
        </w:tc>
      </w:tr>
    </w:tbl>
    <w:p w14:paraId="5B5174DE" w14:textId="77777777" w:rsidR="00B66E0C" w:rsidRDefault="00B66E0C"/>
    <w:p w14:paraId="5EFD43AF" w14:textId="77777777" w:rsidR="00B66E0C" w:rsidRDefault="00557DA3">
      <w:pPr>
        <w:pStyle w:val="2"/>
        <w:rPr>
          <w:lang w:eastAsia="zh-CN"/>
        </w:rPr>
      </w:pPr>
      <w:r>
        <w:rPr>
          <w:lang w:eastAsia="zh-CN"/>
        </w:rPr>
        <w:t>Others</w:t>
      </w:r>
    </w:p>
    <w:p w14:paraId="351A8504" w14:textId="77777777" w:rsidR="00B66E0C" w:rsidRDefault="00557DA3">
      <w:pPr>
        <w:outlineLvl w:val="2"/>
        <w:rPr>
          <w:b/>
          <w:u w:val="single"/>
        </w:rPr>
      </w:pPr>
      <w:r>
        <w:rPr>
          <w:b/>
          <w:u w:val="single"/>
          <w:lang w:eastAsia="zh-CN"/>
        </w:rPr>
        <w:t xml:space="preserve">Issue 6: </w:t>
      </w:r>
      <w:r>
        <w:rPr>
          <w:rFonts w:hint="eastAsia"/>
          <w:b/>
          <w:u w:val="single"/>
        </w:rPr>
        <w:t>Others</w:t>
      </w:r>
    </w:p>
    <w:p w14:paraId="556DA845" w14:textId="77777777" w:rsidR="00B66E0C" w:rsidRDefault="00557DA3">
      <w:r>
        <w:t>Based on previous comments, there are two companies proposing to discuss the CSI reference. Therefore, the following is proposed for discussion:</w:t>
      </w:r>
    </w:p>
    <w:p w14:paraId="6ADD3349" w14:textId="77777777" w:rsidR="00B66E0C" w:rsidRDefault="00557DA3">
      <w:pPr>
        <w:rPr>
          <w:b/>
        </w:rPr>
      </w:pPr>
      <w:r>
        <w:rPr>
          <w:rFonts w:hint="eastAsia"/>
          <w:b/>
        </w:rPr>
        <w:t xml:space="preserve">Proposal 10: </w:t>
      </w:r>
      <w:r>
        <w:rPr>
          <w:b/>
          <w:szCs w:val="20"/>
        </w:rPr>
        <w:t>Define CSI reference resource to be used for 16-QAM CQI measurement.</w:t>
      </w:r>
    </w:p>
    <w:p w14:paraId="430557A7" w14:textId="77777777" w:rsidR="00B66E0C" w:rsidRDefault="00557DA3">
      <w:r>
        <w:t xml:space="preserve">Please input your comments to the above proposal or any other issue that can be considered for discussion in this meeting: </w:t>
      </w:r>
    </w:p>
    <w:tbl>
      <w:tblPr>
        <w:tblStyle w:val="af1"/>
        <w:tblW w:w="0" w:type="auto"/>
        <w:tblLook w:val="04A0" w:firstRow="1" w:lastRow="0" w:firstColumn="1" w:lastColumn="0" w:noHBand="0" w:noVBand="1"/>
      </w:tblPr>
      <w:tblGrid>
        <w:gridCol w:w="1838"/>
        <w:gridCol w:w="7469"/>
      </w:tblGrid>
      <w:tr w:rsidR="00B66E0C" w14:paraId="2EFC6D52" w14:textId="77777777">
        <w:tc>
          <w:tcPr>
            <w:tcW w:w="1838" w:type="dxa"/>
          </w:tcPr>
          <w:p w14:paraId="3F007D4E" w14:textId="77777777" w:rsidR="00B66E0C" w:rsidRDefault="00557DA3">
            <w:pPr>
              <w:rPr>
                <w:szCs w:val="20"/>
              </w:rPr>
            </w:pPr>
            <w:r>
              <w:rPr>
                <w:rFonts w:hint="eastAsia"/>
                <w:szCs w:val="20"/>
              </w:rPr>
              <w:t>Comp</w:t>
            </w:r>
            <w:r>
              <w:rPr>
                <w:szCs w:val="20"/>
              </w:rPr>
              <w:t>anies</w:t>
            </w:r>
          </w:p>
        </w:tc>
        <w:tc>
          <w:tcPr>
            <w:tcW w:w="7469" w:type="dxa"/>
          </w:tcPr>
          <w:p w14:paraId="10D3F8CC" w14:textId="77777777" w:rsidR="00B66E0C" w:rsidRDefault="00557DA3">
            <w:pPr>
              <w:rPr>
                <w:szCs w:val="20"/>
              </w:rPr>
            </w:pPr>
            <w:r>
              <w:rPr>
                <w:rFonts w:hint="eastAsia"/>
                <w:szCs w:val="20"/>
              </w:rPr>
              <w:t>Comments</w:t>
            </w:r>
          </w:p>
        </w:tc>
      </w:tr>
      <w:tr w:rsidR="00B66E0C" w14:paraId="49740A1C" w14:textId="77777777">
        <w:tc>
          <w:tcPr>
            <w:tcW w:w="1838" w:type="dxa"/>
          </w:tcPr>
          <w:p w14:paraId="24FABA02" w14:textId="77777777" w:rsidR="00B66E0C" w:rsidRDefault="00557DA3">
            <w:pPr>
              <w:rPr>
                <w:sz w:val="20"/>
                <w:szCs w:val="18"/>
              </w:rPr>
            </w:pPr>
            <w:r>
              <w:rPr>
                <w:sz w:val="20"/>
                <w:szCs w:val="18"/>
              </w:rPr>
              <w:t>Ericsson v010</w:t>
            </w:r>
          </w:p>
        </w:tc>
        <w:tc>
          <w:tcPr>
            <w:tcW w:w="7469" w:type="dxa"/>
          </w:tcPr>
          <w:p w14:paraId="41BEA2B0" w14:textId="77777777" w:rsidR="00B66E0C" w:rsidRDefault="00557DA3">
            <w:pPr>
              <w:rPr>
                <w:sz w:val="20"/>
                <w:szCs w:val="18"/>
              </w:rPr>
            </w:pPr>
            <w:r>
              <w:rPr>
                <w:sz w:val="20"/>
                <w:szCs w:val="18"/>
              </w:rPr>
              <w:t>We need to define reference symbols to estimate CQI, NRS seems to be suitable for this purpose in NB-IoT.</w:t>
            </w:r>
          </w:p>
        </w:tc>
      </w:tr>
      <w:tr w:rsidR="00B66E0C" w14:paraId="6C75AC54" w14:textId="77777777">
        <w:tc>
          <w:tcPr>
            <w:tcW w:w="1838" w:type="dxa"/>
          </w:tcPr>
          <w:p w14:paraId="03B4BBA7" w14:textId="77777777" w:rsidR="00B66E0C" w:rsidRDefault="00557DA3">
            <w:pPr>
              <w:rPr>
                <w:szCs w:val="20"/>
                <w:lang w:eastAsia="zh-CN"/>
              </w:rPr>
            </w:pPr>
            <w:r>
              <w:rPr>
                <w:szCs w:val="20"/>
                <w:lang w:eastAsia="zh-CN"/>
              </w:rPr>
              <w:t>Nokia, NSB</w:t>
            </w:r>
          </w:p>
        </w:tc>
        <w:tc>
          <w:tcPr>
            <w:tcW w:w="7469" w:type="dxa"/>
          </w:tcPr>
          <w:p w14:paraId="478FA339" w14:textId="77777777" w:rsidR="00B66E0C" w:rsidRDefault="00557DA3">
            <w:pPr>
              <w:pStyle w:val="a6"/>
              <w:jc w:val="left"/>
              <w:rPr>
                <w:rFonts w:eastAsia="宋体"/>
                <w:b w:val="0"/>
                <w:bCs w:val="0"/>
                <w:szCs w:val="20"/>
              </w:rPr>
            </w:pPr>
            <w:r>
              <w:rPr>
                <w:rFonts w:eastAsia="宋体"/>
                <w:b w:val="0"/>
                <w:bCs w:val="0"/>
                <w:szCs w:val="20"/>
              </w:rPr>
              <w:t>We support this proposal. It can be based on NRS with similar definition as for eMTC.</w:t>
            </w:r>
          </w:p>
        </w:tc>
      </w:tr>
      <w:tr w:rsidR="00B66E0C" w14:paraId="7D2E9291" w14:textId="77777777">
        <w:tc>
          <w:tcPr>
            <w:tcW w:w="1838" w:type="dxa"/>
          </w:tcPr>
          <w:p w14:paraId="7960FE8F" w14:textId="77777777" w:rsidR="00B66E0C" w:rsidRDefault="00557DA3">
            <w:pPr>
              <w:rPr>
                <w:szCs w:val="20"/>
                <w:lang w:eastAsia="zh-CN"/>
              </w:rPr>
            </w:pPr>
            <w:r>
              <w:rPr>
                <w:szCs w:val="20"/>
                <w:lang w:eastAsia="zh-CN"/>
              </w:rPr>
              <w:t>MTK</w:t>
            </w:r>
          </w:p>
        </w:tc>
        <w:tc>
          <w:tcPr>
            <w:tcW w:w="7469" w:type="dxa"/>
          </w:tcPr>
          <w:p w14:paraId="1912B175" w14:textId="77777777" w:rsidR="00B66E0C" w:rsidRDefault="00557DA3">
            <w:pPr>
              <w:rPr>
                <w:szCs w:val="20"/>
                <w:lang w:eastAsia="zh-CN"/>
              </w:rPr>
            </w:pPr>
            <w:r>
              <w:rPr>
                <w:szCs w:val="20"/>
                <w:lang w:eastAsia="zh-CN"/>
              </w:rPr>
              <w:t xml:space="preserve">Considering the limited resource, We think it’s better to follow legacy measurement framework (NRS based as well). Definite CSI reference resource might introduce extra latency compared to instant moving-average measurement. </w:t>
            </w:r>
          </w:p>
        </w:tc>
      </w:tr>
      <w:tr w:rsidR="00B66E0C" w14:paraId="7428DA45" w14:textId="77777777">
        <w:tc>
          <w:tcPr>
            <w:tcW w:w="1838" w:type="dxa"/>
          </w:tcPr>
          <w:p w14:paraId="7EB9C64C" w14:textId="77777777" w:rsidR="00B66E0C" w:rsidRDefault="00557DA3">
            <w:pPr>
              <w:rPr>
                <w:szCs w:val="20"/>
                <w:lang w:eastAsia="zh-CN"/>
              </w:rPr>
            </w:pPr>
            <w:r>
              <w:rPr>
                <w:rFonts w:hint="eastAsia"/>
                <w:szCs w:val="20"/>
                <w:lang w:eastAsia="zh-CN"/>
              </w:rPr>
              <w:t>H</w:t>
            </w:r>
            <w:r>
              <w:rPr>
                <w:szCs w:val="20"/>
                <w:lang w:eastAsia="zh-CN"/>
              </w:rPr>
              <w:t>uawei, HiSilicon</w:t>
            </w:r>
          </w:p>
        </w:tc>
        <w:tc>
          <w:tcPr>
            <w:tcW w:w="7469" w:type="dxa"/>
          </w:tcPr>
          <w:p w14:paraId="37F95B1B" w14:textId="77777777" w:rsidR="00B66E0C" w:rsidRDefault="00557DA3">
            <w:pPr>
              <w:rPr>
                <w:szCs w:val="20"/>
                <w:lang w:eastAsia="zh-CN"/>
              </w:rPr>
            </w:pPr>
            <w:r>
              <w:rPr>
                <w:szCs w:val="20"/>
                <w:lang w:eastAsia="zh-CN"/>
              </w:rPr>
              <w:t>In channel quality reporting in R16, no reference resource is defined for measurement in the spec. We think there is no need to define this and can follow the legacy.</w:t>
            </w:r>
          </w:p>
        </w:tc>
      </w:tr>
      <w:tr w:rsidR="00B66E0C" w14:paraId="7E052B35" w14:textId="77777777">
        <w:tc>
          <w:tcPr>
            <w:tcW w:w="1838" w:type="dxa"/>
          </w:tcPr>
          <w:p w14:paraId="5E4A837F" w14:textId="77777777" w:rsidR="00B66E0C" w:rsidRDefault="00557DA3">
            <w:pPr>
              <w:rPr>
                <w:szCs w:val="20"/>
                <w:lang w:eastAsia="zh-CN"/>
              </w:rPr>
            </w:pPr>
            <w:r>
              <w:rPr>
                <w:rFonts w:hint="eastAsia"/>
                <w:szCs w:val="20"/>
                <w:lang w:eastAsia="zh-CN"/>
              </w:rPr>
              <w:lastRenderedPageBreak/>
              <w:t>ZTE, Sanechips</w:t>
            </w:r>
          </w:p>
        </w:tc>
        <w:tc>
          <w:tcPr>
            <w:tcW w:w="7469" w:type="dxa"/>
          </w:tcPr>
          <w:p w14:paraId="6BA397D8" w14:textId="77777777" w:rsidR="00B66E0C" w:rsidRDefault="00557DA3">
            <w:pPr>
              <w:spacing w:beforeLines="50" w:before="120" w:line="276" w:lineRule="auto"/>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In addition, RAN1 has not defined measurement reference resource for channel quality report in Rel-14/16 NB-IoT. Thus, the measurement reference resource does not need to be specified for Rel-17 CQI report.</w:t>
            </w:r>
          </w:p>
        </w:tc>
      </w:tr>
    </w:tbl>
    <w:p w14:paraId="27578645" w14:textId="77777777" w:rsidR="00B66E0C" w:rsidRDefault="00B66E0C">
      <w:pPr>
        <w:rPr>
          <w:lang w:eastAsia="zh-CN"/>
        </w:rPr>
      </w:pPr>
    </w:p>
    <w:p w14:paraId="63C6BBD6" w14:textId="77777777" w:rsidR="00B66E0C" w:rsidRDefault="00557DA3">
      <w:pPr>
        <w:pStyle w:val="1"/>
        <w:rPr>
          <w:lang w:eastAsia="zh-CN"/>
        </w:rPr>
      </w:pPr>
      <w:r>
        <w:rPr>
          <w:lang w:eastAsia="zh-CN"/>
        </w:rPr>
        <w:t>Previous discussions</w:t>
      </w:r>
    </w:p>
    <w:p w14:paraId="5A20F87A" w14:textId="77777777" w:rsidR="00B66E0C" w:rsidRDefault="00557DA3">
      <w:pPr>
        <w:pStyle w:val="2"/>
        <w:rPr>
          <w:lang w:eastAsia="zh-CN"/>
        </w:rPr>
      </w:pPr>
      <w:r>
        <w:rPr>
          <w:lang w:eastAsia="zh-CN"/>
        </w:rPr>
        <w:t>Applicability</w:t>
      </w:r>
    </w:p>
    <w:p w14:paraId="3DE94433" w14:textId="77777777" w:rsidR="00B66E0C" w:rsidRDefault="00557DA3">
      <w:pPr>
        <w:pStyle w:val="30"/>
      </w:pPr>
      <w:r>
        <w:rPr>
          <w:lang w:eastAsia="zh-CN"/>
        </w:rPr>
        <w:t>Issue 1: Applicability</w:t>
      </w:r>
    </w:p>
    <w:p w14:paraId="38EA373D" w14:textId="77777777" w:rsidR="00B66E0C" w:rsidRDefault="00557DA3">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66E0C" w14:paraId="2BF4049E" w14:textId="77777777">
        <w:tc>
          <w:tcPr>
            <w:tcW w:w="1555" w:type="dxa"/>
          </w:tcPr>
          <w:p w14:paraId="0C55E96B" w14:textId="77777777" w:rsidR="00B66E0C" w:rsidRDefault="00557DA3">
            <w:pPr>
              <w:rPr>
                <w:szCs w:val="20"/>
              </w:rPr>
            </w:pPr>
            <w:r>
              <w:rPr>
                <w:rFonts w:hint="eastAsia"/>
                <w:szCs w:val="20"/>
              </w:rPr>
              <w:t>S</w:t>
            </w:r>
            <w:r>
              <w:rPr>
                <w:szCs w:val="20"/>
              </w:rPr>
              <w:t>ourcing</w:t>
            </w:r>
          </w:p>
        </w:tc>
        <w:tc>
          <w:tcPr>
            <w:tcW w:w="7752" w:type="dxa"/>
          </w:tcPr>
          <w:p w14:paraId="56E86192" w14:textId="77777777" w:rsidR="00B66E0C" w:rsidRDefault="00557DA3">
            <w:pPr>
              <w:rPr>
                <w:szCs w:val="20"/>
              </w:rPr>
            </w:pPr>
            <w:r>
              <w:rPr>
                <w:rFonts w:hint="eastAsia"/>
                <w:szCs w:val="20"/>
              </w:rPr>
              <w:t>proposals</w:t>
            </w:r>
          </w:p>
        </w:tc>
      </w:tr>
      <w:tr w:rsidR="00B66E0C" w14:paraId="16AC391F" w14:textId="77777777">
        <w:tc>
          <w:tcPr>
            <w:tcW w:w="1555" w:type="dxa"/>
          </w:tcPr>
          <w:p w14:paraId="4B61EE6D" w14:textId="77777777" w:rsidR="00B66E0C" w:rsidRDefault="00557DA3">
            <w:pPr>
              <w:rPr>
                <w:szCs w:val="20"/>
              </w:rPr>
            </w:pPr>
            <w:r>
              <w:rPr>
                <w:rFonts w:hint="eastAsia"/>
                <w:szCs w:val="20"/>
              </w:rPr>
              <w:t>[</w:t>
            </w:r>
            <w:r>
              <w:rPr>
                <w:szCs w:val="20"/>
              </w:rPr>
              <w:t>2]</w:t>
            </w:r>
          </w:p>
        </w:tc>
        <w:tc>
          <w:tcPr>
            <w:tcW w:w="7752" w:type="dxa"/>
          </w:tcPr>
          <w:p w14:paraId="07049AF3" w14:textId="77777777" w:rsidR="00B66E0C" w:rsidRDefault="00557DA3">
            <w:pPr>
              <w:rPr>
                <w:b/>
              </w:rPr>
            </w:pPr>
            <w:r>
              <w:rPr>
                <w:b/>
              </w:rPr>
              <w:t>Proposal 8: Support 16-QAM for NPDSCH in PUR procedure.</w:t>
            </w:r>
          </w:p>
          <w:p w14:paraId="56B91D77" w14:textId="77777777" w:rsidR="00B66E0C" w:rsidRDefault="00B66E0C">
            <w:pPr>
              <w:rPr>
                <w:szCs w:val="20"/>
              </w:rPr>
            </w:pPr>
          </w:p>
        </w:tc>
      </w:tr>
      <w:tr w:rsidR="00B66E0C" w14:paraId="613C77F2" w14:textId="77777777">
        <w:tc>
          <w:tcPr>
            <w:tcW w:w="1555" w:type="dxa"/>
          </w:tcPr>
          <w:p w14:paraId="68181A66" w14:textId="77777777" w:rsidR="00B66E0C" w:rsidRDefault="00557DA3">
            <w:pPr>
              <w:rPr>
                <w:szCs w:val="20"/>
              </w:rPr>
            </w:pPr>
            <w:r>
              <w:rPr>
                <w:rFonts w:hint="eastAsia"/>
                <w:szCs w:val="20"/>
              </w:rPr>
              <w:t>[</w:t>
            </w:r>
            <w:r>
              <w:rPr>
                <w:szCs w:val="20"/>
              </w:rPr>
              <w:t>3]</w:t>
            </w:r>
          </w:p>
        </w:tc>
        <w:tc>
          <w:tcPr>
            <w:tcW w:w="7752" w:type="dxa"/>
          </w:tcPr>
          <w:p w14:paraId="7FB9A779" w14:textId="77777777" w:rsidR="00B66E0C" w:rsidRDefault="00557DA3">
            <w:pPr>
              <w:rPr>
                <w:b/>
                <w:bCs/>
                <w:lang w:eastAsia="en-GB"/>
              </w:rPr>
            </w:pPr>
            <w:r>
              <w:rPr>
                <w:b/>
                <w:bCs/>
                <w:lang w:eastAsia="en-GB"/>
              </w:rPr>
              <w:t>Proposal 9: Confirm the working assumption to support 16-QAM for NPUSCH in PUR procedure.</w:t>
            </w:r>
          </w:p>
          <w:p w14:paraId="105AC6CB" w14:textId="77777777" w:rsidR="00B66E0C" w:rsidRDefault="00557DA3">
            <w:pPr>
              <w:rPr>
                <w:b/>
                <w:bCs/>
                <w:lang w:eastAsia="en-GB"/>
              </w:rPr>
            </w:pPr>
            <w:r>
              <w:rPr>
                <w:b/>
                <w:bCs/>
                <w:lang w:eastAsia="en-GB"/>
              </w:rPr>
              <w:t>Proposal 10: For supporting 16-QAM in NPUSCH in PUR procedure, the field multiTone in npusch-MCS in PUR NPUSCH configuration is modified to include MCS 0-21.</w:t>
            </w:r>
          </w:p>
          <w:p w14:paraId="05891AB6" w14:textId="77777777" w:rsidR="00B66E0C" w:rsidRDefault="00557DA3">
            <w:pPr>
              <w:rPr>
                <w:b/>
                <w:bCs/>
                <w:lang w:eastAsia="en-GB"/>
              </w:rPr>
            </w:pPr>
            <w:r>
              <w:rPr>
                <w:b/>
                <w:bCs/>
                <w:lang w:eastAsia="en-GB"/>
              </w:rPr>
              <w:t>Proposal 11: Support 16-QAM for NPDSCH in PUR procedure.</w:t>
            </w:r>
          </w:p>
          <w:p w14:paraId="77D27E19" w14:textId="77777777" w:rsidR="00B66E0C" w:rsidRDefault="00B66E0C">
            <w:pPr>
              <w:rPr>
                <w:szCs w:val="20"/>
              </w:rPr>
            </w:pPr>
          </w:p>
        </w:tc>
      </w:tr>
      <w:tr w:rsidR="00B66E0C" w14:paraId="7D43FB04" w14:textId="77777777">
        <w:tc>
          <w:tcPr>
            <w:tcW w:w="1555" w:type="dxa"/>
          </w:tcPr>
          <w:p w14:paraId="67D26A49" w14:textId="77777777" w:rsidR="00B66E0C" w:rsidRDefault="00557DA3">
            <w:pPr>
              <w:rPr>
                <w:szCs w:val="20"/>
              </w:rPr>
            </w:pPr>
            <w:r>
              <w:rPr>
                <w:rFonts w:hint="eastAsia"/>
                <w:szCs w:val="20"/>
              </w:rPr>
              <w:t>[</w:t>
            </w:r>
            <w:r>
              <w:rPr>
                <w:szCs w:val="20"/>
              </w:rPr>
              <w:t>4]</w:t>
            </w:r>
          </w:p>
        </w:tc>
        <w:tc>
          <w:tcPr>
            <w:tcW w:w="7752" w:type="dxa"/>
          </w:tcPr>
          <w:p w14:paraId="0E445787" w14:textId="77777777" w:rsidR="00B66E0C" w:rsidRDefault="00557DA3">
            <w:pPr>
              <w:rPr>
                <w:b/>
                <w:bCs/>
              </w:rPr>
            </w:pPr>
            <w:r>
              <w:rPr>
                <w:b/>
                <w:bCs/>
                <w:u w:val="single"/>
              </w:rPr>
              <w:t>Proposal 1:</w:t>
            </w:r>
            <w:r>
              <w:rPr>
                <w:b/>
                <w:bCs/>
              </w:rPr>
              <w:t xml:space="preserve"> Do not support DL 16-QAM during PUR procedure.</w:t>
            </w:r>
          </w:p>
          <w:p w14:paraId="6EDE83D2" w14:textId="77777777" w:rsidR="00B66E0C" w:rsidRDefault="00557DA3">
            <w:pPr>
              <w:rPr>
                <w:b/>
                <w:bCs/>
              </w:rPr>
            </w:pPr>
            <w:r>
              <w:rPr>
                <w:b/>
                <w:bCs/>
                <w:u w:val="single"/>
              </w:rPr>
              <w:t>Proposal 6:</w:t>
            </w:r>
            <w:r>
              <w:rPr>
                <w:b/>
                <w:bCs/>
              </w:rPr>
              <w:t xml:space="preserve"> Confirm the following working assumption: </w:t>
            </w:r>
          </w:p>
          <w:p w14:paraId="69740ED1" w14:textId="77777777" w:rsidR="00B66E0C" w:rsidRDefault="00557DA3">
            <w:pPr>
              <w:pStyle w:val="af7"/>
              <w:numPr>
                <w:ilvl w:val="0"/>
                <w:numId w:val="21"/>
              </w:numPr>
              <w:overflowPunct w:val="0"/>
              <w:autoSpaceDE w:val="0"/>
              <w:autoSpaceDN w:val="0"/>
              <w:adjustRightInd w:val="0"/>
              <w:spacing w:after="180" w:line="240" w:lineRule="auto"/>
              <w:contextualSpacing/>
              <w:jc w:val="left"/>
              <w:textAlignment w:val="baseline"/>
              <w:rPr>
                <w:b/>
                <w:bCs/>
              </w:rPr>
            </w:pPr>
            <w:r>
              <w:rPr>
                <w:b/>
                <w:bCs/>
              </w:rPr>
              <w:t>Support 16-QAM for NPUSCH in PUR procedure.</w:t>
            </w:r>
          </w:p>
          <w:p w14:paraId="246947C3" w14:textId="77777777" w:rsidR="00B66E0C" w:rsidRDefault="00557DA3">
            <w:pPr>
              <w:rPr>
                <w:b/>
                <w:bCs/>
              </w:rPr>
            </w:pPr>
            <w:r>
              <w:rPr>
                <w:b/>
                <w:bCs/>
                <w:u w:val="single"/>
              </w:rPr>
              <w:t>Proposal 7:</w:t>
            </w:r>
            <w:r>
              <w:rPr>
                <w:b/>
                <w:bCs/>
              </w:rPr>
              <w:t xml:space="preserve"> Include a configuration flag in </w:t>
            </w:r>
            <w:r>
              <w:rPr>
                <w:b/>
                <w:bCs/>
                <w:i/>
                <w:iCs/>
              </w:rPr>
              <w:t>PUR-Config</w:t>
            </w:r>
            <w:r>
              <w:rPr>
                <w:b/>
                <w:bCs/>
              </w:rPr>
              <w:t xml:space="preserve"> to enable 16-QAM.</w:t>
            </w:r>
          </w:p>
          <w:p w14:paraId="75F2C387" w14:textId="77777777" w:rsidR="00B66E0C" w:rsidRDefault="00B66E0C">
            <w:pPr>
              <w:rPr>
                <w:szCs w:val="20"/>
              </w:rPr>
            </w:pPr>
          </w:p>
        </w:tc>
      </w:tr>
      <w:tr w:rsidR="00B66E0C" w14:paraId="026C7AD7" w14:textId="77777777">
        <w:tc>
          <w:tcPr>
            <w:tcW w:w="1555" w:type="dxa"/>
          </w:tcPr>
          <w:p w14:paraId="3401B4BA" w14:textId="77777777" w:rsidR="00B66E0C" w:rsidRDefault="00557DA3">
            <w:pPr>
              <w:rPr>
                <w:szCs w:val="20"/>
              </w:rPr>
            </w:pPr>
            <w:r>
              <w:rPr>
                <w:rFonts w:hint="eastAsia"/>
                <w:szCs w:val="20"/>
              </w:rPr>
              <w:t>[</w:t>
            </w:r>
            <w:r>
              <w:rPr>
                <w:szCs w:val="20"/>
              </w:rPr>
              <w:t>5]</w:t>
            </w:r>
          </w:p>
        </w:tc>
        <w:tc>
          <w:tcPr>
            <w:tcW w:w="7752" w:type="dxa"/>
          </w:tcPr>
          <w:p w14:paraId="407F092E" w14:textId="77777777" w:rsidR="00B66E0C" w:rsidRDefault="00557DA3">
            <w:pPr>
              <w:spacing w:beforeLines="50" w:before="120" w:line="276" w:lineRule="auto"/>
              <w:rPr>
                <w:b/>
                <w:bCs/>
                <w:i/>
                <w:iCs/>
                <w:sz w:val="20"/>
                <w:szCs w:val="20"/>
              </w:rPr>
            </w:pPr>
            <w:r>
              <w:rPr>
                <w:rFonts w:hint="eastAsia"/>
                <w:b/>
                <w:bCs/>
                <w:i/>
                <w:iCs/>
                <w:sz w:val="20"/>
                <w:szCs w:val="20"/>
              </w:rPr>
              <w:t>Proposal 8: 16QAM could not be supported for NPDSCH in PUR procedure.</w:t>
            </w:r>
          </w:p>
          <w:p w14:paraId="648FF9BC" w14:textId="77777777" w:rsidR="00B66E0C" w:rsidRDefault="00B66E0C">
            <w:pPr>
              <w:rPr>
                <w:szCs w:val="20"/>
                <w:lang w:val="en-GB"/>
              </w:rPr>
            </w:pPr>
          </w:p>
        </w:tc>
      </w:tr>
      <w:tr w:rsidR="00B66E0C" w14:paraId="673F0617" w14:textId="77777777">
        <w:tc>
          <w:tcPr>
            <w:tcW w:w="1555" w:type="dxa"/>
          </w:tcPr>
          <w:p w14:paraId="16B13FE8" w14:textId="77777777" w:rsidR="00B66E0C" w:rsidRDefault="00557DA3">
            <w:pPr>
              <w:rPr>
                <w:szCs w:val="20"/>
              </w:rPr>
            </w:pPr>
            <w:r>
              <w:rPr>
                <w:rFonts w:hint="eastAsia"/>
                <w:szCs w:val="20"/>
              </w:rPr>
              <w:t>[</w:t>
            </w:r>
            <w:r>
              <w:rPr>
                <w:szCs w:val="20"/>
              </w:rPr>
              <w:t>6]</w:t>
            </w:r>
          </w:p>
        </w:tc>
        <w:tc>
          <w:tcPr>
            <w:tcW w:w="7752" w:type="dxa"/>
          </w:tcPr>
          <w:p w14:paraId="28ED6ACC" w14:textId="77777777" w:rsidR="00B66E0C" w:rsidRDefault="00557DA3">
            <w:pPr>
              <w:tabs>
                <w:tab w:val="left" w:pos="7231"/>
              </w:tabs>
              <w:rPr>
                <w:b/>
                <w:sz w:val="20"/>
                <w:szCs w:val="20"/>
              </w:rPr>
            </w:pPr>
            <w:r>
              <w:rPr>
                <w:b/>
                <w:sz w:val="20"/>
                <w:szCs w:val="20"/>
              </w:rPr>
              <w:t>Proposal 1: Support 16-QAM for NPUSCH/NPDSCH and UE can report CQI in</w:t>
            </w:r>
            <w:r>
              <w:rPr>
                <w:rFonts w:eastAsia="Times New Roman"/>
                <w:i/>
                <w:sz w:val="20"/>
                <w:szCs w:val="20"/>
              </w:rPr>
              <w:t xml:space="preserve"> </w:t>
            </w:r>
            <w:r>
              <w:rPr>
                <w:rFonts w:eastAsia="Times New Roman"/>
                <w:b/>
                <w:i/>
                <w:sz w:val="20"/>
                <w:szCs w:val="20"/>
              </w:rPr>
              <w:t>PURConfigurationRequest.</w:t>
            </w:r>
            <w:r>
              <w:rPr>
                <w:b/>
                <w:sz w:val="20"/>
                <w:szCs w:val="20"/>
              </w:rPr>
              <w:t xml:space="preserve">  </w:t>
            </w:r>
          </w:p>
          <w:p w14:paraId="3726D17A" w14:textId="77777777" w:rsidR="00B66E0C" w:rsidRDefault="00557DA3">
            <w:pPr>
              <w:rPr>
                <w:b/>
                <w:sz w:val="20"/>
                <w:szCs w:val="20"/>
              </w:rPr>
            </w:pPr>
            <w:r>
              <w:rPr>
                <w:b/>
                <w:sz w:val="20"/>
                <w:szCs w:val="20"/>
              </w:rPr>
              <w:t>Proposal 2: The details of related RRC IEs need FFS in RAN2.</w:t>
            </w:r>
          </w:p>
        </w:tc>
      </w:tr>
      <w:tr w:rsidR="00B66E0C" w14:paraId="79F9A6DD" w14:textId="77777777">
        <w:tc>
          <w:tcPr>
            <w:tcW w:w="1555" w:type="dxa"/>
          </w:tcPr>
          <w:p w14:paraId="77D99936" w14:textId="77777777" w:rsidR="00B66E0C" w:rsidRDefault="00557DA3">
            <w:pPr>
              <w:rPr>
                <w:szCs w:val="20"/>
              </w:rPr>
            </w:pPr>
            <w:r>
              <w:rPr>
                <w:rFonts w:hint="eastAsia"/>
                <w:szCs w:val="20"/>
              </w:rPr>
              <w:t>[</w:t>
            </w:r>
            <w:r>
              <w:rPr>
                <w:szCs w:val="20"/>
              </w:rPr>
              <w:t>7]</w:t>
            </w:r>
          </w:p>
        </w:tc>
        <w:tc>
          <w:tcPr>
            <w:tcW w:w="7752" w:type="dxa"/>
          </w:tcPr>
          <w:p w14:paraId="71D7AC4B" w14:textId="77777777" w:rsidR="00B66E0C" w:rsidRDefault="00557DA3">
            <w:pPr>
              <w:spacing w:beforeLines="50" w:before="120" w:afterLines="50"/>
              <w:rPr>
                <w:b/>
                <w:bCs/>
                <w:i/>
                <w:iCs/>
                <w:kern w:val="2"/>
                <w:sz w:val="20"/>
                <w:szCs w:val="20"/>
                <w:lang w:eastAsia="zh-CN"/>
              </w:rPr>
            </w:pPr>
            <w:r>
              <w:rPr>
                <w:b/>
                <w:bCs/>
                <w:i/>
                <w:iCs/>
                <w:sz w:val="20"/>
                <w:szCs w:val="20"/>
              </w:rPr>
              <w:t>Proposal 1: Confirm the working assumption and propose not to support of 16-QAM for NPDSCH in PUR procedure.</w:t>
            </w:r>
          </w:p>
        </w:tc>
      </w:tr>
      <w:tr w:rsidR="00B66E0C" w14:paraId="6476F109" w14:textId="77777777">
        <w:tc>
          <w:tcPr>
            <w:tcW w:w="1555" w:type="dxa"/>
          </w:tcPr>
          <w:p w14:paraId="79836298" w14:textId="77777777" w:rsidR="00B66E0C" w:rsidRDefault="00557DA3">
            <w:pPr>
              <w:rPr>
                <w:szCs w:val="20"/>
              </w:rPr>
            </w:pPr>
            <w:r>
              <w:rPr>
                <w:rFonts w:hint="eastAsia"/>
                <w:szCs w:val="20"/>
              </w:rPr>
              <w:t>[8]</w:t>
            </w:r>
          </w:p>
        </w:tc>
        <w:tc>
          <w:tcPr>
            <w:tcW w:w="7752" w:type="dxa"/>
          </w:tcPr>
          <w:p w14:paraId="406A5A3A" w14:textId="77777777" w:rsidR="00B66E0C" w:rsidRDefault="00557DA3">
            <w:pPr>
              <w:spacing w:beforeLines="50" w:before="120" w:afterLines="50"/>
              <w:rPr>
                <w:b/>
                <w:bCs/>
                <w:iCs/>
                <w:sz w:val="20"/>
                <w:szCs w:val="20"/>
              </w:rPr>
            </w:pPr>
            <w:r>
              <w:rPr>
                <w:b/>
                <w:bCs/>
                <w:iCs/>
                <w:sz w:val="20"/>
                <w:szCs w:val="20"/>
              </w:rPr>
              <w:t>Observation 11</w:t>
            </w:r>
            <w:r>
              <w:rPr>
                <w:b/>
                <w:bCs/>
                <w:iCs/>
                <w:sz w:val="20"/>
                <w:szCs w:val="20"/>
              </w:rPr>
              <w:tab/>
              <w:t>The “Support 16-QAM for NPUSCH in PUR procedure” is foreseen to be beneficial in some scenarios and straightforward to support, but for DL (i.e., FFS in the WA) the implications are different since it will require for example having to support channel quality reporting in idle-mode.</w:t>
            </w:r>
          </w:p>
          <w:p w14:paraId="4B144A65" w14:textId="77777777" w:rsidR="00B66E0C" w:rsidRDefault="00557DA3">
            <w:pPr>
              <w:spacing w:beforeLines="50" w:before="120" w:afterLines="50"/>
              <w:rPr>
                <w:b/>
                <w:bCs/>
                <w:i/>
                <w:iCs/>
                <w:sz w:val="20"/>
                <w:szCs w:val="20"/>
              </w:rPr>
            </w:pPr>
            <w:r>
              <w:rPr>
                <w:b/>
                <w:bCs/>
                <w:iCs/>
                <w:sz w:val="20"/>
                <w:szCs w:val="20"/>
              </w:rPr>
              <w:lastRenderedPageBreak/>
              <w:t>Proposal 8</w:t>
            </w:r>
            <w:r>
              <w:rPr>
                <w:b/>
                <w:bCs/>
                <w:iCs/>
                <w:sz w:val="20"/>
                <w:szCs w:val="20"/>
              </w:rPr>
              <w:tab/>
              <w:t>Confirm the Working Assumption on the “Support 16-QAM for NPUSCH in PUR procedure”.</w:t>
            </w:r>
          </w:p>
        </w:tc>
      </w:tr>
    </w:tbl>
    <w:p w14:paraId="4209D923" w14:textId="77777777" w:rsidR="00B66E0C" w:rsidRDefault="00B66E0C">
      <w:pPr>
        <w:spacing w:line="240" w:lineRule="auto"/>
      </w:pPr>
    </w:p>
    <w:p w14:paraId="0EDBD8A7" w14:textId="77777777" w:rsidR="00B66E0C" w:rsidRDefault="00557DA3">
      <w:pPr>
        <w:spacing w:line="240" w:lineRule="auto"/>
      </w:pPr>
      <w:r>
        <w:rPr>
          <w:rFonts w:hint="eastAsia"/>
        </w:rPr>
        <w:t xml:space="preserve">For the working assumption on support of 16-QAM for NPUSCH in PUR procedure, </w:t>
      </w:r>
      <w:r>
        <w:t>most companies support to confirm it, therefore, the following is proposed:</w:t>
      </w:r>
    </w:p>
    <w:p w14:paraId="23133657" w14:textId="77777777" w:rsidR="00B66E0C" w:rsidRDefault="00557DA3">
      <w:pPr>
        <w:pStyle w:val="a6"/>
        <w:jc w:val="left"/>
        <w:rPr>
          <w:sz w:val="22"/>
        </w:rPr>
      </w:pPr>
      <w:r>
        <w:rPr>
          <w:sz w:val="22"/>
        </w:rPr>
        <w:t>Proposal</w:t>
      </w:r>
      <w:r>
        <w:t xml:space="preserve"> 1</w:t>
      </w:r>
      <w:r>
        <w:rPr>
          <w:sz w:val="22"/>
        </w:rPr>
        <w:t>: Confirm the following working assumption:</w:t>
      </w:r>
    </w:p>
    <w:p w14:paraId="33187FDF" w14:textId="77777777" w:rsidR="00B66E0C" w:rsidRDefault="00557DA3">
      <w:pPr>
        <w:autoSpaceDE/>
        <w:autoSpaceDN/>
        <w:adjustRightInd/>
        <w:snapToGrid/>
        <w:spacing w:after="0" w:line="240" w:lineRule="auto"/>
        <w:ind w:leftChars="200" w:left="440"/>
        <w:jc w:val="left"/>
        <w:rPr>
          <w:rFonts w:ascii="Times" w:eastAsia="Batang" w:hAnsi="Times" w:cs="Times"/>
          <w:highlight w:val="darkYellow"/>
          <w:lang w:val="en-GB"/>
        </w:rPr>
      </w:pPr>
      <w:r>
        <w:rPr>
          <w:rFonts w:ascii="Times" w:eastAsia="Batang" w:hAnsi="Times" w:cs="Times"/>
          <w:highlight w:val="darkYellow"/>
          <w:lang w:val="en-GB"/>
        </w:rPr>
        <w:t>Working Assumption</w:t>
      </w:r>
    </w:p>
    <w:p w14:paraId="4DEE66CD" w14:textId="77777777" w:rsidR="00B66E0C" w:rsidRDefault="00557DA3">
      <w:pPr>
        <w:autoSpaceDE/>
        <w:autoSpaceDN/>
        <w:adjustRightInd/>
        <w:snapToGrid/>
        <w:spacing w:after="0" w:line="240" w:lineRule="auto"/>
        <w:ind w:leftChars="200" w:left="440"/>
        <w:jc w:val="left"/>
        <w:rPr>
          <w:rFonts w:ascii="Times" w:eastAsia="Batang" w:hAnsi="Times" w:cs="Times"/>
          <w:lang w:val="en-GB"/>
        </w:rPr>
      </w:pPr>
      <w:r>
        <w:rPr>
          <w:rFonts w:ascii="Times" w:eastAsia="Batang" w:hAnsi="Times" w:cs="Times"/>
          <w:lang w:val="en-GB"/>
        </w:rPr>
        <w:t>Support 16-QAM for NPUSCH in PUR procedure.</w:t>
      </w:r>
    </w:p>
    <w:p w14:paraId="4DEAA9AD" w14:textId="77777777" w:rsidR="00B66E0C" w:rsidRDefault="00557DA3">
      <w:pPr>
        <w:spacing w:before="120" w:line="240" w:lineRule="auto"/>
        <w:rPr>
          <w:lang w:val="en-GB"/>
        </w:rPr>
      </w:pPr>
      <w:r>
        <w:rPr>
          <w:rFonts w:hint="eastAsia"/>
          <w:lang w:val="en-GB"/>
        </w:rPr>
        <w:t xml:space="preserve">On the </w:t>
      </w:r>
      <w:r>
        <w:rPr>
          <w:lang w:val="en-GB"/>
        </w:rPr>
        <w:t>support of 16-QAM for NPDSCH in PUR procedure, companies (Huawei, HiSilicon, Nokia, NSB, MTK) propose to support 16-QAM for NPDSCH in PUR, and companies (QC, ZTE, Sanechips, Lenovo, Moto, Ericsson) propose to not support. As this has been discussed for several meeting, the following is proposed to close this topic:</w:t>
      </w:r>
    </w:p>
    <w:p w14:paraId="3E7C3E92" w14:textId="77777777" w:rsidR="00B66E0C" w:rsidRDefault="00557DA3">
      <w:pPr>
        <w:pStyle w:val="a6"/>
        <w:jc w:val="left"/>
        <w:rPr>
          <w:sz w:val="22"/>
        </w:rPr>
      </w:pPr>
      <w:r>
        <w:rPr>
          <w:sz w:val="22"/>
        </w:rPr>
        <w:t>Proposal</w:t>
      </w:r>
      <w:r>
        <w:t xml:space="preserve"> 2 (conclusion)</w:t>
      </w:r>
      <w:r>
        <w:rPr>
          <w:sz w:val="22"/>
        </w:rPr>
        <w:t>: There’s no consensus to support 16-QAM for NPDSCH in PUR procedure.</w:t>
      </w:r>
    </w:p>
    <w:p w14:paraId="3F793005" w14:textId="77777777" w:rsidR="00B66E0C" w:rsidRDefault="00557DA3">
      <w:pPr>
        <w:spacing w:line="240" w:lineRule="auto"/>
      </w:pPr>
      <w:r>
        <w:rPr>
          <w:rFonts w:hint="eastAsia"/>
        </w:rPr>
        <w:t>With the support of 16-QAM for P</w:t>
      </w:r>
      <w:r>
        <w:t>UR NPUSCH, companies (Nokia, NSB, ) proposed the corresponding enhancement on the configuration of PUR, therefore, the following is proposed:</w:t>
      </w:r>
    </w:p>
    <w:p w14:paraId="27340683" w14:textId="77777777" w:rsidR="00B66E0C" w:rsidRDefault="00557DA3">
      <w:pPr>
        <w:spacing w:after="0" w:line="240" w:lineRule="auto"/>
        <w:rPr>
          <w:b/>
        </w:rPr>
      </w:pPr>
      <w:r>
        <w:rPr>
          <w:b/>
        </w:rPr>
        <w:t>Proposal 3: To support 16-QAM for NPUSCH in PUR procedure,</w:t>
      </w:r>
    </w:p>
    <w:p w14:paraId="11EA8923" w14:textId="77777777" w:rsidR="00B66E0C" w:rsidRDefault="00557DA3">
      <w:pPr>
        <w:pStyle w:val="af7"/>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r>
        <w:rPr>
          <w:rFonts w:ascii="Times New Roman" w:hAnsi="Times New Roman" w:cs="Times New Roman"/>
          <w:b/>
          <w:i/>
          <w:sz w:val="22"/>
          <w:szCs w:val="22"/>
        </w:rPr>
        <w:t>multiTone</w:t>
      </w:r>
      <w:r>
        <w:rPr>
          <w:rFonts w:ascii="Times New Roman" w:hAnsi="Times New Roman" w:cs="Times New Roman"/>
          <w:b/>
          <w:sz w:val="22"/>
          <w:szCs w:val="22"/>
        </w:rPr>
        <w:t xml:space="preserve"> in </w:t>
      </w:r>
      <w:r>
        <w:rPr>
          <w:rFonts w:ascii="Times New Roman" w:hAnsi="Times New Roman" w:cs="Times New Roman"/>
          <w:b/>
          <w:i/>
          <w:sz w:val="22"/>
          <w:szCs w:val="22"/>
        </w:rPr>
        <w:t>npusch-MCS</w:t>
      </w:r>
      <w:r>
        <w:rPr>
          <w:rFonts w:ascii="Times New Roman" w:hAnsi="Times New Roman" w:cs="Times New Roman"/>
          <w:b/>
          <w:sz w:val="22"/>
          <w:szCs w:val="22"/>
        </w:rPr>
        <w:t xml:space="preserve">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is extended to indicate MCS from 0 to 21.</w:t>
      </w:r>
    </w:p>
    <w:p w14:paraId="6D9BCA5F" w14:textId="77777777" w:rsidR="00B66E0C" w:rsidRDefault="00557DA3">
      <w:pPr>
        <w:pStyle w:val="af7"/>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14:paraId="0CAF835E" w14:textId="77777777" w:rsidR="00B66E0C" w:rsidRDefault="00557DA3">
      <w:pPr>
        <w:spacing w:line="240" w:lineRule="auto"/>
      </w:pPr>
      <w:r>
        <w:rPr>
          <w:rFonts w:hint="eastAsia"/>
        </w:rPr>
        <w:t xml:space="preserve">Please input your comments </w:t>
      </w:r>
      <w:r>
        <w:t>on the above proposals</w:t>
      </w:r>
      <w:r>
        <w:rPr>
          <w:rFonts w:hint="eastAsia"/>
        </w:rPr>
        <w:t>:</w:t>
      </w:r>
    </w:p>
    <w:tbl>
      <w:tblPr>
        <w:tblStyle w:val="af1"/>
        <w:tblW w:w="0" w:type="auto"/>
        <w:tblLook w:val="04A0" w:firstRow="1" w:lastRow="0" w:firstColumn="1" w:lastColumn="0" w:noHBand="0" w:noVBand="1"/>
      </w:tblPr>
      <w:tblGrid>
        <w:gridCol w:w="1838"/>
        <w:gridCol w:w="7469"/>
      </w:tblGrid>
      <w:tr w:rsidR="00B66E0C" w14:paraId="572DC6F2" w14:textId="77777777">
        <w:tc>
          <w:tcPr>
            <w:tcW w:w="1838" w:type="dxa"/>
          </w:tcPr>
          <w:p w14:paraId="444F7382" w14:textId="77777777" w:rsidR="00B66E0C" w:rsidRDefault="00557DA3">
            <w:pPr>
              <w:rPr>
                <w:szCs w:val="20"/>
              </w:rPr>
            </w:pPr>
            <w:r>
              <w:rPr>
                <w:rFonts w:hint="eastAsia"/>
                <w:szCs w:val="20"/>
              </w:rPr>
              <w:t>Comp</w:t>
            </w:r>
            <w:r>
              <w:rPr>
                <w:szCs w:val="20"/>
              </w:rPr>
              <w:t>anies</w:t>
            </w:r>
          </w:p>
        </w:tc>
        <w:tc>
          <w:tcPr>
            <w:tcW w:w="7469" w:type="dxa"/>
          </w:tcPr>
          <w:p w14:paraId="370F0B35" w14:textId="77777777" w:rsidR="00B66E0C" w:rsidRDefault="00557DA3">
            <w:pPr>
              <w:rPr>
                <w:szCs w:val="20"/>
              </w:rPr>
            </w:pPr>
            <w:r>
              <w:rPr>
                <w:rFonts w:hint="eastAsia"/>
                <w:szCs w:val="20"/>
              </w:rPr>
              <w:t>Comments</w:t>
            </w:r>
          </w:p>
        </w:tc>
      </w:tr>
      <w:tr w:rsidR="00B66E0C" w14:paraId="7737C58D" w14:textId="77777777">
        <w:tc>
          <w:tcPr>
            <w:tcW w:w="1838" w:type="dxa"/>
          </w:tcPr>
          <w:p w14:paraId="123611D3" w14:textId="77777777" w:rsidR="00B66E0C" w:rsidRDefault="00557DA3">
            <w:r>
              <w:t>Huawei, HiSilicon</w:t>
            </w:r>
          </w:p>
        </w:tc>
        <w:tc>
          <w:tcPr>
            <w:tcW w:w="7469" w:type="dxa"/>
          </w:tcPr>
          <w:p w14:paraId="3F56924F" w14:textId="77777777" w:rsidR="00B66E0C" w:rsidRDefault="00557DA3">
            <w:pPr>
              <w:rPr>
                <w:lang w:eastAsia="zh-CN"/>
              </w:rPr>
            </w:pPr>
            <w:r>
              <w:rPr>
                <w:lang w:eastAsia="zh-CN"/>
              </w:rPr>
              <w:t>We are generally fine with proposal 1</w:t>
            </w:r>
            <w:r>
              <w:rPr>
                <w:rFonts w:hint="eastAsia"/>
                <w:lang w:eastAsia="zh-CN"/>
              </w:rPr>
              <w:t>,</w:t>
            </w:r>
            <w:r>
              <w:rPr>
                <w:lang w:eastAsia="zh-CN"/>
              </w:rPr>
              <w:t xml:space="preserve"> proposal 2 and proposal 3. For MCS indicating for PUR PUSCH, it can be up to RAN2 to decide whether to introduce a new IE or extend legacy IE.</w:t>
            </w:r>
          </w:p>
        </w:tc>
      </w:tr>
      <w:tr w:rsidR="00B66E0C" w14:paraId="12C1BA37" w14:textId="77777777">
        <w:tc>
          <w:tcPr>
            <w:tcW w:w="1838" w:type="dxa"/>
          </w:tcPr>
          <w:p w14:paraId="31A29ECC" w14:textId="77777777" w:rsidR="00B66E0C" w:rsidRDefault="00557DA3">
            <w:pPr>
              <w:rPr>
                <w:szCs w:val="20"/>
              </w:rPr>
            </w:pPr>
            <w:r>
              <w:t>Ericsson</w:t>
            </w:r>
          </w:p>
        </w:tc>
        <w:tc>
          <w:tcPr>
            <w:tcW w:w="7469" w:type="dxa"/>
          </w:tcPr>
          <w:p w14:paraId="46B2B33A" w14:textId="77777777" w:rsidR="00B66E0C" w:rsidRDefault="00557DA3">
            <w:pPr>
              <w:pStyle w:val="af7"/>
              <w:numPr>
                <w:ilvl w:val="0"/>
                <w:numId w:val="15"/>
              </w:numPr>
            </w:pPr>
            <w:r>
              <w:t>Proposal 1: Ok with confirming the WA.</w:t>
            </w:r>
          </w:p>
          <w:p w14:paraId="50929DF9" w14:textId="77777777" w:rsidR="00B66E0C" w:rsidRDefault="00557DA3">
            <w:pPr>
              <w:pStyle w:val="af7"/>
              <w:numPr>
                <w:ilvl w:val="0"/>
                <w:numId w:val="15"/>
              </w:numPr>
            </w:pPr>
            <w:r>
              <w:t>Proposal 2: OK.</w:t>
            </w:r>
          </w:p>
          <w:p w14:paraId="23C3347F" w14:textId="77777777" w:rsidR="00B66E0C" w:rsidRDefault="00557DA3">
            <w:pPr>
              <w:pStyle w:val="af7"/>
              <w:numPr>
                <w:ilvl w:val="0"/>
                <w:numId w:val="15"/>
              </w:numPr>
            </w:pPr>
            <w:r>
              <w:t>Proposal 3: In our view, we can come back to it in a future session in case the WA in proposal 1 becomes confirmed.</w:t>
            </w:r>
          </w:p>
        </w:tc>
      </w:tr>
      <w:tr w:rsidR="00B66E0C" w14:paraId="75E239A5" w14:textId="77777777">
        <w:tc>
          <w:tcPr>
            <w:tcW w:w="1838" w:type="dxa"/>
          </w:tcPr>
          <w:p w14:paraId="2D118DCC" w14:textId="77777777" w:rsidR="00B66E0C" w:rsidRDefault="00557DA3">
            <w:pPr>
              <w:rPr>
                <w:szCs w:val="20"/>
                <w:lang w:eastAsia="zh-CN"/>
              </w:rPr>
            </w:pPr>
            <w:r>
              <w:rPr>
                <w:rFonts w:hint="eastAsia"/>
                <w:szCs w:val="20"/>
                <w:lang w:eastAsia="zh-CN"/>
              </w:rPr>
              <w:t>Lenovo</w:t>
            </w:r>
            <w:r>
              <w:rPr>
                <w:szCs w:val="20"/>
                <w:lang w:eastAsia="zh-CN"/>
              </w:rPr>
              <w:t>,MotoM</w:t>
            </w:r>
          </w:p>
        </w:tc>
        <w:tc>
          <w:tcPr>
            <w:tcW w:w="7469" w:type="dxa"/>
          </w:tcPr>
          <w:p w14:paraId="15799F55" w14:textId="77777777" w:rsidR="00B66E0C" w:rsidRDefault="00557DA3">
            <w:pPr>
              <w:rPr>
                <w:szCs w:val="20"/>
                <w:lang w:eastAsia="zh-CN"/>
              </w:rPr>
            </w:pPr>
            <w:r>
              <w:rPr>
                <w:szCs w:val="20"/>
                <w:lang w:eastAsia="zh-CN"/>
              </w:rPr>
              <w:t>We are fine with the proposal 1-3.</w:t>
            </w:r>
          </w:p>
        </w:tc>
      </w:tr>
      <w:tr w:rsidR="00B66E0C" w14:paraId="08C86528" w14:textId="77777777">
        <w:tc>
          <w:tcPr>
            <w:tcW w:w="1838" w:type="dxa"/>
          </w:tcPr>
          <w:p w14:paraId="02CA70DF" w14:textId="77777777" w:rsidR="00B66E0C" w:rsidRDefault="00557DA3">
            <w:pPr>
              <w:rPr>
                <w:szCs w:val="20"/>
                <w:lang w:eastAsia="zh-CN"/>
              </w:rPr>
            </w:pPr>
            <w:r>
              <w:rPr>
                <w:rFonts w:hint="eastAsia"/>
                <w:szCs w:val="20"/>
                <w:lang w:eastAsia="zh-CN"/>
              </w:rPr>
              <w:t>MTK</w:t>
            </w:r>
          </w:p>
        </w:tc>
        <w:tc>
          <w:tcPr>
            <w:tcW w:w="7469" w:type="dxa"/>
          </w:tcPr>
          <w:p w14:paraId="2B58CD4A" w14:textId="77777777" w:rsidR="00B66E0C" w:rsidRDefault="00557DA3">
            <w:pPr>
              <w:rPr>
                <w:szCs w:val="20"/>
                <w:lang w:eastAsia="zh-CN"/>
              </w:rPr>
            </w:pPr>
            <w:r>
              <w:rPr>
                <w:szCs w:val="20"/>
                <w:lang w:eastAsia="zh-CN"/>
              </w:rPr>
              <w:t>Ok for proposal 1~2.proposal3 should leave to RAN2 to make decision.</w:t>
            </w:r>
          </w:p>
        </w:tc>
      </w:tr>
      <w:tr w:rsidR="00B66E0C" w14:paraId="3A4CEAA0" w14:textId="77777777">
        <w:tc>
          <w:tcPr>
            <w:tcW w:w="1838" w:type="dxa"/>
          </w:tcPr>
          <w:p w14:paraId="0ADD6EC6" w14:textId="77777777" w:rsidR="00B66E0C" w:rsidRDefault="00557DA3">
            <w:pPr>
              <w:rPr>
                <w:szCs w:val="20"/>
                <w:lang w:eastAsia="zh-CN"/>
              </w:rPr>
            </w:pPr>
            <w:r>
              <w:rPr>
                <w:rFonts w:hint="eastAsia"/>
                <w:szCs w:val="20"/>
                <w:lang w:eastAsia="zh-CN"/>
              </w:rPr>
              <w:t>ZTE, Sanechips</w:t>
            </w:r>
          </w:p>
        </w:tc>
        <w:tc>
          <w:tcPr>
            <w:tcW w:w="7469" w:type="dxa"/>
          </w:tcPr>
          <w:p w14:paraId="6BEF6118" w14:textId="77777777" w:rsidR="00B66E0C" w:rsidRDefault="00557DA3">
            <w:pPr>
              <w:rPr>
                <w:szCs w:val="20"/>
                <w:lang w:eastAsia="zh-CN"/>
              </w:rPr>
            </w:pPr>
            <w:r>
              <w:rPr>
                <w:rFonts w:hint="eastAsia"/>
                <w:szCs w:val="20"/>
                <w:lang w:eastAsia="zh-CN"/>
              </w:rPr>
              <w:t>Agree with proposal 1 and 2.</w:t>
            </w:r>
          </w:p>
          <w:p w14:paraId="596CB447" w14:textId="77777777" w:rsidR="00B66E0C" w:rsidRDefault="00557DA3">
            <w:pPr>
              <w:rPr>
                <w:szCs w:val="20"/>
                <w:lang w:eastAsia="zh-CN"/>
              </w:rPr>
            </w:pPr>
            <w:r>
              <w:rPr>
                <w:rFonts w:hint="eastAsia"/>
                <w:szCs w:val="20"/>
                <w:lang w:eastAsia="zh-CN"/>
              </w:rPr>
              <w:t>For proposal3, we think there is no need to define the parameter details. It can be up to RAN2 discussion.</w:t>
            </w:r>
          </w:p>
        </w:tc>
      </w:tr>
      <w:tr w:rsidR="00B66E0C" w14:paraId="7885A63B" w14:textId="77777777">
        <w:tc>
          <w:tcPr>
            <w:tcW w:w="1838" w:type="dxa"/>
          </w:tcPr>
          <w:p w14:paraId="33D1C601" w14:textId="77777777" w:rsidR="00B66E0C" w:rsidRDefault="00557DA3">
            <w:pPr>
              <w:rPr>
                <w:szCs w:val="20"/>
                <w:lang w:eastAsia="zh-CN"/>
              </w:rPr>
            </w:pPr>
            <w:r>
              <w:rPr>
                <w:szCs w:val="20"/>
                <w:lang w:eastAsia="zh-CN"/>
              </w:rPr>
              <w:t>Nokia, NSB</w:t>
            </w:r>
          </w:p>
        </w:tc>
        <w:tc>
          <w:tcPr>
            <w:tcW w:w="7469" w:type="dxa"/>
          </w:tcPr>
          <w:p w14:paraId="11A5F1F4" w14:textId="77777777" w:rsidR="00B66E0C" w:rsidRDefault="00557DA3">
            <w:pPr>
              <w:rPr>
                <w:szCs w:val="20"/>
                <w:lang w:eastAsia="zh-CN"/>
              </w:rPr>
            </w:pPr>
            <w:r>
              <w:rPr>
                <w:szCs w:val="20"/>
                <w:lang w:eastAsia="zh-CN"/>
              </w:rPr>
              <w:t>Agree with proposal 1 and 3</w:t>
            </w:r>
          </w:p>
          <w:p w14:paraId="263FCC19" w14:textId="77777777" w:rsidR="00B66E0C" w:rsidRDefault="00557DA3">
            <w:pPr>
              <w:rPr>
                <w:szCs w:val="20"/>
                <w:lang w:eastAsia="zh-CN"/>
              </w:rPr>
            </w:pPr>
            <w:r>
              <w:rPr>
                <w:szCs w:val="20"/>
                <w:lang w:eastAsia="zh-CN"/>
              </w:rPr>
              <w:t>For proposal 2, we feel PUR on NPDSCH can be supported without significant specification impact. Therefore, we would like to also support PUR on NPDSCH.</w:t>
            </w:r>
          </w:p>
        </w:tc>
      </w:tr>
      <w:tr w:rsidR="00B66E0C" w14:paraId="4E3E7C35" w14:textId="77777777">
        <w:tc>
          <w:tcPr>
            <w:tcW w:w="1838" w:type="dxa"/>
          </w:tcPr>
          <w:p w14:paraId="3A472CC1" w14:textId="77777777" w:rsidR="00B66E0C" w:rsidRDefault="00557DA3">
            <w:pPr>
              <w:rPr>
                <w:szCs w:val="20"/>
                <w:lang w:eastAsia="zh-CN"/>
              </w:rPr>
            </w:pPr>
            <w:r>
              <w:rPr>
                <w:szCs w:val="20"/>
                <w:lang w:eastAsia="zh-CN"/>
              </w:rPr>
              <w:t>Qualcomm</w:t>
            </w:r>
          </w:p>
        </w:tc>
        <w:tc>
          <w:tcPr>
            <w:tcW w:w="7469" w:type="dxa"/>
          </w:tcPr>
          <w:p w14:paraId="578CC3C0" w14:textId="77777777" w:rsidR="00B66E0C" w:rsidRDefault="00557DA3">
            <w:pPr>
              <w:rPr>
                <w:szCs w:val="20"/>
                <w:lang w:eastAsia="zh-CN"/>
              </w:rPr>
            </w:pPr>
            <w:r>
              <w:rPr>
                <w:szCs w:val="20"/>
                <w:lang w:eastAsia="zh-CN"/>
              </w:rPr>
              <w:t>Agree with proposals 1 and 3. For proposal 2, if CQI is not supported, we would also be OK with supporting 16QAM for DL during PUR.</w:t>
            </w:r>
          </w:p>
        </w:tc>
      </w:tr>
    </w:tbl>
    <w:p w14:paraId="4E2FE6D4" w14:textId="77777777" w:rsidR="00B66E0C" w:rsidRDefault="00B66E0C">
      <w:pPr>
        <w:rPr>
          <w:b/>
        </w:rPr>
      </w:pPr>
    </w:p>
    <w:p w14:paraId="1EB72A3C" w14:textId="77777777" w:rsidR="00B66E0C" w:rsidRDefault="00557DA3">
      <w:pPr>
        <w:pStyle w:val="2"/>
        <w:rPr>
          <w:lang w:eastAsia="zh-CN"/>
        </w:rPr>
      </w:pPr>
      <w:r>
        <w:rPr>
          <w:lang w:eastAsia="zh-CN"/>
        </w:rPr>
        <w:t>DCI</w:t>
      </w:r>
    </w:p>
    <w:p w14:paraId="73DC03C1" w14:textId="77777777" w:rsidR="00B66E0C" w:rsidRDefault="00557DA3">
      <w:pPr>
        <w:pStyle w:val="30"/>
      </w:pPr>
      <w:r>
        <w:rPr>
          <w:lang w:eastAsia="zh-CN"/>
        </w:rPr>
        <w:t>Issue 2: DCI design</w:t>
      </w:r>
    </w:p>
    <w:p w14:paraId="5A88F9A6" w14:textId="77777777" w:rsidR="00B66E0C" w:rsidRDefault="00557DA3">
      <w:r>
        <w:rPr>
          <w:rFonts w:hint="eastAsia"/>
        </w:rPr>
        <w:t xml:space="preserve">There are following proposals on </w:t>
      </w:r>
      <w:r>
        <w:t>power allocation</w:t>
      </w:r>
    </w:p>
    <w:tbl>
      <w:tblPr>
        <w:tblStyle w:val="af1"/>
        <w:tblW w:w="0" w:type="auto"/>
        <w:tblLook w:val="04A0" w:firstRow="1" w:lastRow="0" w:firstColumn="1" w:lastColumn="0" w:noHBand="0" w:noVBand="1"/>
      </w:tblPr>
      <w:tblGrid>
        <w:gridCol w:w="1838"/>
        <w:gridCol w:w="7469"/>
      </w:tblGrid>
      <w:tr w:rsidR="00B66E0C" w14:paraId="604CFDCE" w14:textId="77777777">
        <w:tc>
          <w:tcPr>
            <w:tcW w:w="1838" w:type="dxa"/>
          </w:tcPr>
          <w:p w14:paraId="53DE3CEE" w14:textId="77777777" w:rsidR="00B66E0C" w:rsidRDefault="00557DA3">
            <w:pPr>
              <w:rPr>
                <w:szCs w:val="20"/>
              </w:rPr>
            </w:pPr>
            <w:r>
              <w:rPr>
                <w:rFonts w:hint="eastAsia"/>
                <w:szCs w:val="20"/>
              </w:rPr>
              <w:lastRenderedPageBreak/>
              <w:t>S</w:t>
            </w:r>
            <w:r>
              <w:rPr>
                <w:szCs w:val="20"/>
              </w:rPr>
              <w:t>ourcing</w:t>
            </w:r>
          </w:p>
        </w:tc>
        <w:tc>
          <w:tcPr>
            <w:tcW w:w="7469" w:type="dxa"/>
          </w:tcPr>
          <w:p w14:paraId="0FD45852" w14:textId="77777777" w:rsidR="00B66E0C" w:rsidRDefault="00557DA3">
            <w:pPr>
              <w:rPr>
                <w:szCs w:val="20"/>
              </w:rPr>
            </w:pPr>
            <w:r>
              <w:rPr>
                <w:rFonts w:hint="eastAsia"/>
                <w:szCs w:val="20"/>
              </w:rPr>
              <w:t>proposals</w:t>
            </w:r>
          </w:p>
        </w:tc>
      </w:tr>
      <w:tr w:rsidR="00B66E0C" w14:paraId="3BB3323D" w14:textId="77777777">
        <w:tc>
          <w:tcPr>
            <w:tcW w:w="1838" w:type="dxa"/>
          </w:tcPr>
          <w:p w14:paraId="04B1B4A3" w14:textId="77777777" w:rsidR="00B66E0C" w:rsidRDefault="00557DA3">
            <w:pPr>
              <w:rPr>
                <w:szCs w:val="20"/>
              </w:rPr>
            </w:pPr>
            <w:r>
              <w:rPr>
                <w:rFonts w:hint="eastAsia"/>
                <w:szCs w:val="20"/>
              </w:rPr>
              <w:t>[</w:t>
            </w:r>
            <w:r>
              <w:rPr>
                <w:szCs w:val="20"/>
              </w:rPr>
              <w:t>2]</w:t>
            </w:r>
          </w:p>
        </w:tc>
        <w:tc>
          <w:tcPr>
            <w:tcW w:w="7469" w:type="dxa"/>
          </w:tcPr>
          <w:p w14:paraId="306B7ACD" w14:textId="77777777" w:rsidR="00B66E0C" w:rsidRDefault="00557DA3">
            <w:pPr>
              <w:rPr>
                <w:b/>
                <w:lang w:eastAsia="zh-CN"/>
              </w:rPr>
            </w:pPr>
            <w:r>
              <w:rPr>
                <w:rFonts w:hint="eastAsia"/>
                <w:b/>
                <w:lang w:eastAsia="zh-CN"/>
              </w:rPr>
              <w:t>P</w:t>
            </w:r>
            <w:r>
              <w:rPr>
                <w:b/>
                <w:lang w:eastAsia="zh-CN"/>
              </w:rPr>
              <w:t xml:space="preserve">roposal 1: The deployment is indicated by the legacy signaling </w:t>
            </w:r>
            <w:r>
              <w:rPr>
                <w:b/>
                <w:i/>
              </w:rPr>
              <w:t xml:space="preserve">operationmodeInfo, i.e., </w:t>
            </w:r>
            <w:r>
              <w:rPr>
                <w:b/>
              </w:rPr>
              <w:t>no enhancement is needed on distinguishing the deployment.</w:t>
            </w:r>
          </w:p>
          <w:p w14:paraId="2652DD0C" w14:textId="77777777" w:rsidR="00B66E0C" w:rsidRDefault="00557DA3">
            <w:pPr>
              <w:rPr>
                <w:b/>
                <w:lang w:eastAsia="zh-CN"/>
              </w:rPr>
            </w:pPr>
            <w:r>
              <w:rPr>
                <w:b/>
                <w:lang w:eastAsia="zh-CN"/>
              </w:rPr>
              <w:t>Proposal 2: Confirm the working assumption for the indication of 16-QAM in uplink.</w:t>
            </w:r>
          </w:p>
          <w:p w14:paraId="53F6CF47" w14:textId="77777777" w:rsidR="00B66E0C" w:rsidRDefault="00557DA3">
            <w:pPr>
              <w:rPr>
                <w:b/>
                <w:highlight w:val="darkYellow"/>
              </w:rPr>
            </w:pPr>
            <w:r>
              <w:rPr>
                <w:b/>
                <w:highlight w:val="darkYellow"/>
              </w:rPr>
              <w:t>Working Assumption</w:t>
            </w:r>
          </w:p>
          <w:p w14:paraId="3E7AC04B" w14:textId="77777777" w:rsidR="00B66E0C" w:rsidRDefault="00557DA3">
            <w:pPr>
              <w:rPr>
                <w:bCs/>
                <w:sz w:val="20"/>
                <w:lang w:eastAsia="zh-CN"/>
              </w:rPr>
            </w:pPr>
            <w:r>
              <w:rPr>
                <w:sz w:val="20"/>
              </w:rPr>
              <w:t>For the indication of 16-QAM in uplink</w:t>
            </w:r>
          </w:p>
          <w:p w14:paraId="062FCD80" w14:textId="77777777" w:rsidR="00B66E0C" w:rsidRDefault="00557DA3">
            <w:pPr>
              <w:numPr>
                <w:ilvl w:val="0"/>
                <w:numId w:val="22"/>
              </w:numPr>
              <w:autoSpaceDE/>
              <w:autoSpaceDN/>
              <w:adjustRightInd/>
              <w:snapToGrid/>
              <w:spacing w:after="0" w:line="240" w:lineRule="auto"/>
              <w:jc w:val="left"/>
              <w:rPr>
                <w:bCs/>
                <w:sz w:val="20"/>
                <w:lang w:eastAsia="zh-CN"/>
              </w:rPr>
            </w:pPr>
            <w:r>
              <w:rPr>
                <w:bCs/>
                <w:sz w:val="20"/>
                <w:lang w:eastAsia="zh-CN"/>
              </w:rPr>
              <w:t>The “Modulation and coding scheme” field in DCI Format N0 is utilized as in legacy for scheduling QPSK.</w:t>
            </w:r>
          </w:p>
          <w:p w14:paraId="72EB4937" w14:textId="77777777" w:rsidR="00B66E0C" w:rsidRDefault="00557DA3">
            <w:pPr>
              <w:numPr>
                <w:ilvl w:val="0"/>
                <w:numId w:val="22"/>
              </w:numPr>
              <w:autoSpaceDE/>
              <w:autoSpaceDN/>
              <w:adjustRightInd/>
              <w:snapToGrid/>
              <w:spacing w:after="0" w:line="240" w:lineRule="auto"/>
              <w:jc w:val="left"/>
              <w:rPr>
                <w:bCs/>
                <w:sz w:val="20"/>
                <w:lang w:eastAsia="zh-CN"/>
              </w:rPr>
            </w:pPr>
            <w:r>
              <w:rPr>
                <w:bCs/>
                <w:sz w:val="20"/>
                <w:lang w:eastAsia="zh-CN"/>
              </w:rPr>
              <w:t>One reserved state in the “Modulation and coding scheme” field in DCI Format N0 is utilized to indicate the use of 16QAM.</w:t>
            </w:r>
          </w:p>
          <w:p w14:paraId="4764B924" w14:textId="77777777" w:rsidR="00B66E0C" w:rsidRDefault="00557DA3">
            <w:pPr>
              <w:numPr>
                <w:ilvl w:val="0"/>
                <w:numId w:val="22"/>
              </w:numPr>
              <w:autoSpaceDE/>
              <w:autoSpaceDN/>
              <w:adjustRightInd/>
              <w:snapToGrid/>
              <w:spacing w:after="0" w:line="240" w:lineRule="auto"/>
              <w:jc w:val="left"/>
              <w:rPr>
                <w:bCs/>
                <w:sz w:val="20"/>
                <w:lang w:eastAsia="zh-CN"/>
              </w:rPr>
            </w:pPr>
            <w:r>
              <w:rPr>
                <w:bCs/>
                <w:sz w:val="20"/>
                <w:lang w:eastAsia="zh-CN"/>
              </w:rPr>
              <w:t>The “Repetition number” field in DCI Format N0 is utilized to indicate the TBS indices (i.e., I_TBS indices from 14 to 21) for 16-QAM in UL.</w:t>
            </w:r>
          </w:p>
          <w:p w14:paraId="7E1F8526" w14:textId="77777777" w:rsidR="00B66E0C" w:rsidRDefault="00557DA3">
            <w:pPr>
              <w:rPr>
                <w:b/>
                <w:lang w:eastAsia="zh-CN"/>
              </w:rPr>
            </w:pPr>
            <w:r>
              <w:rPr>
                <w:b/>
                <w:lang w:eastAsia="zh-CN"/>
              </w:rPr>
              <w:t>Proposal 3: The reserved state to indicate the use of 16QAM in DCI format N0 and DCI format N1 should be “1111”.</w:t>
            </w:r>
          </w:p>
          <w:p w14:paraId="1A43F24D" w14:textId="77777777" w:rsidR="00B66E0C" w:rsidRDefault="00B66E0C">
            <w:pPr>
              <w:rPr>
                <w:szCs w:val="20"/>
              </w:rPr>
            </w:pPr>
          </w:p>
        </w:tc>
      </w:tr>
      <w:tr w:rsidR="00B66E0C" w14:paraId="6FDF90FF" w14:textId="77777777">
        <w:tc>
          <w:tcPr>
            <w:tcW w:w="1838" w:type="dxa"/>
          </w:tcPr>
          <w:p w14:paraId="649B25D3" w14:textId="77777777" w:rsidR="00B66E0C" w:rsidRDefault="00557DA3">
            <w:pPr>
              <w:rPr>
                <w:szCs w:val="20"/>
              </w:rPr>
            </w:pPr>
            <w:r>
              <w:rPr>
                <w:rFonts w:hint="eastAsia"/>
                <w:szCs w:val="20"/>
              </w:rPr>
              <w:t>[</w:t>
            </w:r>
            <w:r>
              <w:rPr>
                <w:szCs w:val="20"/>
              </w:rPr>
              <w:t>3]</w:t>
            </w:r>
          </w:p>
        </w:tc>
        <w:tc>
          <w:tcPr>
            <w:tcW w:w="7469" w:type="dxa"/>
          </w:tcPr>
          <w:p w14:paraId="2F06FD6C" w14:textId="77777777" w:rsidR="00B66E0C" w:rsidRDefault="00557DA3">
            <w:pPr>
              <w:rPr>
                <w:b/>
                <w:bCs/>
                <w:lang w:eastAsia="en-GB"/>
              </w:rPr>
            </w:pPr>
            <w:r>
              <w:rPr>
                <w:b/>
                <w:bCs/>
                <w:lang w:eastAsia="en-GB"/>
              </w:rPr>
              <w:t>Proposal 1: UE can determine the deployment mode from the MasterInformationBlock-NB or DL-CarrierConfigDedicated-NB field.</w:t>
            </w:r>
          </w:p>
          <w:p w14:paraId="3A34F60C" w14:textId="77777777" w:rsidR="00B66E0C" w:rsidRDefault="00557DA3">
            <w:pPr>
              <w:rPr>
                <w:lang w:eastAsia="en-GB"/>
              </w:rPr>
            </w:pPr>
            <w:r>
              <w:rPr>
                <w:b/>
                <w:bCs/>
                <w:lang w:eastAsia="en-GB"/>
              </w:rPr>
              <w:t>Proposal 2: Confirm the working assumption on indication of 16-QAM in uplink from RAN1#105-e.</w:t>
            </w:r>
          </w:p>
          <w:p w14:paraId="1CCFEDB9" w14:textId="77777777" w:rsidR="00B66E0C" w:rsidRDefault="00B66E0C">
            <w:pPr>
              <w:rPr>
                <w:b/>
                <w:bCs/>
                <w:lang w:eastAsia="en-GB"/>
              </w:rPr>
            </w:pPr>
          </w:p>
        </w:tc>
      </w:tr>
      <w:tr w:rsidR="00B66E0C" w14:paraId="31222E0D" w14:textId="77777777">
        <w:tc>
          <w:tcPr>
            <w:tcW w:w="1838" w:type="dxa"/>
          </w:tcPr>
          <w:p w14:paraId="6ECA68B7" w14:textId="77777777" w:rsidR="00B66E0C" w:rsidRDefault="00557DA3">
            <w:pPr>
              <w:rPr>
                <w:szCs w:val="20"/>
              </w:rPr>
            </w:pPr>
            <w:r>
              <w:rPr>
                <w:rFonts w:hint="eastAsia"/>
                <w:szCs w:val="20"/>
              </w:rPr>
              <w:t>[</w:t>
            </w:r>
            <w:r>
              <w:rPr>
                <w:szCs w:val="20"/>
              </w:rPr>
              <w:t>5]</w:t>
            </w:r>
          </w:p>
        </w:tc>
        <w:tc>
          <w:tcPr>
            <w:tcW w:w="7469" w:type="dxa"/>
          </w:tcPr>
          <w:p w14:paraId="66202BD7" w14:textId="77777777" w:rsidR="00B66E0C" w:rsidRDefault="00557DA3">
            <w:pPr>
              <w:spacing w:beforeLines="50" w:before="120" w:afterLines="50" w:line="276" w:lineRule="auto"/>
              <w:rPr>
                <w:b/>
                <w:bCs/>
                <w:i/>
                <w:iCs/>
                <w:kern w:val="2"/>
                <w:sz w:val="20"/>
                <w:szCs w:val="20"/>
                <w:lang w:eastAsia="zh-CN"/>
              </w:rPr>
            </w:pPr>
            <w:r>
              <w:rPr>
                <w:rFonts w:hint="eastAsia"/>
                <w:b/>
                <w:i/>
                <w:sz w:val="20"/>
                <w:szCs w:val="20"/>
                <w:lang w:eastAsia="zh-CN"/>
              </w:rPr>
              <w:t>Proposal 2</w:t>
            </w:r>
            <w:r>
              <w:rPr>
                <w:b/>
                <w:i/>
                <w:sz w:val="20"/>
                <w:szCs w:val="20"/>
                <w:lang w:eastAsia="zh-CN"/>
              </w:rPr>
              <w:t xml:space="preserve">: </w:t>
            </w:r>
            <w:r>
              <w:rPr>
                <w:rFonts w:hint="eastAsia"/>
                <w:b/>
                <w:i/>
                <w:sz w:val="20"/>
                <w:szCs w:val="20"/>
                <w:lang w:eastAsia="zh-CN"/>
              </w:rPr>
              <w:t xml:space="preserve">If the </w:t>
            </w:r>
            <w:r>
              <w:rPr>
                <w:b/>
                <w:i/>
                <w:sz w:val="20"/>
                <w:szCs w:val="20"/>
                <w:lang w:eastAsia="zh-CN"/>
              </w:rPr>
              <w:t>most significant bit</w:t>
            </w:r>
            <w:r>
              <w:rPr>
                <w:rFonts w:hint="eastAsia"/>
                <w:b/>
                <w:i/>
                <w:kern w:val="2"/>
                <w:sz w:val="20"/>
                <w:szCs w:val="20"/>
                <w:lang w:eastAsia="zh-CN"/>
              </w:rPr>
              <w:t xml:space="preserve"> </w:t>
            </w:r>
            <w:r>
              <w:rPr>
                <w:rFonts w:hint="eastAsia"/>
                <w:b/>
                <w:i/>
                <w:sz w:val="20"/>
                <w:szCs w:val="20"/>
                <w:lang w:eastAsia="zh-CN"/>
              </w:rPr>
              <w:t xml:space="preserve">of </w:t>
            </w:r>
            <w:r>
              <w:rPr>
                <w:b/>
                <w:i/>
                <w:kern w:val="2"/>
                <w:sz w:val="20"/>
                <w:szCs w:val="20"/>
                <w:lang w:eastAsia="zh-CN"/>
              </w:rPr>
              <w:t>‘</w:t>
            </w:r>
            <w:r>
              <w:rPr>
                <w:rFonts w:hint="eastAsia"/>
                <w:b/>
                <w:i/>
                <w:kern w:val="2"/>
                <w:sz w:val="20"/>
                <w:szCs w:val="20"/>
                <w:lang w:eastAsia="zh-CN"/>
              </w:rPr>
              <w:t>subcarrier indication</w:t>
            </w:r>
            <w:r>
              <w:rPr>
                <w:b/>
                <w:i/>
                <w:kern w:val="2"/>
                <w:sz w:val="20"/>
                <w:szCs w:val="20"/>
                <w:lang w:eastAsia="zh-CN"/>
              </w:rPr>
              <w:t>’</w:t>
            </w:r>
            <w:r>
              <w:rPr>
                <w:rFonts w:hint="eastAsia"/>
                <w:b/>
                <w:i/>
                <w:kern w:val="2"/>
                <w:sz w:val="20"/>
                <w:szCs w:val="20"/>
                <w:lang w:eastAsia="zh-CN"/>
              </w:rPr>
              <w:t xml:space="preserve"> filed is 1, </w:t>
            </w:r>
            <w:r>
              <w:rPr>
                <w:rFonts w:hint="eastAsia"/>
                <w:b/>
                <w:bCs/>
                <w:i/>
                <w:iCs/>
                <w:sz w:val="20"/>
                <w:szCs w:val="20"/>
                <w:lang w:eastAsia="zh-CN"/>
              </w:rPr>
              <w:t xml:space="preserve">the existing 4-bit MCS field indicates </w:t>
            </w:r>
            <w:r>
              <w:rPr>
                <w:b/>
                <w:bCs/>
                <w:i/>
                <w:iCs/>
                <w:sz w:val="20"/>
                <w:szCs w:val="20"/>
              </w:rPr>
              <w:t>the TBS indices for 16QAM</w:t>
            </w:r>
            <w:r>
              <w:rPr>
                <w:rFonts w:hint="eastAsia"/>
                <w:b/>
                <w:bCs/>
                <w:i/>
                <w:iCs/>
                <w:sz w:val="20"/>
                <w:szCs w:val="20"/>
                <w:lang w:eastAsia="zh-CN"/>
              </w:rPr>
              <w:t xml:space="preserve"> for UL,</w:t>
            </w:r>
            <w:r>
              <w:rPr>
                <w:rFonts w:hint="eastAsia"/>
                <w:b/>
                <w:bCs/>
                <w:i/>
                <w:iCs/>
                <w:kern w:val="2"/>
                <w:sz w:val="20"/>
                <w:szCs w:val="20"/>
                <w:lang w:eastAsia="zh-CN"/>
              </w:rPr>
              <w:t xml:space="preserve"> </w:t>
            </w:r>
            <w:r>
              <w:rPr>
                <w:b/>
                <w:bCs/>
                <w:i/>
                <w:iCs/>
                <w:sz w:val="20"/>
                <w:szCs w:val="20"/>
              </w:rPr>
              <w:t xml:space="preserve">the </w:t>
            </w:r>
            <w:r>
              <w:rPr>
                <w:rFonts w:hint="eastAsia"/>
                <w:b/>
                <w:bCs/>
                <w:i/>
                <w:iCs/>
                <w:sz w:val="20"/>
                <w:szCs w:val="20"/>
                <w:lang w:eastAsia="zh-CN"/>
              </w:rPr>
              <w:t xml:space="preserve">QPSK </w:t>
            </w:r>
            <w:r>
              <w:rPr>
                <w:b/>
                <w:bCs/>
                <w:i/>
                <w:iCs/>
                <w:sz w:val="20"/>
                <w:szCs w:val="20"/>
              </w:rPr>
              <w:t>TBS indices</w:t>
            </w:r>
            <w:r>
              <w:rPr>
                <w:rFonts w:hint="eastAsia"/>
                <w:b/>
                <w:bCs/>
                <w:i/>
                <w:iCs/>
                <w:sz w:val="20"/>
                <w:szCs w:val="20"/>
                <w:lang w:eastAsia="zh-CN"/>
              </w:rPr>
              <w:t xml:space="preserve"> otherwise.</w:t>
            </w:r>
          </w:p>
          <w:p w14:paraId="7B3EBE94" w14:textId="77777777" w:rsidR="00B66E0C" w:rsidRDefault="00B66E0C">
            <w:pPr>
              <w:spacing w:line="276" w:lineRule="auto"/>
              <w:rPr>
                <w:b/>
                <w:bCs/>
                <w:i/>
                <w:iCs/>
                <w:sz w:val="20"/>
                <w:szCs w:val="20"/>
                <w:lang w:eastAsia="zh-CN"/>
              </w:rPr>
            </w:pPr>
          </w:p>
        </w:tc>
      </w:tr>
      <w:tr w:rsidR="00B66E0C" w14:paraId="2F870E04" w14:textId="77777777">
        <w:tc>
          <w:tcPr>
            <w:tcW w:w="1838" w:type="dxa"/>
          </w:tcPr>
          <w:p w14:paraId="074D6CFC" w14:textId="77777777" w:rsidR="00B66E0C" w:rsidRDefault="00557DA3">
            <w:pPr>
              <w:rPr>
                <w:szCs w:val="20"/>
              </w:rPr>
            </w:pPr>
            <w:r>
              <w:rPr>
                <w:rFonts w:hint="eastAsia"/>
                <w:szCs w:val="20"/>
              </w:rPr>
              <w:t>[</w:t>
            </w:r>
            <w:r>
              <w:rPr>
                <w:szCs w:val="20"/>
              </w:rPr>
              <w:t>6]</w:t>
            </w:r>
          </w:p>
        </w:tc>
        <w:tc>
          <w:tcPr>
            <w:tcW w:w="7469" w:type="dxa"/>
          </w:tcPr>
          <w:p w14:paraId="405AC53B" w14:textId="77777777" w:rsidR="00B66E0C" w:rsidRDefault="00557DA3">
            <w:pPr>
              <w:rPr>
                <w:b/>
                <w:sz w:val="20"/>
                <w:szCs w:val="20"/>
              </w:rPr>
            </w:pPr>
            <w:r>
              <w:rPr>
                <w:b/>
                <w:sz w:val="20"/>
                <w:szCs w:val="20"/>
              </w:rPr>
              <w:t>Proposal 3</w:t>
            </w:r>
            <w:r>
              <w:rPr>
                <w:rFonts w:hint="eastAsia"/>
                <w:b/>
                <w:sz w:val="20"/>
                <w:szCs w:val="20"/>
              </w:rPr>
              <w:t>:</w:t>
            </w:r>
            <w:r>
              <w:rPr>
                <w:b/>
                <w:sz w:val="20"/>
                <w:szCs w:val="20"/>
              </w:rPr>
              <w:t xml:space="preserve"> Set two TBS indices columns in the MCS-to-TBS mapping table for SA/GB and IB respectively.</w:t>
            </w:r>
          </w:p>
          <w:p w14:paraId="754D3F6C" w14:textId="77777777" w:rsidR="00B66E0C" w:rsidRDefault="00B66E0C">
            <w:pPr>
              <w:rPr>
                <w:szCs w:val="20"/>
              </w:rPr>
            </w:pPr>
          </w:p>
        </w:tc>
      </w:tr>
      <w:tr w:rsidR="00B66E0C" w14:paraId="44F9891B" w14:textId="77777777">
        <w:tc>
          <w:tcPr>
            <w:tcW w:w="1838" w:type="dxa"/>
          </w:tcPr>
          <w:p w14:paraId="6B318BFD" w14:textId="77777777" w:rsidR="00B66E0C" w:rsidRDefault="00557DA3">
            <w:pPr>
              <w:rPr>
                <w:szCs w:val="20"/>
              </w:rPr>
            </w:pPr>
            <w:r>
              <w:rPr>
                <w:rFonts w:hint="eastAsia"/>
                <w:szCs w:val="20"/>
              </w:rPr>
              <w:t>[</w:t>
            </w:r>
            <w:r>
              <w:rPr>
                <w:szCs w:val="20"/>
              </w:rPr>
              <w:t>7]</w:t>
            </w:r>
          </w:p>
        </w:tc>
        <w:tc>
          <w:tcPr>
            <w:tcW w:w="7469" w:type="dxa"/>
          </w:tcPr>
          <w:p w14:paraId="66D44F43" w14:textId="77777777" w:rsidR="00B66E0C" w:rsidRDefault="00557DA3">
            <w:pPr>
              <w:spacing w:beforeLines="50" w:before="120" w:afterLines="50"/>
              <w:rPr>
                <w:b/>
                <w:i/>
                <w:sz w:val="20"/>
                <w:szCs w:val="20"/>
              </w:rPr>
            </w:pPr>
            <w:r>
              <w:rPr>
                <w:b/>
                <w:i/>
                <w:sz w:val="20"/>
                <w:szCs w:val="20"/>
                <w:lang w:eastAsia="zh-CN"/>
              </w:rPr>
              <w:t>Proposal 5: For the DCI format N0 optimization,</w:t>
            </w:r>
            <w:r>
              <w:rPr>
                <w:b/>
                <w:i/>
                <w:sz w:val="20"/>
                <w:szCs w:val="20"/>
              </w:rPr>
              <w:t xml:space="preserve"> the joint coding of MCS, repetition number can be considered.</w:t>
            </w:r>
          </w:p>
          <w:p w14:paraId="79F19BF9" w14:textId="77777777" w:rsidR="00B66E0C" w:rsidRDefault="00B66E0C">
            <w:pPr>
              <w:rPr>
                <w:szCs w:val="20"/>
              </w:rPr>
            </w:pPr>
          </w:p>
        </w:tc>
      </w:tr>
      <w:tr w:rsidR="00B66E0C" w14:paraId="5BD2B74A" w14:textId="77777777">
        <w:tc>
          <w:tcPr>
            <w:tcW w:w="1838" w:type="dxa"/>
          </w:tcPr>
          <w:p w14:paraId="340DAF25" w14:textId="77777777" w:rsidR="00B66E0C" w:rsidRDefault="00557DA3">
            <w:pPr>
              <w:rPr>
                <w:szCs w:val="20"/>
              </w:rPr>
            </w:pPr>
            <w:r>
              <w:rPr>
                <w:rFonts w:hint="eastAsia"/>
                <w:szCs w:val="20"/>
              </w:rPr>
              <w:t>[</w:t>
            </w:r>
            <w:r>
              <w:rPr>
                <w:szCs w:val="20"/>
              </w:rPr>
              <w:t>8]</w:t>
            </w:r>
          </w:p>
        </w:tc>
        <w:tc>
          <w:tcPr>
            <w:tcW w:w="7469" w:type="dxa"/>
          </w:tcPr>
          <w:p w14:paraId="0C04EC38" w14:textId="77777777" w:rsidR="00B66E0C" w:rsidRDefault="00557DA3">
            <w:pPr>
              <w:rPr>
                <w:b/>
                <w:sz w:val="20"/>
                <w:szCs w:val="20"/>
                <w:lang w:val="en-GB"/>
              </w:rPr>
            </w:pPr>
            <w:r>
              <w:rPr>
                <w:b/>
                <w:sz w:val="20"/>
                <w:szCs w:val="20"/>
                <w:lang w:val="en-GB"/>
              </w:rPr>
              <w:t>Observation 1</w:t>
            </w:r>
            <w:r>
              <w:rPr>
                <w:b/>
                <w:sz w:val="20"/>
                <w:szCs w:val="20"/>
                <w:lang w:val="en-GB"/>
              </w:rPr>
              <w:tab/>
              <w:t>For the “DCI Design for DL”, there is an FFS on “How UE distinguishes the deployment”). During RAN1# 105-e it was mentioned that using the parameter “operationModeInfo” was sufficient to make the distinction between deployment modes, however it was pointed out that it only applies to anchor carriers.</w:t>
            </w:r>
          </w:p>
          <w:p w14:paraId="33E6E8A7" w14:textId="77777777" w:rsidR="00B66E0C" w:rsidRDefault="00557DA3">
            <w:pPr>
              <w:rPr>
                <w:b/>
                <w:sz w:val="20"/>
                <w:szCs w:val="20"/>
                <w:lang w:val="en-GB"/>
              </w:rPr>
            </w:pPr>
            <w:r>
              <w:rPr>
                <w:b/>
                <w:sz w:val="20"/>
                <w:szCs w:val="20"/>
                <w:lang w:val="en-GB"/>
              </w:rPr>
              <w:t>Proposal 1</w:t>
            </w:r>
            <w:r>
              <w:rPr>
                <w:b/>
                <w:sz w:val="20"/>
                <w:szCs w:val="20"/>
                <w:lang w:val="en-GB"/>
              </w:rPr>
              <w:tab/>
              <w:t>The UE distinguishes the different ranges of TBS indices for “Stand-alone/Guard-band” and “In-band” deployments by re-using the legacy higher layer parameters “operationModeInfo” and “inbandCarrierInfo”.</w:t>
            </w:r>
          </w:p>
          <w:p w14:paraId="3C780D02" w14:textId="77777777" w:rsidR="00B66E0C" w:rsidRDefault="00B66E0C">
            <w:pPr>
              <w:rPr>
                <w:b/>
                <w:sz w:val="20"/>
                <w:szCs w:val="20"/>
                <w:lang w:val="en-GB"/>
              </w:rPr>
            </w:pPr>
          </w:p>
          <w:p w14:paraId="6497E45C" w14:textId="77777777" w:rsidR="00B66E0C" w:rsidRDefault="00557DA3">
            <w:pPr>
              <w:rPr>
                <w:b/>
                <w:sz w:val="20"/>
                <w:szCs w:val="20"/>
                <w:lang w:val="en-GB"/>
              </w:rPr>
            </w:pPr>
            <w:r>
              <w:rPr>
                <w:b/>
                <w:sz w:val="20"/>
                <w:szCs w:val="20"/>
                <w:lang w:val="en-GB"/>
              </w:rPr>
              <w:t>Observation 8</w:t>
            </w:r>
            <w:r>
              <w:rPr>
                <w:b/>
                <w:sz w:val="20"/>
                <w:szCs w:val="20"/>
                <w:lang w:val="en-GB"/>
              </w:rPr>
              <w:tab/>
              <w:t>The DCI design agreed for DL can be equally applied for UL, confirming the Working Assumption will allow to have symmetry between UL and DL in terms of DCI design principles.</w:t>
            </w:r>
          </w:p>
          <w:p w14:paraId="32208712" w14:textId="77777777" w:rsidR="00B66E0C" w:rsidRDefault="00557DA3">
            <w:pPr>
              <w:rPr>
                <w:b/>
                <w:sz w:val="20"/>
                <w:szCs w:val="20"/>
                <w:lang w:val="en-GB"/>
              </w:rPr>
            </w:pPr>
            <w:r>
              <w:rPr>
                <w:b/>
                <w:sz w:val="20"/>
                <w:szCs w:val="20"/>
                <w:lang w:val="en-GB"/>
              </w:rPr>
              <w:lastRenderedPageBreak/>
              <w:t>Proposal 6</w:t>
            </w:r>
            <w:r>
              <w:rPr>
                <w:b/>
                <w:sz w:val="20"/>
                <w:szCs w:val="20"/>
                <w:lang w:val="en-GB"/>
              </w:rPr>
              <w:tab/>
              <w:t>Confirm the Working Assumption on the DCI design for 16-QAM in UL:</w:t>
            </w:r>
          </w:p>
          <w:p w14:paraId="24EA9BBA" w14:textId="77777777" w:rsidR="00B66E0C" w:rsidRDefault="00557DA3">
            <w:pPr>
              <w:rPr>
                <w:b/>
                <w:sz w:val="20"/>
                <w:szCs w:val="20"/>
                <w:lang w:val="en-GB"/>
              </w:rPr>
            </w:pPr>
            <w:r>
              <w:rPr>
                <w:b/>
                <w:sz w:val="20"/>
                <w:szCs w:val="20"/>
                <w:lang w:val="en-GB"/>
              </w:rPr>
              <w:t>For the indication of 16-QAM in uplink</w:t>
            </w:r>
          </w:p>
          <w:p w14:paraId="5764EE68" w14:textId="77777777" w:rsidR="00B66E0C" w:rsidRDefault="00557DA3">
            <w:pPr>
              <w:rPr>
                <w:b/>
                <w:sz w:val="20"/>
                <w:szCs w:val="20"/>
                <w:lang w:val="en-GB"/>
              </w:rPr>
            </w:pPr>
            <w:r>
              <w:rPr>
                <w:b/>
                <w:sz w:val="20"/>
                <w:szCs w:val="20"/>
                <w:lang w:val="en-GB"/>
              </w:rPr>
              <w:t>-</w:t>
            </w:r>
            <w:r>
              <w:rPr>
                <w:b/>
                <w:sz w:val="20"/>
                <w:szCs w:val="20"/>
                <w:lang w:val="en-GB"/>
              </w:rPr>
              <w:tab/>
              <w:t>The “Modulation and coding scheme” field in DCI Format N0 is utilized as in legacy for scheduling QPSK.</w:t>
            </w:r>
          </w:p>
          <w:p w14:paraId="561B02B1" w14:textId="77777777" w:rsidR="00B66E0C" w:rsidRDefault="00557DA3">
            <w:pPr>
              <w:rPr>
                <w:b/>
                <w:sz w:val="20"/>
                <w:szCs w:val="20"/>
                <w:lang w:val="en-GB"/>
              </w:rPr>
            </w:pPr>
            <w:r>
              <w:rPr>
                <w:b/>
                <w:sz w:val="20"/>
                <w:szCs w:val="20"/>
                <w:lang w:val="en-GB"/>
              </w:rPr>
              <w:t>-</w:t>
            </w:r>
            <w:r>
              <w:rPr>
                <w:b/>
                <w:sz w:val="20"/>
                <w:szCs w:val="20"/>
                <w:lang w:val="en-GB"/>
              </w:rPr>
              <w:tab/>
              <w:t>One reserved state in the “Modulation and coding scheme” field in DCI Format N0 is utilized to indicate the use of 16QAM.</w:t>
            </w:r>
          </w:p>
          <w:p w14:paraId="65432441" w14:textId="77777777" w:rsidR="00B66E0C" w:rsidRDefault="00557DA3">
            <w:pPr>
              <w:rPr>
                <w:b/>
                <w:sz w:val="20"/>
                <w:szCs w:val="20"/>
                <w:lang w:val="en-GB"/>
              </w:rPr>
            </w:pPr>
            <w:r>
              <w:rPr>
                <w:b/>
                <w:sz w:val="20"/>
                <w:szCs w:val="20"/>
                <w:lang w:val="en-GB"/>
              </w:rPr>
              <w:t>-</w:t>
            </w:r>
            <w:r>
              <w:rPr>
                <w:b/>
                <w:sz w:val="20"/>
                <w:szCs w:val="20"/>
                <w:lang w:val="en-GB"/>
              </w:rPr>
              <w:tab/>
              <w:t>The “Repetition number” field in DCI Format N0 is utilized to indicate the TBS indices (i.e., I_TBS indices from 14 to 21) for 16-QAM in UL.</w:t>
            </w:r>
          </w:p>
        </w:tc>
      </w:tr>
    </w:tbl>
    <w:p w14:paraId="3DCE7E61" w14:textId="77777777" w:rsidR="00B66E0C" w:rsidRDefault="00B66E0C"/>
    <w:p w14:paraId="35D329AD" w14:textId="77777777" w:rsidR="00B66E0C" w:rsidRDefault="00557DA3">
      <w:pPr>
        <w:spacing w:line="240" w:lineRule="auto"/>
      </w:pPr>
      <w:r>
        <w:t>Most companies support to confirm the working assumption on indication of 16-QAM in uplink, therefore, the following is proposed:</w:t>
      </w:r>
    </w:p>
    <w:p w14:paraId="00F2B4E8" w14:textId="77777777" w:rsidR="00B66E0C" w:rsidRDefault="00557DA3">
      <w:pPr>
        <w:spacing w:line="240" w:lineRule="auto"/>
      </w:pPr>
      <w:r>
        <w:rPr>
          <w:b/>
        </w:rPr>
        <w:t>Proposal 4: Confirm the working assumption:</w:t>
      </w:r>
    </w:p>
    <w:p w14:paraId="7A12E0B3" w14:textId="77777777" w:rsidR="00B66E0C" w:rsidRDefault="00557DA3">
      <w:pPr>
        <w:autoSpaceDE/>
        <w:autoSpaceDN/>
        <w:adjustRightInd/>
        <w:snapToGrid/>
        <w:spacing w:after="0" w:line="240" w:lineRule="auto"/>
        <w:ind w:leftChars="200" w:left="440"/>
        <w:jc w:val="left"/>
        <w:rPr>
          <w:rFonts w:ascii="Times" w:eastAsia="Batang" w:hAnsi="Times"/>
          <w:sz w:val="20"/>
          <w:szCs w:val="24"/>
          <w:highlight w:val="darkYellow"/>
          <w:lang w:val="en-GB"/>
        </w:rPr>
      </w:pPr>
      <w:r>
        <w:rPr>
          <w:rFonts w:ascii="Times" w:eastAsia="Batang" w:hAnsi="Times"/>
          <w:sz w:val="20"/>
          <w:szCs w:val="24"/>
          <w:highlight w:val="darkYellow"/>
          <w:lang w:val="en-GB"/>
        </w:rPr>
        <w:t>Working Assumption</w:t>
      </w:r>
    </w:p>
    <w:p w14:paraId="41432A9D" w14:textId="77777777" w:rsidR="00B66E0C" w:rsidRDefault="00557DA3">
      <w:pPr>
        <w:autoSpaceDE/>
        <w:autoSpaceDN/>
        <w:adjustRightInd/>
        <w:snapToGrid/>
        <w:spacing w:after="0" w:line="240" w:lineRule="auto"/>
        <w:ind w:leftChars="200" w:left="440"/>
        <w:jc w:val="left"/>
        <w:rPr>
          <w:rFonts w:ascii="Times" w:eastAsia="Batang" w:hAnsi="Times"/>
          <w:sz w:val="20"/>
          <w:szCs w:val="24"/>
          <w:lang w:val="en-GB" w:eastAsia="zh-CN"/>
        </w:rPr>
      </w:pPr>
      <w:r>
        <w:rPr>
          <w:rFonts w:ascii="Times" w:eastAsia="Batang" w:hAnsi="Times"/>
          <w:sz w:val="20"/>
          <w:szCs w:val="24"/>
          <w:lang w:val="en-GB"/>
        </w:rPr>
        <w:t>For the indication of 16-QAM in uplink</w:t>
      </w:r>
    </w:p>
    <w:p w14:paraId="48C6AA84" w14:textId="77777777" w:rsidR="00B66E0C" w:rsidRDefault="00557DA3">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sz w:val="20"/>
          <w:szCs w:val="20"/>
          <w:lang w:val="en-GB" w:eastAsia="zh-CN"/>
        </w:rPr>
        <w:t>The “Modulation and coding scheme” field in DCI Format N0 is utilized as in legacy for scheduling QPSK.</w:t>
      </w:r>
    </w:p>
    <w:p w14:paraId="08886FDC" w14:textId="77777777" w:rsidR="00B66E0C" w:rsidRDefault="00557DA3">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sz w:val="20"/>
          <w:szCs w:val="20"/>
          <w:lang w:val="en-GB" w:eastAsia="zh-CN"/>
        </w:rPr>
        <w:t>One reserved state in the “Modulation and coding scheme” field in DCI Format N0 is utilized to indicate the use of 16QAM.</w:t>
      </w:r>
    </w:p>
    <w:p w14:paraId="7537FF98" w14:textId="77777777" w:rsidR="00B66E0C" w:rsidRDefault="00557DA3">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rFonts w:ascii="Times" w:eastAsia="Batang" w:hAnsi="Times"/>
          <w:sz w:val="20"/>
          <w:szCs w:val="24"/>
          <w:lang w:val="en-GB"/>
        </w:rPr>
        <w:t>The “Repetition number” field in DCI Format N0 is utilized to indicate the TBS indices (i.e., I_TBS indices from 14 to 21) for 16-QAM in UL.</w:t>
      </w:r>
    </w:p>
    <w:p w14:paraId="00555EA9" w14:textId="77777777" w:rsidR="00B66E0C" w:rsidRDefault="00B66E0C">
      <w:pPr>
        <w:spacing w:line="240" w:lineRule="auto"/>
      </w:pPr>
    </w:p>
    <w:p w14:paraId="661D375C" w14:textId="77777777" w:rsidR="00B66E0C" w:rsidRDefault="00557DA3">
      <w:pPr>
        <w:spacing w:line="240" w:lineRule="auto"/>
      </w:pPr>
      <w:r>
        <w:t>On the FFS relating to distinguishing of deployments, companies proposed to reuse legacy signaling operationModeInfo in MIB and inbandCarrierInfo in SIB for the UE to distinguish the deployments. Therefore, the following is proposed:</w:t>
      </w:r>
    </w:p>
    <w:p w14:paraId="09E1A695" w14:textId="77777777" w:rsidR="00B66E0C" w:rsidRDefault="00557DA3">
      <w:pPr>
        <w:spacing w:line="240" w:lineRule="auto"/>
        <w:rPr>
          <w:b/>
        </w:rPr>
      </w:pPr>
      <w:r>
        <w:rPr>
          <w:b/>
        </w:rPr>
        <w:t xml:space="preserve">Proposal 5: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p>
    <w:p w14:paraId="30C0620B" w14:textId="77777777" w:rsidR="00B66E0C" w:rsidRDefault="00B66E0C">
      <w:pPr>
        <w:spacing w:line="240" w:lineRule="auto"/>
      </w:pPr>
    </w:p>
    <w:p w14:paraId="5F7E1783" w14:textId="77777777" w:rsidR="00B66E0C" w:rsidRDefault="00557DA3">
      <w:pPr>
        <w:spacing w:line="240" w:lineRule="auto"/>
      </w:pPr>
      <w:r>
        <w:rPr>
          <w:rFonts w:hint="eastAsia"/>
        </w:rPr>
        <w:t>P</w:t>
      </w:r>
      <w:r>
        <w:t>lease input your preference and comments to the above proposal:</w:t>
      </w:r>
    </w:p>
    <w:tbl>
      <w:tblPr>
        <w:tblStyle w:val="af1"/>
        <w:tblW w:w="0" w:type="auto"/>
        <w:tblLook w:val="04A0" w:firstRow="1" w:lastRow="0" w:firstColumn="1" w:lastColumn="0" w:noHBand="0" w:noVBand="1"/>
      </w:tblPr>
      <w:tblGrid>
        <w:gridCol w:w="1838"/>
        <w:gridCol w:w="7469"/>
      </w:tblGrid>
      <w:tr w:rsidR="00B66E0C" w14:paraId="24F7367F" w14:textId="77777777">
        <w:tc>
          <w:tcPr>
            <w:tcW w:w="1838" w:type="dxa"/>
          </w:tcPr>
          <w:p w14:paraId="0358DC6D" w14:textId="77777777" w:rsidR="00B66E0C" w:rsidRDefault="00557DA3">
            <w:pPr>
              <w:rPr>
                <w:szCs w:val="20"/>
              </w:rPr>
            </w:pPr>
            <w:r>
              <w:rPr>
                <w:rFonts w:hint="eastAsia"/>
                <w:szCs w:val="20"/>
              </w:rPr>
              <w:t>Comp</w:t>
            </w:r>
            <w:r>
              <w:rPr>
                <w:szCs w:val="20"/>
              </w:rPr>
              <w:t>anies</w:t>
            </w:r>
          </w:p>
        </w:tc>
        <w:tc>
          <w:tcPr>
            <w:tcW w:w="7469" w:type="dxa"/>
          </w:tcPr>
          <w:p w14:paraId="030D014A" w14:textId="77777777" w:rsidR="00B66E0C" w:rsidRDefault="00557DA3">
            <w:pPr>
              <w:rPr>
                <w:szCs w:val="20"/>
              </w:rPr>
            </w:pPr>
            <w:r>
              <w:rPr>
                <w:rFonts w:hint="eastAsia"/>
                <w:szCs w:val="20"/>
              </w:rPr>
              <w:t>Comments</w:t>
            </w:r>
          </w:p>
        </w:tc>
      </w:tr>
      <w:tr w:rsidR="00B66E0C" w14:paraId="043EA1A8" w14:textId="77777777">
        <w:tc>
          <w:tcPr>
            <w:tcW w:w="1838" w:type="dxa"/>
          </w:tcPr>
          <w:p w14:paraId="3AF26BF9" w14:textId="77777777" w:rsidR="00B66E0C" w:rsidRDefault="00557DA3">
            <w:r>
              <w:t>Huawei, HiSilicon</w:t>
            </w:r>
          </w:p>
        </w:tc>
        <w:tc>
          <w:tcPr>
            <w:tcW w:w="7469" w:type="dxa"/>
          </w:tcPr>
          <w:p w14:paraId="01250508" w14:textId="77777777" w:rsidR="00B66E0C" w:rsidRDefault="00557DA3">
            <w:r>
              <w:rPr>
                <w:rFonts w:hint="eastAsia"/>
              </w:rPr>
              <w:t>W</w:t>
            </w:r>
            <w:r>
              <w:t>e are fine with proposal 4 and proposal 5.</w:t>
            </w:r>
          </w:p>
        </w:tc>
      </w:tr>
      <w:tr w:rsidR="00B66E0C" w14:paraId="36B45820" w14:textId="77777777">
        <w:tc>
          <w:tcPr>
            <w:tcW w:w="1838" w:type="dxa"/>
          </w:tcPr>
          <w:p w14:paraId="71CC61C7" w14:textId="77777777" w:rsidR="00B66E0C" w:rsidRDefault="00557DA3">
            <w:pPr>
              <w:rPr>
                <w:szCs w:val="20"/>
              </w:rPr>
            </w:pPr>
            <w:r>
              <w:rPr>
                <w:rFonts w:asciiTheme="minorHAnsi" w:hAnsiTheme="minorHAnsi" w:cstheme="minorHAnsi"/>
                <w:szCs w:val="20"/>
                <w:lang w:eastAsia="zh-CN"/>
              </w:rPr>
              <w:t>Ericsson</w:t>
            </w:r>
          </w:p>
        </w:tc>
        <w:tc>
          <w:tcPr>
            <w:tcW w:w="7469" w:type="dxa"/>
          </w:tcPr>
          <w:p w14:paraId="48CFFA06" w14:textId="77777777" w:rsidR="00B66E0C" w:rsidRDefault="00557DA3">
            <w:pPr>
              <w:pStyle w:val="af7"/>
              <w:numPr>
                <w:ilvl w:val="0"/>
                <w:numId w:val="15"/>
              </w:numPr>
            </w:pPr>
            <w:r>
              <w:t>Proposal 4: Ok with confirming the WA.</w:t>
            </w:r>
          </w:p>
          <w:p w14:paraId="6DB793F7" w14:textId="77777777" w:rsidR="00B66E0C" w:rsidRDefault="00557DA3">
            <w:pPr>
              <w:pStyle w:val="af7"/>
              <w:numPr>
                <w:ilvl w:val="0"/>
                <w:numId w:val="15"/>
              </w:numPr>
            </w:pPr>
            <w:r>
              <w:t>Proposal 5: OK.</w:t>
            </w:r>
          </w:p>
        </w:tc>
      </w:tr>
      <w:tr w:rsidR="00B66E0C" w14:paraId="1E529B34" w14:textId="77777777">
        <w:tc>
          <w:tcPr>
            <w:tcW w:w="1838" w:type="dxa"/>
          </w:tcPr>
          <w:p w14:paraId="3FA5A4F5" w14:textId="77777777" w:rsidR="00B66E0C" w:rsidRDefault="00557DA3">
            <w:pPr>
              <w:rPr>
                <w:szCs w:val="20"/>
                <w:lang w:eastAsia="zh-CN"/>
              </w:rPr>
            </w:pPr>
            <w:r>
              <w:rPr>
                <w:rFonts w:hint="eastAsia"/>
                <w:szCs w:val="20"/>
                <w:lang w:eastAsia="zh-CN"/>
              </w:rPr>
              <w:t>L</w:t>
            </w:r>
            <w:r>
              <w:rPr>
                <w:szCs w:val="20"/>
                <w:lang w:eastAsia="zh-CN"/>
              </w:rPr>
              <w:t>enovo, MotoM</w:t>
            </w:r>
          </w:p>
        </w:tc>
        <w:tc>
          <w:tcPr>
            <w:tcW w:w="7469" w:type="dxa"/>
          </w:tcPr>
          <w:p w14:paraId="50B622F8" w14:textId="77777777" w:rsidR="00B66E0C" w:rsidRDefault="00557DA3">
            <w:pPr>
              <w:rPr>
                <w:szCs w:val="20"/>
                <w:lang w:eastAsia="zh-CN"/>
              </w:rPr>
            </w:pPr>
            <w:r>
              <w:rPr>
                <w:szCs w:val="20"/>
                <w:lang w:eastAsia="zh-CN"/>
              </w:rPr>
              <w:t xml:space="preserve">We are fine with proposal 4 and 5 </w:t>
            </w:r>
            <w:r>
              <w:rPr>
                <w:rFonts w:hint="eastAsia"/>
                <w:szCs w:val="20"/>
                <w:lang w:eastAsia="zh-CN"/>
              </w:rPr>
              <w:t>(</w:t>
            </w:r>
            <w:r>
              <w:rPr>
                <w:szCs w:val="20"/>
                <w:lang w:eastAsia="zh-CN"/>
              </w:rPr>
              <w:t xml:space="preserve">?). For proposal 5, I am not sure the motivation of the proposal. The deployment of the carrier is signaled in </w:t>
            </w:r>
            <w:r>
              <w:rPr>
                <w:b/>
                <w:i/>
              </w:rPr>
              <w:t>operationModeInfo</w:t>
            </w:r>
            <w:r>
              <w:rPr>
                <w:b/>
              </w:rPr>
              <w:t xml:space="preserve"> in MIB or </w:t>
            </w:r>
            <w:r>
              <w:rPr>
                <w:b/>
                <w:i/>
              </w:rPr>
              <w:t>inbandCarrierInfo</w:t>
            </w:r>
            <w:r>
              <w:rPr>
                <w:b/>
              </w:rPr>
              <w:t xml:space="preserve"> in SIB</w:t>
            </w:r>
            <w:r>
              <w:rPr>
                <w:szCs w:val="20"/>
                <w:lang w:eastAsia="zh-CN"/>
              </w:rPr>
              <w:t xml:space="preserve"> from Rel.13, why do we need the new proposal?</w:t>
            </w:r>
          </w:p>
          <w:p w14:paraId="7668675F" w14:textId="77777777" w:rsidR="00B66E0C" w:rsidRDefault="00557DA3">
            <w:pPr>
              <w:rPr>
                <w:szCs w:val="20"/>
                <w:lang w:eastAsia="zh-CN"/>
              </w:rPr>
            </w:pPr>
            <w:r>
              <w:rPr>
                <w:szCs w:val="20"/>
                <w:lang w:eastAsia="zh-CN"/>
              </w:rPr>
              <w:t xml:space="preserve">Do we want to clarify the </w:t>
            </w:r>
            <w:r>
              <w:rPr>
                <w:b/>
              </w:rPr>
              <w:t>16-QAM for NPDSCH is supported in non-anchor carrier?</w:t>
            </w:r>
          </w:p>
        </w:tc>
      </w:tr>
      <w:tr w:rsidR="00B66E0C" w14:paraId="63FA2936" w14:textId="77777777">
        <w:tc>
          <w:tcPr>
            <w:tcW w:w="1838" w:type="dxa"/>
          </w:tcPr>
          <w:p w14:paraId="6218DEBF" w14:textId="77777777" w:rsidR="00B66E0C" w:rsidRDefault="00557DA3">
            <w:pPr>
              <w:rPr>
                <w:szCs w:val="20"/>
                <w:lang w:eastAsia="zh-CN"/>
              </w:rPr>
            </w:pPr>
            <w:r>
              <w:rPr>
                <w:szCs w:val="20"/>
                <w:lang w:eastAsia="zh-CN"/>
              </w:rPr>
              <w:t>MTK</w:t>
            </w:r>
          </w:p>
        </w:tc>
        <w:tc>
          <w:tcPr>
            <w:tcW w:w="7469" w:type="dxa"/>
          </w:tcPr>
          <w:p w14:paraId="6F2642D0" w14:textId="77777777" w:rsidR="00B66E0C" w:rsidRDefault="00557DA3">
            <w:pPr>
              <w:rPr>
                <w:szCs w:val="20"/>
                <w:lang w:eastAsia="zh-CN"/>
              </w:rPr>
            </w:pPr>
            <w:r>
              <w:rPr>
                <w:szCs w:val="20"/>
                <w:lang w:eastAsia="zh-CN"/>
              </w:rPr>
              <w:t xml:space="preserve">Ok with proposal4.for proposal5, might be modified like this: </w:t>
            </w:r>
          </w:p>
          <w:p w14:paraId="29DE2850" w14:textId="77777777" w:rsidR="00B66E0C" w:rsidRDefault="00557DA3">
            <w:pPr>
              <w:rPr>
                <w:b/>
                <w:sz w:val="20"/>
                <w:szCs w:val="20"/>
              </w:rPr>
            </w:pPr>
            <w:r>
              <w:rPr>
                <w:b/>
              </w:rPr>
              <w:t xml:space="preserve">Proposal 5: For the UE configured with 16-QAM for NPDSCH, the </w:t>
            </w:r>
            <w:r>
              <w:rPr>
                <w:rFonts w:hint="eastAsia"/>
                <w:b/>
                <w:lang w:eastAsia="zh-CN"/>
              </w:rPr>
              <w:t>distinguishing</w:t>
            </w:r>
            <w:r>
              <w:rPr>
                <w:b/>
                <w:lang w:eastAsia="zh-CN"/>
              </w:rPr>
              <w:t xml:space="preserve"> of </w:t>
            </w:r>
            <w:r>
              <w:rPr>
                <w:rFonts w:hint="eastAsia"/>
                <w:b/>
                <w:lang w:eastAsia="zh-CN"/>
              </w:rPr>
              <w:t>ranges</w:t>
            </w:r>
            <w:r>
              <w:rPr>
                <w:b/>
                <w:lang w:eastAsia="zh-CN"/>
              </w:rPr>
              <w:t xml:space="preserve"> of </w:t>
            </w:r>
            <w:r>
              <w:rPr>
                <w:b/>
              </w:rPr>
              <w:t xml:space="preserve">TBS indices for IB and SA/GB should directly rely on </w:t>
            </w:r>
            <w:r>
              <w:rPr>
                <w:b/>
                <w:i/>
              </w:rPr>
              <w:t>operationModeInfo</w:t>
            </w:r>
            <w:r>
              <w:rPr>
                <w:b/>
              </w:rPr>
              <w:t xml:space="preserve"> in MIB or </w:t>
            </w:r>
            <w:r>
              <w:rPr>
                <w:b/>
                <w:i/>
              </w:rPr>
              <w:t>inbandCarrierInfo</w:t>
            </w:r>
            <w:r>
              <w:rPr>
                <w:b/>
              </w:rPr>
              <w:t xml:space="preserve"> in SIB.</w:t>
            </w:r>
            <w:r>
              <w:rPr>
                <w:b/>
                <w:sz w:val="20"/>
                <w:szCs w:val="20"/>
              </w:rPr>
              <w:t xml:space="preserve"> </w:t>
            </w:r>
          </w:p>
          <w:p w14:paraId="4ABD5D8D" w14:textId="77777777" w:rsidR="00B66E0C" w:rsidRDefault="00557DA3">
            <w:pPr>
              <w:ind w:left="420"/>
              <w:rPr>
                <w:b/>
              </w:rPr>
            </w:pPr>
            <w:r>
              <w:rPr>
                <w:b/>
                <w:sz w:val="20"/>
                <w:szCs w:val="20"/>
              </w:rPr>
              <w:lastRenderedPageBreak/>
              <w:t>Alternate1</w:t>
            </w:r>
            <w:r>
              <w:rPr>
                <w:rFonts w:hint="eastAsia"/>
                <w:b/>
                <w:sz w:val="20"/>
                <w:szCs w:val="20"/>
                <w:lang w:eastAsia="zh-CN"/>
              </w:rPr>
              <w:t>：</w:t>
            </w:r>
            <w:r>
              <w:rPr>
                <w:b/>
                <w:sz w:val="20"/>
                <w:szCs w:val="20"/>
              </w:rPr>
              <w:t>Set two TBS indices columns in the MCS-to-TBS mapping table for SA/GB and IB respectively</w:t>
            </w:r>
          </w:p>
          <w:p w14:paraId="5DBAD7EB" w14:textId="77777777" w:rsidR="00B66E0C" w:rsidRDefault="00557DA3">
            <w:pPr>
              <w:rPr>
                <w:szCs w:val="20"/>
                <w:lang w:eastAsia="zh-CN"/>
              </w:rPr>
            </w:pPr>
            <w:r>
              <w:rPr>
                <w:b/>
              </w:rPr>
              <w:t xml:space="preserve"> </w:t>
            </w:r>
          </w:p>
        </w:tc>
      </w:tr>
      <w:tr w:rsidR="00B66E0C" w14:paraId="0FFA7A07" w14:textId="77777777">
        <w:tc>
          <w:tcPr>
            <w:tcW w:w="1838" w:type="dxa"/>
          </w:tcPr>
          <w:p w14:paraId="0F0BEA77" w14:textId="77777777" w:rsidR="00B66E0C" w:rsidRDefault="00557DA3">
            <w:pPr>
              <w:rPr>
                <w:szCs w:val="20"/>
                <w:lang w:eastAsia="zh-CN"/>
              </w:rPr>
            </w:pPr>
            <w:r>
              <w:rPr>
                <w:rFonts w:hint="eastAsia"/>
                <w:szCs w:val="20"/>
                <w:lang w:eastAsia="zh-CN"/>
              </w:rPr>
              <w:lastRenderedPageBreak/>
              <w:t>ZTE, Sanechips</w:t>
            </w:r>
          </w:p>
        </w:tc>
        <w:tc>
          <w:tcPr>
            <w:tcW w:w="7469" w:type="dxa"/>
          </w:tcPr>
          <w:p w14:paraId="572E95A5" w14:textId="77777777" w:rsidR="00B66E0C" w:rsidRDefault="00557DA3">
            <w:pPr>
              <w:rPr>
                <w:szCs w:val="20"/>
                <w:lang w:eastAsia="zh-CN"/>
              </w:rPr>
            </w:pPr>
            <w:r>
              <w:rPr>
                <w:rFonts w:hint="eastAsia"/>
                <w:szCs w:val="20"/>
                <w:lang w:eastAsia="zh-CN"/>
              </w:rPr>
              <w:t>For Proposal 4, we should wait for the conclusion of uplink power control, since the reserved DCI bits under this work assumption would be not enough if dynamic TPC command is supported.</w:t>
            </w:r>
          </w:p>
          <w:p w14:paraId="312FC08C" w14:textId="77777777" w:rsidR="00B66E0C" w:rsidRDefault="00557DA3">
            <w:pPr>
              <w:rPr>
                <w:b/>
              </w:rPr>
            </w:pPr>
            <w:r>
              <w:rPr>
                <w:rFonts w:hint="eastAsia"/>
                <w:szCs w:val="20"/>
                <w:lang w:eastAsia="zh-CN"/>
              </w:rPr>
              <w:t xml:space="preserve">Agree with Proposal 5. </w:t>
            </w:r>
          </w:p>
        </w:tc>
      </w:tr>
      <w:tr w:rsidR="00B66E0C" w14:paraId="47A772E9" w14:textId="77777777">
        <w:tc>
          <w:tcPr>
            <w:tcW w:w="1838" w:type="dxa"/>
          </w:tcPr>
          <w:p w14:paraId="172816BE" w14:textId="77777777" w:rsidR="00B66E0C" w:rsidRDefault="00557DA3">
            <w:pPr>
              <w:rPr>
                <w:szCs w:val="20"/>
                <w:lang w:eastAsia="zh-CN"/>
              </w:rPr>
            </w:pPr>
            <w:r>
              <w:rPr>
                <w:szCs w:val="20"/>
                <w:lang w:eastAsia="zh-CN"/>
              </w:rPr>
              <w:t>Nokia, NSB</w:t>
            </w:r>
          </w:p>
        </w:tc>
        <w:tc>
          <w:tcPr>
            <w:tcW w:w="7469" w:type="dxa"/>
          </w:tcPr>
          <w:p w14:paraId="77FD3356" w14:textId="77777777" w:rsidR="00B66E0C" w:rsidRDefault="00557DA3">
            <w:pPr>
              <w:rPr>
                <w:szCs w:val="20"/>
                <w:lang w:eastAsia="zh-CN"/>
              </w:rPr>
            </w:pPr>
            <w:r>
              <w:rPr>
                <w:szCs w:val="20"/>
                <w:lang w:eastAsia="zh-CN"/>
              </w:rPr>
              <w:t>We support proposal 4 and 5.</w:t>
            </w:r>
          </w:p>
        </w:tc>
      </w:tr>
      <w:tr w:rsidR="00B66E0C" w14:paraId="1040C6E4" w14:textId="77777777">
        <w:tc>
          <w:tcPr>
            <w:tcW w:w="1838" w:type="dxa"/>
          </w:tcPr>
          <w:p w14:paraId="7DF03A78" w14:textId="77777777" w:rsidR="00B66E0C" w:rsidRDefault="00557DA3">
            <w:pPr>
              <w:rPr>
                <w:szCs w:val="20"/>
                <w:lang w:eastAsia="zh-CN"/>
              </w:rPr>
            </w:pPr>
            <w:r>
              <w:rPr>
                <w:szCs w:val="20"/>
                <w:lang w:eastAsia="zh-CN"/>
              </w:rPr>
              <w:t>Qualcomm</w:t>
            </w:r>
          </w:p>
        </w:tc>
        <w:tc>
          <w:tcPr>
            <w:tcW w:w="7469" w:type="dxa"/>
          </w:tcPr>
          <w:p w14:paraId="04000808" w14:textId="77777777" w:rsidR="00B66E0C" w:rsidRDefault="00557DA3">
            <w:pPr>
              <w:rPr>
                <w:szCs w:val="20"/>
                <w:lang w:eastAsia="zh-CN"/>
              </w:rPr>
            </w:pPr>
            <w:r>
              <w:rPr>
                <w:szCs w:val="20"/>
                <w:lang w:eastAsia="zh-CN"/>
              </w:rPr>
              <w:t>We agree with proposal 4. Proposal 5 seems unnecessary (it should be clear by now how the operation mode is signaled).</w:t>
            </w:r>
          </w:p>
        </w:tc>
      </w:tr>
    </w:tbl>
    <w:p w14:paraId="201AE435" w14:textId="77777777" w:rsidR="00B66E0C" w:rsidRDefault="00B66E0C"/>
    <w:p w14:paraId="42B194C1" w14:textId="77777777" w:rsidR="00B66E0C" w:rsidRDefault="00B66E0C"/>
    <w:p w14:paraId="31A47F3D" w14:textId="77777777" w:rsidR="00B66E0C" w:rsidRDefault="00557DA3">
      <w:pPr>
        <w:pStyle w:val="2"/>
        <w:rPr>
          <w:lang w:eastAsia="zh-CN"/>
        </w:rPr>
      </w:pPr>
      <w:r>
        <w:rPr>
          <w:lang w:eastAsia="zh-CN"/>
        </w:rPr>
        <w:t>Power allocation and power control</w:t>
      </w:r>
    </w:p>
    <w:p w14:paraId="0EB219CF" w14:textId="77777777" w:rsidR="00B66E0C" w:rsidRDefault="00557DA3">
      <w:pPr>
        <w:pStyle w:val="30"/>
      </w:pPr>
      <w:r>
        <w:rPr>
          <w:lang w:eastAsia="zh-CN"/>
        </w:rPr>
        <w:t>Issue 3: downlink power allocation</w:t>
      </w:r>
    </w:p>
    <w:p w14:paraId="6194DB16" w14:textId="77777777" w:rsidR="00B66E0C" w:rsidRDefault="00557DA3">
      <w:r>
        <w:rPr>
          <w:rFonts w:hint="eastAsia"/>
        </w:rPr>
        <w:t xml:space="preserve">There are following proposals on </w:t>
      </w:r>
      <w:r>
        <w:t>power allocation</w:t>
      </w:r>
    </w:p>
    <w:tbl>
      <w:tblPr>
        <w:tblStyle w:val="af1"/>
        <w:tblW w:w="0" w:type="auto"/>
        <w:tblLook w:val="04A0" w:firstRow="1" w:lastRow="0" w:firstColumn="1" w:lastColumn="0" w:noHBand="0" w:noVBand="1"/>
      </w:tblPr>
      <w:tblGrid>
        <w:gridCol w:w="1838"/>
        <w:gridCol w:w="7469"/>
      </w:tblGrid>
      <w:tr w:rsidR="00B66E0C" w14:paraId="6EB77C46" w14:textId="77777777">
        <w:tc>
          <w:tcPr>
            <w:tcW w:w="1838" w:type="dxa"/>
          </w:tcPr>
          <w:p w14:paraId="26A5C05F" w14:textId="77777777" w:rsidR="00B66E0C" w:rsidRDefault="00557DA3">
            <w:pPr>
              <w:rPr>
                <w:szCs w:val="20"/>
              </w:rPr>
            </w:pPr>
            <w:r>
              <w:rPr>
                <w:rFonts w:hint="eastAsia"/>
                <w:szCs w:val="20"/>
              </w:rPr>
              <w:t>Sourcing</w:t>
            </w:r>
          </w:p>
        </w:tc>
        <w:tc>
          <w:tcPr>
            <w:tcW w:w="7469" w:type="dxa"/>
          </w:tcPr>
          <w:p w14:paraId="3FD1CD23" w14:textId="77777777" w:rsidR="00B66E0C" w:rsidRDefault="00557DA3">
            <w:pPr>
              <w:rPr>
                <w:szCs w:val="20"/>
              </w:rPr>
            </w:pPr>
            <w:r>
              <w:rPr>
                <w:rFonts w:hint="eastAsia"/>
                <w:szCs w:val="20"/>
              </w:rPr>
              <w:t>proposals</w:t>
            </w:r>
          </w:p>
        </w:tc>
      </w:tr>
      <w:tr w:rsidR="00B66E0C" w14:paraId="7B5DDA5F" w14:textId="77777777">
        <w:tc>
          <w:tcPr>
            <w:tcW w:w="1838" w:type="dxa"/>
          </w:tcPr>
          <w:p w14:paraId="10276AFD" w14:textId="77777777" w:rsidR="00B66E0C" w:rsidRDefault="00557DA3">
            <w:pPr>
              <w:rPr>
                <w:szCs w:val="20"/>
              </w:rPr>
            </w:pPr>
            <w:r>
              <w:rPr>
                <w:rFonts w:hint="eastAsia"/>
                <w:szCs w:val="20"/>
              </w:rPr>
              <w:t>[</w:t>
            </w:r>
            <w:r>
              <w:rPr>
                <w:szCs w:val="20"/>
              </w:rPr>
              <w:t>2]</w:t>
            </w:r>
          </w:p>
        </w:tc>
        <w:tc>
          <w:tcPr>
            <w:tcW w:w="7469" w:type="dxa"/>
          </w:tcPr>
          <w:p w14:paraId="53403291" w14:textId="77777777" w:rsidR="00B66E0C" w:rsidRDefault="00557DA3">
            <w:pPr>
              <w:rPr>
                <w:b/>
                <w:bCs/>
                <w:lang w:eastAsia="zh-CN"/>
              </w:rPr>
            </w:pPr>
            <w:r>
              <w:rPr>
                <w:b/>
                <w:bCs/>
                <w:lang w:eastAsia="zh-CN"/>
              </w:rPr>
              <w:t>Proposal 6: The working assumption for DL power allocation to support 16QAM for guard-band and standalone deployments should be confirmed.</w:t>
            </w:r>
          </w:p>
          <w:p w14:paraId="60E0C987" w14:textId="77777777" w:rsidR="00B66E0C" w:rsidRDefault="00557DA3">
            <w:pPr>
              <w:rPr>
                <w:b/>
                <w:highlight w:val="darkYellow"/>
              </w:rPr>
            </w:pPr>
            <w:r>
              <w:rPr>
                <w:b/>
                <w:highlight w:val="darkYellow"/>
              </w:rPr>
              <w:t>Working Assumption</w:t>
            </w:r>
          </w:p>
          <w:p w14:paraId="2AA02C9E" w14:textId="77777777" w:rsidR="00B66E0C" w:rsidRDefault="00557DA3">
            <w:pPr>
              <w:autoSpaceDE/>
              <w:autoSpaceDN/>
              <w:adjustRightInd/>
              <w:snapToGrid/>
              <w:spacing w:after="0"/>
              <w:jc w:val="left"/>
              <w:rPr>
                <w:rFonts w:eastAsia="Batang"/>
                <w:bCs/>
                <w:lang w:val="en-GB" w:eastAsia="zh-CN"/>
              </w:rPr>
            </w:pPr>
            <w:r>
              <w:rPr>
                <w:rFonts w:eastAsia="Batang"/>
                <w:bCs/>
                <w:lang w:val="en-GB" w:eastAsia="zh-CN"/>
              </w:rPr>
              <w:t>For downlink power allocation to support 16QAM:</w:t>
            </w:r>
          </w:p>
          <w:p w14:paraId="5DDC6471" w14:textId="77777777" w:rsidR="00B66E0C" w:rsidRDefault="00557DA3">
            <w:pPr>
              <w:numPr>
                <w:ilvl w:val="0"/>
                <w:numId w:val="22"/>
              </w:numPr>
              <w:autoSpaceDE/>
              <w:autoSpaceDN/>
              <w:adjustRightInd/>
              <w:snapToGrid/>
              <w:spacing w:after="0"/>
              <w:jc w:val="left"/>
              <w:rPr>
                <w:rFonts w:eastAsia="Batang"/>
                <w:bCs/>
                <w:lang w:val="en-GB" w:eastAsia="zh-CN"/>
              </w:rPr>
            </w:pPr>
            <w:r>
              <w:rPr>
                <w:rFonts w:eastAsia="Batang"/>
                <w:bCs/>
                <w:lang w:val="en-GB" w:eastAsia="zh-CN"/>
              </w:rPr>
              <w:t>For standalone and guard-band deployments:</w:t>
            </w:r>
          </w:p>
          <w:p w14:paraId="6B0621FC" w14:textId="77777777" w:rsidR="00B66E0C" w:rsidRDefault="00557DA3">
            <w:pPr>
              <w:numPr>
                <w:ilvl w:val="1"/>
                <w:numId w:val="22"/>
              </w:numPr>
              <w:autoSpaceDE/>
              <w:autoSpaceDN/>
              <w:adjustRightInd/>
              <w:snapToGrid/>
              <w:spacing w:after="0"/>
              <w:jc w:val="left"/>
              <w:rPr>
                <w:rFonts w:eastAsia="Batang"/>
                <w:bCs/>
                <w:lang w:val="en-GB" w:eastAsia="zh-CN"/>
              </w:rPr>
            </w:pPr>
            <w:r>
              <w:rPr>
                <w:rFonts w:eastAsia="Batang"/>
                <w:bCs/>
                <w:lang w:val="en-GB" w:eastAsia="zh-CN"/>
              </w:rPr>
              <w:t>One power ratio is signaled optionally</w:t>
            </w:r>
          </w:p>
          <w:p w14:paraId="65529FB4" w14:textId="77777777" w:rsidR="00B66E0C" w:rsidRDefault="00557DA3">
            <w:pPr>
              <w:numPr>
                <w:ilvl w:val="2"/>
                <w:numId w:val="22"/>
              </w:numPr>
              <w:autoSpaceDE/>
              <w:autoSpaceDN/>
              <w:adjustRightInd/>
              <w:snapToGrid/>
              <w:spacing w:after="0"/>
              <w:jc w:val="left"/>
              <w:rPr>
                <w:rFonts w:eastAsia="Batang"/>
                <w:bCs/>
                <w:lang w:val="en-GB" w:eastAsia="zh-CN"/>
              </w:rPr>
            </w:pPr>
            <w:r>
              <w:rPr>
                <w:rFonts w:eastAsia="Batang"/>
                <w:bCs/>
                <w:lang w:val="en-GB" w:eastAsia="zh-CN"/>
              </w:rPr>
              <w:t>NPDSCH EPRE to NRS EPRE in symbols without NRS</w:t>
            </w:r>
          </w:p>
          <w:p w14:paraId="2DC5B09B" w14:textId="77777777" w:rsidR="00B66E0C" w:rsidRDefault="00557DA3">
            <w:pPr>
              <w:numPr>
                <w:ilvl w:val="1"/>
                <w:numId w:val="22"/>
              </w:numPr>
              <w:autoSpaceDE/>
              <w:autoSpaceDN/>
              <w:adjustRightInd/>
              <w:snapToGrid/>
              <w:spacing w:after="0"/>
              <w:jc w:val="left"/>
              <w:rPr>
                <w:rFonts w:eastAsia="Batang"/>
                <w:bCs/>
                <w:lang w:val="en-GB" w:eastAsia="zh-CN"/>
              </w:rPr>
            </w:pPr>
            <w:r>
              <w:rPr>
                <w:rFonts w:eastAsia="Batang"/>
                <w:bCs/>
                <w:lang w:val="en-GB" w:eastAsia="zh-CN"/>
              </w:rPr>
              <w:t>The same transmit power is assumed across different symbols.</w:t>
            </w:r>
          </w:p>
          <w:p w14:paraId="1414F996" w14:textId="77777777" w:rsidR="00B66E0C" w:rsidRDefault="00557DA3">
            <w:pPr>
              <w:numPr>
                <w:ilvl w:val="1"/>
                <w:numId w:val="22"/>
              </w:numPr>
              <w:autoSpaceDE/>
              <w:autoSpaceDN/>
              <w:adjustRightInd/>
              <w:snapToGrid/>
              <w:spacing w:after="0"/>
              <w:jc w:val="left"/>
              <w:rPr>
                <w:rFonts w:eastAsia="Batang"/>
                <w:bCs/>
                <w:lang w:val="en-GB" w:eastAsia="zh-CN"/>
              </w:rPr>
            </w:pPr>
            <w:r>
              <w:rPr>
                <w:rFonts w:eastAsia="Batang"/>
                <w:bCs/>
                <w:lang w:val="en-GB" w:eastAsia="zh-CN"/>
              </w:rPr>
              <w:t>If the signaling is not indicated, the legacy power allocation is used.</w:t>
            </w:r>
          </w:p>
          <w:p w14:paraId="03B7A9B7" w14:textId="77777777" w:rsidR="00B66E0C" w:rsidRDefault="00557DA3">
            <w:pPr>
              <w:numPr>
                <w:ilvl w:val="2"/>
                <w:numId w:val="22"/>
              </w:numPr>
              <w:autoSpaceDE/>
              <w:autoSpaceDN/>
              <w:adjustRightInd/>
              <w:snapToGrid/>
              <w:spacing w:after="0"/>
              <w:jc w:val="left"/>
              <w:rPr>
                <w:rFonts w:eastAsia="Batang"/>
                <w:bCs/>
                <w:lang w:val="en-GB" w:eastAsia="zh-CN"/>
              </w:rPr>
            </w:pPr>
            <w:r>
              <w:rPr>
                <w:rFonts w:eastAsia="Batang"/>
                <w:bCs/>
                <w:lang w:val="en-GB" w:eastAsia="zh-CN"/>
              </w:rPr>
              <w:t>i.e., the ratio of NPDSCH EPRE to NRS EPRE is 0dB for one NRS antenna port, and -3dB for two NRS antenna ports</w:t>
            </w:r>
          </w:p>
          <w:p w14:paraId="37F68A21" w14:textId="77777777" w:rsidR="00B66E0C" w:rsidRDefault="00557DA3">
            <w:pPr>
              <w:numPr>
                <w:ilvl w:val="0"/>
                <w:numId w:val="22"/>
              </w:numPr>
              <w:autoSpaceDE/>
              <w:autoSpaceDN/>
              <w:adjustRightInd/>
              <w:snapToGrid/>
              <w:spacing w:after="0"/>
              <w:jc w:val="left"/>
              <w:rPr>
                <w:rFonts w:eastAsia="Batang"/>
                <w:bCs/>
                <w:lang w:val="en-GB" w:eastAsia="zh-CN"/>
              </w:rPr>
            </w:pPr>
            <w:r>
              <w:rPr>
                <w:rFonts w:eastAsia="Batang"/>
                <w:bCs/>
                <w:lang w:val="en-GB" w:eastAsia="zh-CN"/>
              </w:rPr>
              <w:t>UE specific signaling is used</w:t>
            </w:r>
          </w:p>
          <w:p w14:paraId="081DD3C2" w14:textId="77777777" w:rsidR="00B66E0C" w:rsidRDefault="00557DA3">
            <w:pPr>
              <w:rPr>
                <w:b/>
                <w:bCs/>
                <w:szCs w:val="21"/>
                <w:lang w:eastAsia="zh-CN"/>
              </w:rPr>
            </w:pPr>
            <w:r>
              <w:rPr>
                <w:b/>
                <w:bCs/>
                <w:szCs w:val="21"/>
                <w:lang w:eastAsia="zh-CN"/>
              </w:rPr>
              <w:t>Proposal 7: Support Alt-2 for in-band deployments in the DL power allocation signaling.</w:t>
            </w:r>
          </w:p>
          <w:p w14:paraId="7B515CB1" w14:textId="77777777" w:rsidR="00B66E0C" w:rsidRDefault="00B66E0C">
            <w:pPr>
              <w:rPr>
                <w:szCs w:val="20"/>
              </w:rPr>
            </w:pPr>
          </w:p>
        </w:tc>
      </w:tr>
      <w:tr w:rsidR="00B66E0C" w14:paraId="1F673221" w14:textId="77777777">
        <w:tc>
          <w:tcPr>
            <w:tcW w:w="1838" w:type="dxa"/>
          </w:tcPr>
          <w:p w14:paraId="5A8F7A40" w14:textId="77777777" w:rsidR="00B66E0C" w:rsidRDefault="00557DA3">
            <w:pPr>
              <w:rPr>
                <w:szCs w:val="20"/>
              </w:rPr>
            </w:pPr>
            <w:r>
              <w:rPr>
                <w:rFonts w:hint="eastAsia"/>
                <w:szCs w:val="20"/>
              </w:rPr>
              <w:t>[</w:t>
            </w:r>
            <w:r>
              <w:rPr>
                <w:szCs w:val="20"/>
              </w:rPr>
              <w:t>3]</w:t>
            </w:r>
          </w:p>
        </w:tc>
        <w:tc>
          <w:tcPr>
            <w:tcW w:w="7469" w:type="dxa"/>
          </w:tcPr>
          <w:p w14:paraId="4D51E050" w14:textId="77777777" w:rsidR="00B66E0C" w:rsidRDefault="00557DA3">
            <w:pPr>
              <w:rPr>
                <w:b/>
                <w:bCs/>
              </w:rPr>
            </w:pPr>
            <w:r>
              <w:rPr>
                <w:b/>
                <w:bCs/>
              </w:rPr>
              <w:t xml:space="preserve">Proposal 6: Confirm the working assumption on DL power allocation for stand-alone and guard-band deployments from RAN1#105-e. </w:t>
            </w:r>
          </w:p>
          <w:p w14:paraId="59172897" w14:textId="77777777" w:rsidR="00B66E0C" w:rsidRDefault="00557DA3">
            <w:pPr>
              <w:rPr>
                <w:b/>
                <w:bCs/>
              </w:rPr>
            </w:pPr>
            <w:r>
              <w:rPr>
                <w:b/>
                <w:bCs/>
              </w:rPr>
              <w:t xml:space="preserve">Proposal 7: For in-band deployment, select Alt 1 - the existing parameter nrs-CRS-PowerOffset is reused for same PCI case, and is signaled for different PCI case. </w:t>
            </w:r>
          </w:p>
          <w:p w14:paraId="687D064A" w14:textId="77777777" w:rsidR="00B66E0C" w:rsidRDefault="00B66E0C">
            <w:pPr>
              <w:rPr>
                <w:b/>
                <w:bCs/>
              </w:rPr>
            </w:pPr>
          </w:p>
        </w:tc>
      </w:tr>
      <w:tr w:rsidR="00B66E0C" w14:paraId="3CE0DB7D" w14:textId="77777777">
        <w:tc>
          <w:tcPr>
            <w:tcW w:w="1838" w:type="dxa"/>
          </w:tcPr>
          <w:p w14:paraId="54FAEF62" w14:textId="77777777" w:rsidR="00B66E0C" w:rsidRDefault="00557DA3">
            <w:pPr>
              <w:rPr>
                <w:szCs w:val="20"/>
              </w:rPr>
            </w:pPr>
            <w:r>
              <w:rPr>
                <w:rFonts w:hint="eastAsia"/>
                <w:szCs w:val="20"/>
              </w:rPr>
              <w:t>[</w:t>
            </w:r>
            <w:r>
              <w:rPr>
                <w:szCs w:val="20"/>
              </w:rPr>
              <w:t>4]</w:t>
            </w:r>
          </w:p>
        </w:tc>
        <w:tc>
          <w:tcPr>
            <w:tcW w:w="7469" w:type="dxa"/>
          </w:tcPr>
          <w:p w14:paraId="39BE62CF" w14:textId="77777777" w:rsidR="00B66E0C" w:rsidRDefault="00557DA3">
            <w:pPr>
              <w:rPr>
                <w:b/>
                <w:bCs/>
              </w:rPr>
            </w:pPr>
            <w:r>
              <w:rPr>
                <w:b/>
                <w:bCs/>
                <w:u w:val="single"/>
              </w:rPr>
              <w:t>Proposal 2:</w:t>
            </w:r>
            <w:r>
              <w:t xml:space="preserve"> </w:t>
            </w:r>
            <w:r>
              <w:rPr>
                <w:b/>
                <w:bCs/>
              </w:rPr>
              <w:t>Confirm the following working assumption:</w:t>
            </w:r>
          </w:p>
          <w:p w14:paraId="57E181BB" w14:textId="77777777" w:rsidR="00B66E0C" w:rsidRDefault="00557DA3">
            <w:pPr>
              <w:pStyle w:val="a6"/>
              <w:spacing w:after="0"/>
              <w:ind w:left="360"/>
              <w:rPr>
                <w:rFonts w:ascii="Times" w:hAnsi="Times" w:cs="Times"/>
              </w:rPr>
            </w:pPr>
            <w:r>
              <w:rPr>
                <w:rFonts w:ascii="Times" w:hAnsi="Times" w:cs="Times"/>
              </w:rPr>
              <w:t>For downlink power allocation to support 16QAM:</w:t>
            </w:r>
          </w:p>
          <w:p w14:paraId="013AB74F" w14:textId="77777777" w:rsidR="00B66E0C" w:rsidRDefault="00557DA3">
            <w:pPr>
              <w:pStyle w:val="af7"/>
              <w:numPr>
                <w:ilvl w:val="0"/>
                <w:numId w:val="17"/>
              </w:numPr>
              <w:spacing w:line="240" w:lineRule="auto"/>
              <w:ind w:left="1080"/>
              <w:rPr>
                <w:rFonts w:cs="Times"/>
                <w:b/>
                <w:bCs/>
              </w:rPr>
            </w:pPr>
            <w:r>
              <w:rPr>
                <w:rFonts w:cs="Times"/>
                <w:b/>
                <w:bCs/>
              </w:rPr>
              <w:lastRenderedPageBreak/>
              <w:t>For standalone and guard-band deployments:</w:t>
            </w:r>
          </w:p>
          <w:p w14:paraId="4496F30B" w14:textId="77777777" w:rsidR="00B66E0C" w:rsidRDefault="00557DA3">
            <w:pPr>
              <w:pStyle w:val="af7"/>
              <w:numPr>
                <w:ilvl w:val="1"/>
                <w:numId w:val="17"/>
              </w:numPr>
              <w:spacing w:line="240" w:lineRule="auto"/>
              <w:ind w:left="1800"/>
              <w:rPr>
                <w:rFonts w:cs="Times"/>
                <w:b/>
                <w:bCs/>
              </w:rPr>
            </w:pPr>
            <w:r>
              <w:rPr>
                <w:rFonts w:cs="Times"/>
                <w:b/>
                <w:bCs/>
              </w:rPr>
              <w:t>One power ratio is signaled optionally</w:t>
            </w:r>
          </w:p>
          <w:p w14:paraId="6DF6C051" w14:textId="77777777" w:rsidR="00B66E0C" w:rsidRDefault="00557DA3">
            <w:pPr>
              <w:pStyle w:val="af7"/>
              <w:numPr>
                <w:ilvl w:val="2"/>
                <w:numId w:val="17"/>
              </w:numPr>
              <w:spacing w:line="240" w:lineRule="auto"/>
              <w:ind w:left="2520"/>
              <w:rPr>
                <w:rFonts w:cs="Times"/>
                <w:b/>
                <w:bCs/>
              </w:rPr>
            </w:pPr>
            <w:r>
              <w:rPr>
                <w:rFonts w:cs="Times"/>
                <w:b/>
                <w:bCs/>
              </w:rPr>
              <w:t>NPDSCH EPRE to NRS EPRE in symbols without NRS</w:t>
            </w:r>
          </w:p>
          <w:p w14:paraId="2E3CC821" w14:textId="77777777" w:rsidR="00B66E0C" w:rsidRDefault="00557DA3">
            <w:pPr>
              <w:pStyle w:val="af7"/>
              <w:numPr>
                <w:ilvl w:val="1"/>
                <w:numId w:val="17"/>
              </w:numPr>
              <w:spacing w:line="240" w:lineRule="auto"/>
              <w:ind w:left="1800"/>
              <w:rPr>
                <w:rFonts w:cs="Times"/>
                <w:b/>
                <w:bCs/>
              </w:rPr>
            </w:pPr>
            <w:r>
              <w:rPr>
                <w:rFonts w:cs="Times"/>
                <w:b/>
                <w:bCs/>
              </w:rPr>
              <w:t>The same transmit power is assumed across different symbols.</w:t>
            </w:r>
          </w:p>
          <w:p w14:paraId="6CD6789F" w14:textId="77777777" w:rsidR="00B66E0C" w:rsidRDefault="00557DA3">
            <w:pPr>
              <w:pStyle w:val="af7"/>
              <w:numPr>
                <w:ilvl w:val="1"/>
                <w:numId w:val="17"/>
              </w:numPr>
              <w:spacing w:line="240" w:lineRule="auto"/>
              <w:ind w:left="1800"/>
              <w:rPr>
                <w:rFonts w:cs="Times"/>
                <w:b/>
                <w:bCs/>
              </w:rPr>
            </w:pPr>
            <w:r>
              <w:rPr>
                <w:rFonts w:cs="Times"/>
                <w:b/>
                <w:bCs/>
              </w:rPr>
              <w:t>If the signalling is not indicated, the legacy power allocation is used.</w:t>
            </w:r>
          </w:p>
          <w:p w14:paraId="7ADE5568" w14:textId="77777777" w:rsidR="00B66E0C" w:rsidRDefault="00557DA3">
            <w:pPr>
              <w:pStyle w:val="af7"/>
              <w:numPr>
                <w:ilvl w:val="2"/>
                <w:numId w:val="17"/>
              </w:numPr>
              <w:spacing w:line="240" w:lineRule="auto"/>
              <w:ind w:left="2520"/>
              <w:rPr>
                <w:rFonts w:cs="Times"/>
                <w:b/>
                <w:bCs/>
              </w:rPr>
            </w:pPr>
            <w:r>
              <w:rPr>
                <w:rFonts w:cs="Times"/>
                <w:b/>
                <w:bCs/>
              </w:rPr>
              <w:t>i.e., the ratio of NPDSCH EPRE to NRS EPRE is 0dB for one NRS antenna port, and -3dB for two NRS antenna ports</w:t>
            </w:r>
          </w:p>
          <w:p w14:paraId="3E7F7B7B" w14:textId="77777777" w:rsidR="00B66E0C" w:rsidRDefault="00557DA3">
            <w:pPr>
              <w:pStyle w:val="af7"/>
              <w:numPr>
                <w:ilvl w:val="0"/>
                <w:numId w:val="17"/>
              </w:numPr>
              <w:spacing w:line="240" w:lineRule="auto"/>
              <w:ind w:left="1080"/>
              <w:rPr>
                <w:rFonts w:cs="Times"/>
                <w:b/>
                <w:bCs/>
              </w:rPr>
            </w:pPr>
            <w:r>
              <w:rPr>
                <w:rFonts w:cs="Times"/>
                <w:b/>
                <w:bCs/>
              </w:rPr>
              <w:t>UE specific signalling is used</w:t>
            </w:r>
          </w:p>
          <w:p w14:paraId="3BB0EB89" w14:textId="77777777" w:rsidR="00B66E0C" w:rsidRDefault="00557DA3">
            <w:pPr>
              <w:shd w:val="clear" w:color="auto" w:fill="FFFFFF"/>
              <w:rPr>
                <w:b/>
                <w:bCs/>
                <w:lang w:eastAsia="zh-CN"/>
              </w:rPr>
            </w:pPr>
            <w:r>
              <w:rPr>
                <w:b/>
                <w:bCs/>
                <w:u w:val="single"/>
                <w:lang w:eastAsia="zh-CN"/>
              </w:rPr>
              <w:t>Proposal 3:</w:t>
            </w:r>
            <w:r>
              <w:rPr>
                <w:b/>
                <w:bCs/>
                <w:lang w:eastAsia="zh-CN"/>
              </w:rPr>
              <w:t xml:space="preserve"> For downlink power allocation to support 16QAM in in-band deployments, the following option is selected:</w:t>
            </w:r>
          </w:p>
          <w:p w14:paraId="0D48B60C" w14:textId="77777777" w:rsidR="00B66E0C" w:rsidRDefault="00557DA3">
            <w:pPr>
              <w:numPr>
                <w:ilvl w:val="1"/>
                <w:numId w:val="23"/>
              </w:numPr>
              <w:autoSpaceDE/>
              <w:autoSpaceDN/>
              <w:adjustRightInd/>
              <w:snapToGrid/>
              <w:spacing w:after="0" w:line="240" w:lineRule="auto"/>
              <w:jc w:val="left"/>
              <w:rPr>
                <w:rFonts w:cs="Times"/>
                <w:b/>
                <w:bCs/>
                <w:lang w:eastAsia="zh-CN"/>
              </w:rPr>
            </w:pPr>
            <w:r>
              <w:rPr>
                <w:rFonts w:cs="Times"/>
                <w:b/>
                <w:bCs/>
                <w:lang w:eastAsia="zh-CN"/>
              </w:rPr>
              <w:t xml:space="preserve">Alt 2: </w:t>
            </w:r>
          </w:p>
          <w:p w14:paraId="397CA494" w14:textId="77777777" w:rsidR="00B66E0C" w:rsidRDefault="00557DA3">
            <w:pPr>
              <w:numPr>
                <w:ilvl w:val="2"/>
                <w:numId w:val="23"/>
              </w:numPr>
              <w:autoSpaceDE/>
              <w:autoSpaceDN/>
              <w:adjustRightInd/>
              <w:snapToGrid/>
              <w:spacing w:after="0" w:line="240" w:lineRule="auto"/>
              <w:jc w:val="left"/>
              <w:rPr>
                <w:b/>
                <w:bCs/>
                <w:lang w:eastAsia="zh-CN"/>
              </w:rPr>
            </w:pPr>
            <w:r>
              <w:rPr>
                <w:b/>
                <w:bCs/>
                <w:lang w:eastAsia="zh-CN"/>
              </w:rPr>
              <w:t>the power ratio between NPDSCH EPRE and NRS EPRE in symbols with CRS is signaled.</w:t>
            </w:r>
          </w:p>
          <w:p w14:paraId="7DC2A0C5" w14:textId="77777777" w:rsidR="00B66E0C" w:rsidRDefault="00B66E0C">
            <w:pPr>
              <w:spacing w:after="0"/>
              <w:ind w:left="2160"/>
              <w:rPr>
                <w:b/>
                <w:bCs/>
                <w:lang w:eastAsia="zh-CN"/>
              </w:rPr>
            </w:pPr>
          </w:p>
          <w:p w14:paraId="2E9EB20F" w14:textId="77777777" w:rsidR="00B66E0C" w:rsidRDefault="00557DA3">
            <w:pPr>
              <w:spacing w:after="0"/>
              <w:rPr>
                <w:b/>
                <w:bCs/>
                <w:lang w:eastAsia="zh-CN"/>
              </w:rPr>
            </w:pPr>
            <w:r>
              <w:rPr>
                <w:b/>
                <w:bCs/>
                <w:u w:val="single"/>
                <w:lang w:eastAsia="zh-CN"/>
              </w:rPr>
              <w:t>Proposal 4:</w:t>
            </w:r>
            <w:r>
              <w:rPr>
                <w:b/>
                <w:bCs/>
                <w:lang w:eastAsia="zh-CN"/>
              </w:rPr>
              <w:t xml:space="preserve"> For in-band deployments, the power ratio between NPDSCH EPRE and NRS EPRE in symbols with NRS is calculated assuming constant power across symbols with NRS and symbols without NRS or CRS.</w:t>
            </w:r>
          </w:p>
          <w:p w14:paraId="1921B31B" w14:textId="77777777" w:rsidR="00B66E0C" w:rsidRDefault="00B66E0C">
            <w:pPr>
              <w:rPr>
                <w:b/>
                <w:bCs/>
                <w:szCs w:val="20"/>
                <w:lang w:eastAsia="en-GB"/>
              </w:rPr>
            </w:pPr>
          </w:p>
        </w:tc>
      </w:tr>
      <w:tr w:rsidR="00B66E0C" w14:paraId="22BB191D" w14:textId="77777777">
        <w:tc>
          <w:tcPr>
            <w:tcW w:w="1838" w:type="dxa"/>
          </w:tcPr>
          <w:p w14:paraId="19512B98" w14:textId="77777777" w:rsidR="00B66E0C" w:rsidRDefault="00557DA3">
            <w:pPr>
              <w:rPr>
                <w:szCs w:val="20"/>
              </w:rPr>
            </w:pPr>
            <w:r>
              <w:rPr>
                <w:rFonts w:hint="eastAsia"/>
                <w:szCs w:val="20"/>
              </w:rPr>
              <w:lastRenderedPageBreak/>
              <w:t>[</w:t>
            </w:r>
            <w:r>
              <w:rPr>
                <w:szCs w:val="20"/>
              </w:rPr>
              <w:t>5]</w:t>
            </w:r>
          </w:p>
        </w:tc>
        <w:tc>
          <w:tcPr>
            <w:tcW w:w="7469" w:type="dxa"/>
          </w:tcPr>
          <w:p w14:paraId="5A02303F" w14:textId="77777777" w:rsidR="00B66E0C" w:rsidRDefault="00557DA3">
            <w:pPr>
              <w:spacing w:beforeLines="50" w:before="120" w:line="276" w:lineRule="auto"/>
              <w:rPr>
                <w:b/>
                <w:bCs/>
                <w:i/>
                <w:iCs/>
                <w:sz w:val="20"/>
                <w:szCs w:val="20"/>
                <w:lang w:eastAsia="zh-CN"/>
              </w:rPr>
            </w:pPr>
            <w:r>
              <w:rPr>
                <w:rFonts w:hint="eastAsia"/>
                <w:b/>
                <w:bCs/>
                <w:i/>
                <w:iCs/>
                <w:sz w:val="20"/>
                <w:szCs w:val="20"/>
                <w:lang w:eastAsia="zh-CN"/>
              </w:rPr>
              <w:t xml:space="preserve">Proposal 3: For </w:t>
            </w:r>
            <w:r>
              <w:rPr>
                <w:b/>
                <w:bCs/>
                <w:i/>
                <w:iCs/>
                <w:sz w:val="20"/>
                <w:szCs w:val="20"/>
                <w:lang w:eastAsia="zh-CN"/>
              </w:rPr>
              <w:t>downlink power allocation</w:t>
            </w:r>
            <w:r>
              <w:rPr>
                <w:rFonts w:hint="eastAsia"/>
                <w:b/>
                <w:bCs/>
                <w:i/>
                <w:iCs/>
                <w:sz w:val="20"/>
                <w:szCs w:val="20"/>
                <w:lang w:eastAsia="zh-CN"/>
              </w:rPr>
              <w:t>, the working assumptions can be confirmed f</w:t>
            </w:r>
            <w:r>
              <w:rPr>
                <w:b/>
                <w:bCs/>
                <w:i/>
                <w:iCs/>
                <w:sz w:val="20"/>
                <w:szCs w:val="20"/>
                <w:lang w:eastAsia="zh-CN"/>
              </w:rPr>
              <w:t>or standalone and guard-band deployments</w:t>
            </w:r>
            <w:r>
              <w:rPr>
                <w:rFonts w:hint="eastAsia"/>
                <w:b/>
                <w:bCs/>
                <w:i/>
                <w:iCs/>
                <w:sz w:val="20"/>
                <w:szCs w:val="20"/>
                <w:lang w:eastAsia="zh-CN"/>
              </w:rPr>
              <w:t>.</w:t>
            </w:r>
          </w:p>
          <w:p w14:paraId="2101CC69" w14:textId="77777777" w:rsidR="00B66E0C" w:rsidRDefault="00557DA3">
            <w:pPr>
              <w:spacing w:beforeLines="50" w:before="120" w:line="276" w:lineRule="auto"/>
              <w:rPr>
                <w:b/>
                <w:bCs/>
                <w:i/>
                <w:sz w:val="20"/>
                <w:szCs w:val="20"/>
              </w:rPr>
            </w:pPr>
            <w:r>
              <w:rPr>
                <w:rFonts w:hint="eastAsia"/>
                <w:b/>
                <w:bCs/>
                <w:i/>
                <w:sz w:val="20"/>
                <w:szCs w:val="20"/>
              </w:rPr>
              <w:t>Proposal 4: For</w:t>
            </w:r>
            <w:r>
              <w:rPr>
                <w:b/>
                <w:bCs/>
                <w:i/>
                <w:sz w:val="20"/>
                <w:szCs w:val="20"/>
              </w:rPr>
              <w:t xml:space="preserve"> downlink power allocation</w:t>
            </w:r>
            <w:r>
              <w:rPr>
                <w:rFonts w:hint="eastAsia"/>
                <w:b/>
                <w:bCs/>
                <w:i/>
                <w:sz w:val="20"/>
                <w:szCs w:val="20"/>
              </w:rPr>
              <w:t xml:space="preserve">, Alt 1 should be adopted for inband deployment. </w:t>
            </w:r>
            <w:r>
              <w:rPr>
                <w:b/>
                <w:bCs/>
                <w:i/>
                <w:sz w:val="20"/>
                <w:szCs w:val="20"/>
              </w:rPr>
              <w:t xml:space="preserve"> </w:t>
            </w:r>
          </w:p>
          <w:p w14:paraId="5D0BA4B8" w14:textId="77777777" w:rsidR="00B66E0C" w:rsidRDefault="00B66E0C">
            <w:pPr>
              <w:spacing w:after="0"/>
              <w:jc w:val="left"/>
              <w:rPr>
                <w:rFonts w:eastAsiaTheme="minorEastAsia"/>
                <w:sz w:val="20"/>
                <w:szCs w:val="20"/>
              </w:rPr>
            </w:pPr>
          </w:p>
        </w:tc>
      </w:tr>
      <w:tr w:rsidR="00B66E0C" w14:paraId="5F6DB868" w14:textId="77777777">
        <w:tc>
          <w:tcPr>
            <w:tcW w:w="1838" w:type="dxa"/>
          </w:tcPr>
          <w:p w14:paraId="7EBF2115" w14:textId="77777777" w:rsidR="00B66E0C" w:rsidRDefault="00557DA3">
            <w:pPr>
              <w:rPr>
                <w:szCs w:val="20"/>
              </w:rPr>
            </w:pPr>
            <w:r>
              <w:rPr>
                <w:rFonts w:hint="eastAsia"/>
                <w:szCs w:val="20"/>
              </w:rPr>
              <w:t>[</w:t>
            </w:r>
            <w:r>
              <w:rPr>
                <w:szCs w:val="20"/>
              </w:rPr>
              <w:t>7]</w:t>
            </w:r>
          </w:p>
        </w:tc>
        <w:tc>
          <w:tcPr>
            <w:tcW w:w="7469" w:type="dxa"/>
          </w:tcPr>
          <w:p w14:paraId="056521A3" w14:textId="77777777" w:rsidR="00B66E0C" w:rsidRDefault="00557DA3">
            <w:pPr>
              <w:spacing w:beforeLines="50" w:before="120" w:afterLines="50"/>
              <w:rPr>
                <w:b/>
                <w:i/>
                <w:sz w:val="20"/>
                <w:szCs w:val="20"/>
                <w:lang w:eastAsia="zh-CN"/>
              </w:rPr>
            </w:pPr>
            <w:r>
              <w:rPr>
                <w:b/>
                <w:i/>
                <w:sz w:val="20"/>
                <w:szCs w:val="20"/>
                <w:lang w:eastAsia="zh-CN"/>
              </w:rPr>
              <w:t>Proposal 3: Confirm the working assumption for DL power allocation for standalone/guardband case.</w:t>
            </w:r>
          </w:p>
          <w:p w14:paraId="13C81933" w14:textId="77777777" w:rsidR="00B66E0C" w:rsidRDefault="00557DA3">
            <w:pPr>
              <w:spacing w:beforeLines="50" w:before="120" w:afterLines="50"/>
              <w:rPr>
                <w:b/>
                <w:i/>
                <w:sz w:val="20"/>
                <w:szCs w:val="20"/>
                <w:lang w:eastAsia="zh-CN"/>
              </w:rPr>
            </w:pPr>
            <w:r>
              <w:rPr>
                <w:b/>
                <w:i/>
                <w:sz w:val="20"/>
                <w:szCs w:val="20"/>
                <w:lang w:eastAsia="zh-CN"/>
              </w:rPr>
              <w:t>Proposal 4: To indicate the DL power allocation for inband case, the existing parameter nrs-CRS-PowerOffset is reused for same PCI case, and is signaled for different PCI case.</w:t>
            </w:r>
          </w:p>
          <w:p w14:paraId="7E7B68BB" w14:textId="77777777" w:rsidR="00B66E0C" w:rsidRDefault="00B66E0C">
            <w:pPr>
              <w:overflowPunct w:val="0"/>
              <w:spacing w:after="180"/>
              <w:contextualSpacing/>
              <w:jc w:val="left"/>
              <w:textAlignment w:val="baseline"/>
              <w:rPr>
                <w:b/>
                <w:bCs/>
                <w:szCs w:val="20"/>
              </w:rPr>
            </w:pPr>
          </w:p>
        </w:tc>
      </w:tr>
      <w:tr w:rsidR="00B66E0C" w14:paraId="31054BFD" w14:textId="77777777">
        <w:tc>
          <w:tcPr>
            <w:tcW w:w="1838" w:type="dxa"/>
          </w:tcPr>
          <w:p w14:paraId="0F484BF8" w14:textId="77777777" w:rsidR="00B66E0C" w:rsidRDefault="00557DA3">
            <w:pPr>
              <w:rPr>
                <w:szCs w:val="20"/>
              </w:rPr>
            </w:pPr>
            <w:r>
              <w:rPr>
                <w:rFonts w:hint="eastAsia"/>
                <w:szCs w:val="20"/>
              </w:rPr>
              <w:t>[</w:t>
            </w:r>
            <w:r>
              <w:rPr>
                <w:szCs w:val="20"/>
              </w:rPr>
              <w:t>8]</w:t>
            </w:r>
          </w:p>
        </w:tc>
        <w:tc>
          <w:tcPr>
            <w:tcW w:w="7469" w:type="dxa"/>
          </w:tcPr>
          <w:p w14:paraId="639728EE" w14:textId="77777777" w:rsidR="00B66E0C" w:rsidRDefault="00557DA3">
            <w:pPr>
              <w:overflowPunct w:val="0"/>
              <w:spacing w:after="180"/>
              <w:contextualSpacing/>
              <w:jc w:val="left"/>
              <w:textAlignment w:val="baseline"/>
              <w:rPr>
                <w:b/>
                <w:bCs/>
                <w:lang w:val="en-GB"/>
              </w:rPr>
            </w:pPr>
            <w:r>
              <w:rPr>
                <w:b/>
                <w:bCs/>
                <w:lang w:val="en-GB"/>
              </w:rPr>
              <w:t>Proposal 4</w:t>
            </w:r>
            <w:r>
              <w:rPr>
                <w:b/>
                <w:bCs/>
                <w:lang w:val="en-GB"/>
              </w:rPr>
              <w:tab/>
              <w:t>Confirm the Working Assumption for the downlink power allocation to support 16-QAM in Stand-alone and Guard-band deployments.</w:t>
            </w:r>
          </w:p>
          <w:p w14:paraId="390A295F" w14:textId="77777777" w:rsidR="00B66E0C" w:rsidRDefault="00557DA3">
            <w:pPr>
              <w:overflowPunct w:val="0"/>
              <w:spacing w:after="180"/>
              <w:contextualSpacing/>
              <w:jc w:val="left"/>
              <w:textAlignment w:val="baseline"/>
              <w:rPr>
                <w:b/>
                <w:bCs/>
                <w:lang w:val="en-GB"/>
              </w:rPr>
            </w:pPr>
            <w:r>
              <w:rPr>
                <w:b/>
                <w:bCs/>
                <w:lang w:val="en-GB"/>
              </w:rPr>
              <w:t>Observation 6</w:t>
            </w:r>
            <w:r>
              <w:rPr>
                <w:b/>
                <w:bCs/>
                <w:lang w:val="en-GB"/>
              </w:rPr>
              <w:tab/>
              <w:t>For the downlink power allocation to support 16-QAM in “In-band deployments”, Alt-2 is not different in terms of complexity, specification impact and nature than what is under Working Assumption for Stand-alone and Guard-band deployments.</w:t>
            </w:r>
          </w:p>
          <w:p w14:paraId="55E20577" w14:textId="77777777" w:rsidR="00B66E0C" w:rsidRDefault="00557DA3">
            <w:pPr>
              <w:overflowPunct w:val="0"/>
              <w:spacing w:after="180"/>
              <w:contextualSpacing/>
              <w:jc w:val="left"/>
              <w:textAlignment w:val="baseline"/>
              <w:rPr>
                <w:b/>
                <w:bCs/>
                <w:lang w:val="en-GB"/>
              </w:rPr>
            </w:pPr>
            <w:r>
              <w:rPr>
                <w:b/>
                <w:bCs/>
                <w:lang w:val="en-GB"/>
              </w:rPr>
              <w:t>Observation 7</w:t>
            </w:r>
            <w:r>
              <w:rPr>
                <w:b/>
                <w:bCs/>
                <w:lang w:val="en-GB"/>
              </w:rPr>
              <w:tab/>
              <w:t>For the downlink power allocation to support 16-QAM in “In-band deployments”, Alt-2 is usable regardless of the PCI case. With Alt-2, all deployment modes will all use the same DL power allocation framework based on signalling power ratios.</w:t>
            </w:r>
          </w:p>
          <w:p w14:paraId="5AF88BE8" w14:textId="77777777" w:rsidR="00B66E0C" w:rsidRDefault="00557DA3">
            <w:pPr>
              <w:overflowPunct w:val="0"/>
              <w:spacing w:after="180"/>
              <w:contextualSpacing/>
              <w:jc w:val="left"/>
              <w:textAlignment w:val="baseline"/>
              <w:rPr>
                <w:b/>
                <w:bCs/>
                <w:lang w:val="en-GB"/>
              </w:rPr>
            </w:pPr>
            <w:r>
              <w:rPr>
                <w:b/>
                <w:bCs/>
                <w:lang w:val="en-GB"/>
              </w:rPr>
              <w:t>Proposal 5</w:t>
            </w:r>
            <w:r>
              <w:rPr>
                <w:b/>
                <w:bCs/>
                <w:lang w:val="en-GB"/>
              </w:rPr>
              <w:tab/>
              <w:t>For the downlink power allocation to support 16-QAM in “In-band deployments”, Alt-2 is selected:</w:t>
            </w:r>
          </w:p>
          <w:p w14:paraId="0C1C2FC8" w14:textId="77777777" w:rsidR="00B66E0C" w:rsidRDefault="00557DA3">
            <w:pPr>
              <w:overflowPunct w:val="0"/>
              <w:spacing w:after="180"/>
              <w:ind w:leftChars="200" w:left="440"/>
              <w:contextualSpacing/>
              <w:jc w:val="left"/>
              <w:textAlignment w:val="baseline"/>
              <w:rPr>
                <w:b/>
                <w:bCs/>
                <w:lang w:val="en-GB"/>
              </w:rPr>
            </w:pPr>
            <w:r>
              <w:rPr>
                <w:rFonts w:hint="eastAsia"/>
                <w:b/>
                <w:bCs/>
                <w:lang w:val="en-GB"/>
              </w:rPr>
              <w:t>•</w:t>
            </w:r>
            <w:r>
              <w:rPr>
                <w:b/>
                <w:bCs/>
                <w:lang w:val="en-GB"/>
              </w:rPr>
              <w:tab/>
              <w:t>The power ratio between NPDSCH EPRE and NRS EPRE in symbols with CRS is signaled.</w:t>
            </w:r>
          </w:p>
          <w:p w14:paraId="3061BFBC" w14:textId="77777777" w:rsidR="00B66E0C" w:rsidRDefault="00557DA3">
            <w:pPr>
              <w:overflowPunct w:val="0"/>
              <w:spacing w:after="180"/>
              <w:ind w:leftChars="200" w:left="440"/>
              <w:contextualSpacing/>
              <w:jc w:val="left"/>
              <w:textAlignment w:val="baseline"/>
              <w:rPr>
                <w:b/>
                <w:bCs/>
                <w:u w:val="single"/>
                <w:lang w:val="en-GB"/>
              </w:rPr>
            </w:pPr>
            <w:r>
              <w:rPr>
                <w:rFonts w:hint="eastAsia"/>
                <w:b/>
                <w:bCs/>
                <w:lang w:val="en-GB"/>
              </w:rPr>
              <w:t>•</w:t>
            </w:r>
            <w:r>
              <w:rPr>
                <w:b/>
                <w:bCs/>
                <w:lang w:val="en-GB"/>
              </w:rPr>
              <w:tab/>
              <w:t>UE specific signaling is used</w:t>
            </w:r>
          </w:p>
        </w:tc>
      </w:tr>
    </w:tbl>
    <w:p w14:paraId="334107B2" w14:textId="77777777" w:rsidR="00B66E0C" w:rsidRDefault="00B66E0C"/>
    <w:p w14:paraId="60D108E2" w14:textId="77777777" w:rsidR="00B66E0C" w:rsidRDefault="00557DA3">
      <w:r>
        <w:t>On the working assumption of power allocation for standalone and guardband deployments, most companies propose to confirm it. Therefore, the following is proposed:</w:t>
      </w:r>
    </w:p>
    <w:p w14:paraId="4E4EC268" w14:textId="77777777" w:rsidR="00B66E0C" w:rsidRDefault="00557DA3">
      <w:pPr>
        <w:rPr>
          <w:b/>
        </w:rPr>
      </w:pPr>
      <w:r>
        <w:rPr>
          <w:b/>
        </w:rPr>
        <w:lastRenderedPageBreak/>
        <w:t>Proposal 6: Confirm the following working assumption:</w:t>
      </w:r>
    </w:p>
    <w:p w14:paraId="3E84F6BC" w14:textId="77777777" w:rsidR="00B66E0C" w:rsidRDefault="00557DA3">
      <w:pPr>
        <w:overflowPunct w:val="0"/>
        <w:snapToGrid/>
        <w:spacing w:after="0" w:line="240" w:lineRule="auto"/>
        <w:ind w:leftChars="200" w:left="440"/>
        <w:jc w:val="left"/>
        <w:textAlignment w:val="baseline"/>
        <w:rPr>
          <w:rFonts w:ascii="Times" w:eastAsia="Times New Roman" w:hAnsi="Times" w:cs="Times"/>
          <w:sz w:val="20"/>
          <w:szCs w:val="20"/>
          <w:highlight w:val="darkYellow"/>
          <w:lang w:val="en-GB" w:eastAsia="en-GB"/>
        </w:rPr>
      </w:pPr>
      <w:r>
        <w:rPr>
          <w:rFonts w:ascii="Times" w:eastAsia="Times New Roman" w:hAnsi="Times" w:cs="Times"/>
          <w:sz w:val="20"/>
          <w:szCs w:val="20"/>
          <w:highlight w:val="darkYellow"/>
          <w:lang w:val="en-GB" w:eastAsia="en-GB"/>
        </w:rPr>
        <w:t>Working Assumption</w:t>
      </w:r>
    </w:p>
    <w:p w14:paraId="0DFA53CE" w14:textId="77777777" w:rsidR="00B66E0C" w:rsidRDefault="00557DA3">
      <w:pPr>
        <w:overflowPunct w:val="0"/>
        <w:snapToGrid/>
        <w:spacing w:after="0" w:line="240" w:lineRule="auto"/>
        <w:ind w:leftChars="200" w:left="44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For downlink power allocation to support 16QAM:</w:t>
      </w:r>
    </w:p>
    <w:p w14:paraId="576DC094" w14:textId="77777777" w:rsidR="00B66E0C" w:rsidRDefault="00557DA3">
      <w:pPr>
        <w:numPr>
          <w:ilvl w:val="0"/>
          <w:numId w:val="17"/>
        </w:numPr>
        <w:autoSpaceDE/>
        <w:autoSpaceDN/>
        <w:adjustRightInd/>
        <w:snapToGrid/>
        <w:spacing w:after="0" w:line="240" w:lineRule="auto"/>
        <w:ind w:leftChars="364" w:left="1161"/>
        <w:jc w:val="left"/>
        <w:rPr>
          <w:rFonts w:cs="Times"/>
          <w:sz w:val="20"/>
          <w:szCs w:val="20"/>
          <w:lang w:val="en-GB" w:eastAsia="ja-JP"/>
        </w:rPr>
      </w:pPr>
      <w:r>
        <w:rPr>
          <w:rFonts w:cs="Times"/>
          <w:sz w:val="20"/>
          <w:szCs w:val="20"/>
          <w:lang w:val="en-GB" w:eastAsia="ja-JP"/>
        </w:rPr>
        <w:t>For standalone and guard-band deployments:</w:t>
      </w:r>
    </w:p>
    <w:p w14:paraId="2881D731" w14:textId="77777777" w:rsidR="00B66E0C" w:rsidRDefault="00557DA3">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One power ratio is signaled optionally</w:t>
      </w:r>
    </w:p>
    <w:p w14:paraId="18293C15" w14:textId="77777777" w:rsidR="00B66E0C" w:rsidRDefault="00557DA3">
      <w:pPr>
        <w:numPr>
          <w:ilvl w:val="2"/>
          <w:numId w:val="17"/>
        </w:numPr>
        <w:autoSpaceDE/>
        <w:autoSpaceDN/>
        <w:adjustRightInd/>
        <w:snapToGrid/>
        <w:spacing w:after="0" w:line="240" w:lineRule="auto"/>
        <w:ind w:leftChars="1018" w:left="2600"/>
        <w:jc w:val="left"/>
        <w:rPr>
          <w:rFonts w:cs="Times"/>
          <w:sz w:val="20"/>
          <w:szCs w:val="20"/>
          <w:lang w:val="en-GB" w:eastAsia="ja-JP"/>
        </w:rPr>
      </w:pPr>
      <w:r>
        <w:rPr>
          <w:rFonts w:cs="Times"/>
          <w:sz w:val="20"/>
          <w:szCs w:val="20"/>
          <w:lang w:val="en-GB" w:eastAsia="ja-JP"/>
        </w:rPr>
        <w:t>NPDSCH EPRE to NRS EPRE in symbols without NRS</w:t>
      </w:r>
    </w:p>
    <w:p w14:paraId="00F2BDD6" w14:textId="77777777" w:rsidR="00B66E0C" w:rsidRDefault="00557DA3">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The same transmit power is assumed across different symbols.</w:t>
      </w:r>
    </w:p>
    <w:p w14:paraId="7B6963CD" w14:textId="77777777" w:rsidR="00B66E0C" w:rsidRDefault="00557DA3">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If the signalling is not indicated, the legacy power allocation is used.</w:t>
      </w:r>
    </w:p>
    <w:p w14:paraId="15269DFF" w14:textId="77777777" w:rsidR="00B66E0C" w:rsidRDefault="00557DA3">
      <w:pPr>
        <w:numPr>
          <w:ilvl w:val="2"/>
          <w:numId w:val="17"/>
        </w:numPr>
        <w:autoSpaceDE/>
        <w:autoSpaceDN/>
        <w:adjustRightInd/>
        <w:snapToGrid/>
        <w:spacing w:after="0" w:line="240" w:lineRule="auto"/>
        <w:ind w:leftChars="1018" w:left="2600"/>
        <w:jc w:val="left"/>
        <w:rPr>
          <w:rFonts w:cs="Times"/>
          <w:sz w:val="20"/>
          <w:szCs w:val="20"/>
          <w:lang w:val="en-GB" w:eastAsia="ja-JP"/>
        </w:rPr>
      </w:pPr>
      <w:r>
        <w:rPr>
          <w:rFonts w:cs="Times"/>
          <w:sz w:val="20"/>
          <w:szCs w:val="20"/>
          <w:lang w:val="en-GB" w:eastAsia="ja-JP"/>
        </w:rPr>
        <w:t>i.e., the ratio of NPDSCH EPRE to NRS EPRE is 0dB for one NRS antenna port, and -3dB for two NRS antenna ports</w:t>
      </w:r>
    </w:p>
    <w:p w14:paraId="0587FBA8" w14:textId="77777777" w:rsidR="00B66E0C" w:rsidRDefault="00557DA3">
      <w:pPr>
        <w:numPr>
          <w:ilvl w:val="0"/>
          <w:numId w:val="17"/>
        </w:numPr>
        <w:autoSpaceDE/>
        <w:autoSpaceDN/>
        <w:adjustRightInd/>
        <w:snapToGrid/>
        <w:spacing w:after="0" w:line="240" w:lineRule="auto"/>
        <w:ind w:leftChars="364" w:left="1161"/>
        <w:jc w:val="left"/>
        <w:rPr>
          <w:rFonts w:cs="Times"/>
          <w:sz w:val="20"/>
          <w:szCs w:val="20"/>
          <w:lang w:val="en-GB" w:eastAsia="ja-JP"/>
        </w:rPr>
      </w:pPr>
      <w:r>
        <w:rPr>
          <w:rFonts w:cs="Times"/>
          <w:sz w:val="20"/>
          <w:szCs w:val="20"/>
          <w:lang w:val="en-GB" w:eastAsia="ja-JP"/>
        </w:rPr>
        <w:t>UE specific signalling is used</w:t>
      </w:r>
    </w:p>
    <w:p w14:paraId="4CCE2277" w14:textId="77777777" w:rsidR="00B66E0C" w:rsidRDefault="00B66E0C"/>
    <w:p w14:paraId="1B0CFF2E" w14:textId="77777777" w:rsidR="00B66E0C" w:rsidRDefault="00557DA3">
      <w:pPr>
        <w:spacing w:line="240" w:lineRule="auto"/>
      </w:pPr>
      <w:r>
        <w:t>F</w:t>
      </w:r>
      <w:r>
        <w:rPr>
          <w:rFonts w:hint="eastAsia"/>
        </w:rPr>
        <w:t xml:space="preserve">or </w:t>
      </w:r>
      <w:r>
        <w:t>the inband deployment, companies (Nokia, NSB, ZTE, Sanechips, Lenovo, Moto) support Alt-1, and companies (Huawei, HiSilicon, QC, Ericsson) support alt-2.</w:t>
      </w:r>
    </w:p>
    <w:p w14:paraId="5CA65A48" w14:textId="77777777" w:rsidR="00B66E0C" w:rsidRDefault="00557DA3">
      <w:pPr>
        <w:spacing w:line="240" w:lineRule="auto"/>
      </w:pPr>
      <w:r>
        <w:t>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B66E0C" w14:paraId="611AAD7E" w14:textId="77777777">
        <w:tc>
          <w:tcPr>
            <w:tcW w:w="4653" w:type="dxa"/>
          </w:tcPr>
          <w:p w14:paraId="74E25C70" w14:textId="77777777" w:rsidR="00B66E0C" w:rsidRDefault="00557DA3">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B66E0C" w14:paraId="7F1E769D" w14:textId="77777777">
              <w:trPr>
                <w:trHeight w:val="300"/>
                <w:jc w:val="center"/>
              </w:trPr>
              <w:tc>
                <w:tcPr>
                  <w:tcW w:w="960" w:type="dxa"/>
                  <w:shd w:val="clear" w:color="000000" w:fill="FFC7CE"/>
                  <w:noWrap/>
                  <w:vAlign w:val="bottom"/>
                </w:tcPr>
                <w:p w14:paraId="2B011E30" w14:textId="77777777" w:rsidR="00B66E0C" w:rsidRDefault="00557DA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64EFE7AF"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62981304" w14:textId="77777777" w:rsidR="00B66E0C" w:rsidRDefault="00557DA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B66E0C" w14:paraId="5ECE3468" w14:textId="77777777">
              <w:trPr>
                <w:trHeight w:val="300"/>
                <w:jc w:val="center"/>
              </w:trPr>
              <w:tc>
                <w:tcPr>
                  <w:tcW w:w="960" w:type="dxa"/>
                  <w:shd w:val="clear" w:color="000000" w:fill="FFEB9C"/>
                  <w:noWrap/>
                  <w:vAlign w:val="bottom"/>
                </w:tcPr>
                <w:p w14:paraId="4EB95008"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6402B6F"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56CF03B6"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6E8F252B" w14:textId="77777777">
              <w:trPr>
                <w:trHeight w:val="300"/>
                <w:jc w:val="center"/>
              </w:trPr>
              <w:tc>
                <w:tcPr>
                  <w:tcW w:w="960" w:type="dxa"/>
                  <w:shd w:val="clear" w:color="000000" w:fill="FFEB9C"/>
                  <w:noWrap/>
                  <w:vAlign w:val="bottom"/>
                </w:tcPr>
                <w:p w14:paraId="27BD6B13"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8C183F5"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22F00F7E"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15F08788" w14:textId="77777777">
              <w:trPr>
                <w:trHeight w:val="300"/>
                <w:jc w:val="center"/>
              </w:trPr>
              <w:tc>
                <w:tcPr>
                  <w:tcW w:w="960" w:type="dxa"/>
                  <w:shd w:val="clear" w:color="000000" w:fill="FFEB9C"/>
                  <w:noWrap/>
                  <w:vAlign w:val="bottom"/>
                </w:tcPr>
                <w:p w14:paraId="0491DF02"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B24F0EB"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033B531F"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4AFA1DCF" w14:textId="77777777">
              <w:trPr>
                <w:trHeight w:val="300"/>
                <w:jc w:val="center"/>
              </w:trPr>
              <w:tc>
                <w:tcPr>
                  <w:tcW w:w="960" w:type="dxa"/>
                  <w:shd w:val="clear" w:color="000000" w:fill="FFEB9C"/>
                  <w:noWrap/>
                  <w:vAlign w:val="bottom"/>
                </w:tcPr>
                <w:p w14:paraId="478C39E2"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9957CE6"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26E56FAE"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71675CAD" w14:textId="77777777">
              <w:trPr>
                <w:trHeight w:val="300"/>
                <w:jc w:val="center"/>
              </w:trPr>
              <w:tc>
                <w:tcPr>
                  <w:tcW w:w="960" w:type="dxa"/>
                  <w:shd w:val="clear" w:color="000000" w:fill="FFEB9C"/>
                  <w:noWrap/>
                  <w:vAlign w:val="bottom"/>
                </w:tcPr>
                <w:p w14:paraId="78565F7E"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49A680D"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52967730"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036D34E3" w14:textId="77777777">
              <w:trPr>
                <w:trHeight w:val="300"/>
                <w:jc w:val="center"/>
              </w:trPr>
              <w:tc>
                <w:tcPr>
                  <w:tcW w:w="960" w:type="dxa"/>
                  <w:shd w:val="clear" w:color="000000" w:fill="FFC7CE"/>
                  <w:noWrap/>
                  <w:vAlign w:val="bottom"/>
                </w:tcPr>
                <w:p w14:paraId="255B5CCC" w14:textId="77777777" w:rsidR="00B66E0C" w:rsidRDefault="00557DA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3D03D30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56C29F7C" w14:textId="77777777" w:rsidR="00B66E0C" w:rsidRDefault="00557DA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B66E0C" w14:paraId="5A8E04C8" w14:textId="77777777">
              <w:trPr>
                <w:trHeight w:val="300"/>
                <w:jc w:val="center"/>
              </w:trPr>
              <w:tc>
                <w:tcPr>
                  <w:tcW w:w="960" w:type="dxa"/>
                  <w:shd w:val="clear" w:color="000000" w:fill="FFEB9C"/>
                  <w:noWrap/>
                  <w:vAlign w:val="bottom"/>
                </w:tcPr>
                <w:p w14:paraId="0F929DF8"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06C2DABC"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7C4E1524"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5E89E44D" w14:textId="77777777">
              <w:trPr>
                <w:trHeight w:val="300"/>
                <w:jc w:val="center"/>
              </w:trPr>
              <w:tc>
                <w:tcPr>
                  <w:tcW w:w="960" w:type="dxa"/>
                  <w:shd w:val="clear" w:color="000000" w:fill="FFEB9C"/>
                  <w:noWrap/>
                  <w:vAlign w:val="bottom"/>
                </w:tcPr>
                <w:p w14:paraId="155A4C7E"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4353D76"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983C0D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0184F06B" w14:textId="77777777">
              <w:trPr>
                <w:trHeight w:val="300"/>
                <w:jc w:val="center"/>
              </w:trPr>
              <w:tc>
                <w:tcPr>
                  <w:tcW w:w="960" w:type="dxa"/>
                  <w:shd w:val="clear" w:color="000000" w:fill="FFEB9C"/>
                  <w:noWrap/>
                  <w:vAlign w:val="bottom"/>
                </w:tcPr>
                <w:p w14:paraId="6B0842E6"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6FB6518"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562272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5A6A3C1D" w14:textId="77777777">
              <w:trPr>
                <w:trHeight w:val="300"/>
                <w:jc w:val="center"/>
              </w:trPr>
              <w:tc>
                <w:tcPr>
                  <w:tcW w:w="960" w:type="dxa"/>
                  <w:shd w:val="clear" w:color="000000" w:fill="FFEB9C"/>
                  <w:noWrap/>
                  <w:vAlign w:val="bottom"/>
                </w:tcPr>
                <w:p w14:paraId="6407E5E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1E0BAF2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14A4C9F"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7BDFED00" w14:textId="77777777">
              <w:trPr>
                <w:trHeight w:val="300"/>
                <w:jc w:val="center"/>
              </w:trPr>
              <w:tc>
                <w:tcPr>
                  <w:tcW w:w="960" w:type="dxa"/>
                  <w:shd w:val="clear" w:color="000000" w:fill="FFEB9C"/>
                  <w:noWrap/>
                  <w:vAlign w:val="bottom"/>
                </w:tcPr>
                <w:p w14:paraId="389101E6"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E029478"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3406971C"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5894256A" w14:textId="77777777" w:rsidR="00B66E0C" w:rsidRDefault="00B66E0C">
            <w:pPr>
              <w:spacing w:line="240" w:lineRule="auto"/>
            </w:pPr>
          </w:p>
        </w:tc>
        <w:tc>
          <w:tcPr>
            <w:tcW w:w="4654" w:type="dxa"/>
            <w:vMerge w:val="restart"/>
          </w:tcPr>
          <w:p w14:paraId="466C3CA2" w14:textId="77777777" w:rsidR="00B66E0C" w:rsidRDefault="00557DA3">
            <w:pPr>
              <w:pStyle w:val="a6"/>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B66E0C" w14:paraId="388818E2" w14:textId="77777777">
              <w:trPr>
                <w:trHeight w:val="300"/>
                <w:jc w:val="center"/>
              </w:trPr>
              <w:tc>
                <w:tcPr>
                  <w:tcW w:w="960" w:type="dxa"/>
                  <w:vMerge w:val="restart"/>
                  <w:shd w:val="clear" w:color="auto" w:fill="FFFFFF" w:themeFill="background1"/>
                </w:tcPr>
                <w:p w14:paraId="415EE69F" w14:textId="77777777" w:rsidR="00B66E0C" w:rsidRDefault="00B66E0C">
                  <w:pPr>
                    <w:spacing w:after="0"/>
                    <w:jc w:val="right"/>
                    <w:rPr>
                      <w:rFonts w:ascii="Calibri" w:hAnsi="Calibri" w:cs="Calibri"/>
                    </w:rPr>
                  </w:pPr>
                </w:p>
                <w:p w14:paraId="70C23E72" w14:textId="77777777" w:rsidR="00B66E0C" w:rsidRDefault="00B66E0C">
                  <w:pPr>
                    <w:spacing w:after="0"/>
                    <w:jc w:val="right"/>
                    <w:rPr>
                      <w:rFonts w:ascii="Calibri" w:hAnsi="Calibri" w:cs="Calibri"/>
                    </w:rPr>
                  </w:pPr>
                </w:p>
                <w:p w14:paraId="66E28FB3" w14:textId="77777777" w:rsidR="00B66E0C" w:rsidRDefault="00B66E0C">
                  <w:pPr>
                    <w:spacing w:after="0"/>
                    <w:jc w:val="right"/>
                    <w:rPr>
                      <w:rFonts w:ascii="Calibri" w:hAnsi="Calibri" w:cs="Calibri"/>
                    </w:rPr>
                  </w:pPr>
                </w:p>
                <w:p w14:paraId="1CAFC2A3" w14:textId="77777777" w:rsidR="00B66E0C" w:rsidRDefault="00B66E0C">
                  <w:pPr>
                    <w:spacing w:after="0"/>
                    <w:jc w:val="right"/>
                    <w:rPr>
                      <w:rFonts w:ascii="Calibri" w:hAnsi="Calibri" w:cs="Calibri"/>
                    </w:rPr>
                  </w:pPr>
                </w:p>
                <w:p w14:paraId="1DCA9D51" w14:textId="77777777" w:rsidR="00B66E0C" w:rsidRDefault="00B66E0C">
                  <w:pPr>
                    <w:spacing w:after="0"/>
                    <w:jc w:val="right"/>
                    <w:rPr>
                      <w:rFonts w:ascii="Calibri" w:hAnsi="Calibri" w:cs="Calibri"/>
                    </w:rPr>
                  </w:pPr>
                </w:p>
                <w:p w14:paraId="0101E573" w14:textId="77777777" w:rsidR="00B66E0C" w:rsidRDefault="00557DA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0CC2905"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734E8027"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25974D95"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797D062F" w14:textId="77777777">
              <w:trPr>
                <w:trHeight w:val="300"/>
                <w:jc w:val="center"/>
              </w:trPr>
              <w:tc>
                <w:tcPr>
                  <w:tcW w:w="960" w:type="dxa"/>
                  <w:vMerge/>
                  <w:shd w:val="clear" w:color="auto" w:fill="FFFFFF" w:themeFill="background1"/>
                </w:tcPr>
                <w:p w14:paraId="582F6214" w14:textId="77777777" w:rsidR="00B66E0C" w:rsidRDefault="00B66E0C">
                  <w:pPr>
                    <w:spacing w:after="0"/>
                    <w:jc w:val="right"/>
                    <w:rPr>
                      <w:rFonts w:ascii="Calibri" w:hAnsi="Calibri" w:cs="Calibri"/>
                    </w:rPr>
                  </w:pPr>
                </w:p>
              </w:tc>
              <w:tc>
                <w:tcPr>
                  <w:tcW w:w="960" w:type="dxa"/>
                  <w:shd w:val="clear" w:color="000000" w:fill="FFEB9C"/>
                  <w:noWrap/>
                  <w:vAlign w:val="bottom"/>
                </w:tcPr>
                <w:p w14:paraId="2CD27A26"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1A4D853"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C0BBDCC"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6E4FA19A" w14:textId="77777777">
              <w:trPr>
                <w:trHeight w:val="300"/>
                <w:jc w:val="center"/>
              </w:trPr>
              <w:tc>
                <w:tcPr>
                  <w:tcW w:w="960" w:type="dxa"/>
                  <w:vMerge/>
                  <w:shd w:val="clear" w:color="auto" w:fill="FFFFFF" w:themeFill="background1"/>
                </w:tcPr>
                <w:p w14:paraId="4C63396D" w14:textId="77777777" w:rsidR="00B66E0C" w:rsidRDefault="00B66E0C">
                  <w:pPr>
                    <w:spacing w:after="0"/>
                    <w:jc w:val="right"/>
                    <w:rPr>
                      <w:rFonts w:ascii="Calibri" w:hAnsi="Calibri" w:cs="Calibri"/>
                    </w:rPr>
                  </w:pPr>
                </w:p>
              </w:tc>
              <w:tc>
                <w:tcPr>
                  <w:tcW w:w="960" w:type="dxa"/>
                  <w:shd w:val="clear" w:color="000000" w:fill="FFEB9C"/>
                  <w:noWrap/>
                  <w:vAlign w:val="bottom"/>
                </w:tcPr>
                <w:p w14:paraId="159EEA49"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C8EA446"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740DC48"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087AD2F" w14:textId="77777777">
              <w:trPr>
                <w:trHeight w:val="300"/>
                <w:jc w:val="center"/>
              </w:trPr>
              <w:tc>
                <w:tcPr>
                  <w:tcW w:w="960" w:type="dxa"/>
                  <w:vMerge/>
                  <w:shd w:val="clear" w:color="auto" w:fill="FFFFFF" w:themeFill="background1"/>
                </w:tcPr>
                <w:p w14:paraId="7FF77CEA" w14:textId="77777777" w:rsidR="00B66E0C" w:rsidRDefault="00B66E0C">
                  <w:pPr>
                    <w:spacing w:after="0"/>
                    <w:jc w:val="right"/>
                    <w:rPr>
                      <w:rFonts w:ascii="Calibri" w:hAnsi="Calibri" w:cs="Calibri"/>
                    </w:rPr>
                  </w:pPr>
                </w:p>
              </w:tc>
              <w:tc>
                <w:tcPr>
                  <w:tcW w:w="960" w:type="dxa"/>
                  <w:shd w:val="clear" w:color="000000" w:fill="FFEB9C"/>
                  <w:noWrap/>
                  <w:vAlign w:val="bottom"/>
                </w:tcPr>
                <w:p w14:paraId="54801378"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077C32D"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1D87745C"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F845A7F" w14:textId="77777777">
              <w:trPr>
                <w:trHeight w:val="300"/>
                <w:jc w:val="center"/>
              </w:trPr>
              <w:tc>
                <w:tcPr>
                  <w:tcW w:w="960" w:type="dxa"/>
                  <w:vMerge/>
                  <w:shd w:val="clear" w:color="auto" w:fill="FFFFFF" w:themeFill="background1"/>
                </w:tcPr>
                <w:p w14:paraId="200BD405" w14:textId="77777777" w:rsidR="00B66E0C" w:rsidRDefault="00B66E0C">
                  <w:pPr>
                    <w:spacing w:after="0"/>
                    <w:jc w:val="right"/>
                    <w:rPr>
                      <w:rFonts w:ascii="Calibri" w:hAnsi="Calibri" w:cs="Calibri"/>
                    </w:rPr>
                  </w:pPr>
                </w:p>
              </w:tc>
              <w:tc>
                <w:tcPr>
                  <w:tcW w:w="960" w:type="dxa"/>
                  <w:shd w:val="clear" w:color="000000" w:fill="FFEB9C"/>
                  <w:noWrap/>
                  <w:vAlign w:val="bottom"/>
                </w:tcPr>
                <w:p w14:paraId="00D185AF"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1023117"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C2200C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BF26F0E" w14:textId="77777777">
              <w:trPr>
                <w:trHeight w:val="300"/>
                <w:jc w:val="center"/>
              </w:trPr>
              <w:tc>
                <w:tcPr>
                  <w:tcW w:w="960" w:type="dxa"/>
                  <w:vMerge/>
                  <w:shd w:val="clear" w:color="auto" w:fill="FFFFFF" w:themeFill="background1"/>
                </w:tcPr>
                <w:p w14:paraId="23908BF6" w14:textId="77777777" w:rsidR="00B66E0C" w:rsidRDefault="00B66E0C">
                  <w:pPr>
                    <w:spacing w:after="0"/>
                    <w:jc w:val="right"/>
                    <w:rPr>
                      <w:rFonts w:ascii="Calibri" w:hAnsi="Calibri" w:cs="Calibri"/>
                    </w:rPr>
                  </w:pPr>
                </w:p>
              </w:tc>
              <w:tc>
                <w:tcPr>
                  <w:tcW w:w="960" w:type="dxa"/>
                  <w:shd w:val="clear" w:color="000000" w:fill="FFEB9C"/>
                  <w:noWrap/>
                  <w:vAlign w:val="bottom"/>
                </w:tcPr>
                <w:p w14:paraId="7B561D54"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31B00BDD"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9C3E9F0"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61685F63" w14:textId="77777777">
              <w:trPr>
                <w:trHeight w:val="300"/>
                <w:jc w:val="center"/>
              </w:trPr>
              <w:tc>
                <w:tcPr>
                  <w:tcW w:w="960" w:type="dxa"/>
                  <w:vMerge/>
                  <w:shd w:val="clear" w:color="auto" w:fill="FFFFFF" w:themeFill="background1"/>
                </w:tcPr>
                <w:p w14:paraId="1E9B683F" w14:textId="77777777" w:rsidR="00B66E0C" w:rsidRDefault="00B66E0C">
                  <w:pPr>
                    <w:spacing w:after="0"/>
                    <w:jc w:val="right"/>
                    <w:rPr>
                      <w:rFonts w:ascii="Calibri" w:hAnsi="Calibri" w:cs="Calibri"/>
                    </w:rPr>
                  </w:pPr>
                </w:p>
              </w:tc>
              <w:tc>
                <w:tcPr>
                  <w:tcW w:w="960" w:type="dxa"/>
                  <w:shd w:val="clear" w:color="000000" w:fill="FFC7CE"/>
                  <w:noWrap/>
                  <w:vAlign w:val="bottom"/>
                </w:tcPr>
                <w:p w14:paraId="4AFAEB9D"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172DBEC1"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50FBA7FC"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48FEC8E1" w14:textId="77777777">
              <w:trPr>
                <w:trHeight w:val="300"/>
                <w:jc w:val="center"/>
              </w:trPr>
              <w:tc>
                <w:tcPr>
                  <w:tcW w:w="960" w:type="dxa"/>
                  <w:vMerge/>
                  <w:shd w:val="clear" w:color="auto" w:fill="FFFFFF" w:themeFill="background1"/>
                </w:tcPr>
                <w:p w14:paraId="7C2047EE" w14:textId="77777777" w:rsidR="00B66E0C" w:rsidRDefault="00B66E0C">
                  <w:pPr>
                    <w:spacing w:after="0"/>
                    <w:jc w:val="right"/>
                    <w:rPr>
                      <w:rFonts w:ascii="Calibri" w:hAnsi="Calibri" w:cs="Calibri"/>
                    </w:rPr>
                  </w:pPr>
                </w:p>
              </w:tc>
              <w:tc>
                <w:tcPr>
                  <w:tcW w:w="960" w:type="dxa"/>
                  <w:shd w:val="clear" w:color="000000" w:fill="FFEB9C"/>
                  <w:noWrap/>
                  <w:vAlign w:val="bottom"/>
                </w:tcPr>
                <w:p w14:paraId="7D747609"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7E12BC8"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145982E2"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13C1E48" w14:textId="77777777">
              <w:trPr>
                <w:trHeight w:val="300"/>
                <w:jc w:val="center"/>
              </w:trPr>
              <w:tc>
                <w:tcPr>
                  <w:tcW w:w="960" w:type="dxa"/>
                  <w:vMerge/>
                  <w:shd w:val="clear" w:color="auto" w:fill="FFFFFF" w:themeFill="background1"/>
                </w:tcPr>
                <w:p w14:paraId="716D4317" w14:textId="77777777" w:rsidR="00B66E0C" w:rsidRDefault="00B66E0C">
                  <w:pPr>
                    <w:spacing w:after="0"/>
                    <w:jc w:val="right"/>
                    <w:rPr>
                      <w:rFonts w:ascii="Calibri" w:hAnsi="Calibri" w:cs="Calibri"/>
                    </w:rPr>
                  </w:pPr>
                </w:p>
              </w:tc>
              <w:tc>
                <w:tcPr>
                  <w:tcW w:w="960" w:type="dxa"/>
                  <w:shd w:val="clear" w:color="000000" w:fill="FFEB9C"/>
                  <w:noWrap/>
                  <w:vAlign w:val="bottom"/>
                </w:tcPr>
                <w:p w14:paraId="07B3C404"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6738E45"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A25A51C"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1C196F3F" w14:textId="77777777">
              <w:trPr>
                <w:trHeight w:val="300"/>
                <w:jc w:val="center"/>
              </w:trPr>
              <w:tc>
                <w:tcPr>
                  <w:tcW w:w="960" w:type="dxa"/>
                  <w:vMerge/>
                  <w:shd w:val="clear" w:color="auto" w:fill="FFFFFF" w:themeFill="background1"/>
                </w:tcPr>
                <w:p w14:paraId="3A627457" w14:textId="77777777" w:rsidR="00B66E0C" w:rsidRDefault="00B66E0C">
                  <w:pPr>
                    <w:spacing w:after="0"/>
                    <w:jc w:val="right"/>
                    <w:rPr>
                      <w:rFonts w:ascii="Calibri" w:hAnsi="Calibri" w:cs="Calibri"/>
                    </w:rPr>
                  </w:pPr>
                </w:p>
              </w:tc>
              <w:tc>
                <w:tcPr>
                  <w:tcW w:w="960" w:type="dxa"/>
                  <w:shd w:val="clear" w:color="000000" w:fill="FFEB9C"/>
                  <w:noWrap/>
                  <w:vAlign w:val="bottom"/>
                </w:tcPr>
                <w:p w14:paraId="6E1612AE"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FD79EAF"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DEF9AFB"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87FF788" w14:textId="77777777">
              <w:trPr>
                <w:trHeight w:val="300"/>
                <w:jc w:val="center"/>
              </w:trPr>
              <w:tc>
                <w:tcPr>
                  <w:tcW w:w="960" w:type="dxa"/>
                  <w:vMerge/>
                  <w:shd w:val="clear" w:color="auto" w:fill="FFFFFF" w:themeFill="background1"/>
                </w:tcPr>
                <w:p w14:paraId="16CD7245" w14:textId="77777777" w:rsidR="00B66E0C" w:rsidRDefault="00B66E0C">
                  <w:pPr>
                    <w:spacing w:after="0"/>
                    <w:jc w:val="right"/>
                    <w:rPr>
                      <w:rFonts w:ascii="Calibri" w:hAnsi="Calibri" w:cs="Calibri"/>
                    </w:rPr>
                  </w:pPr>
                </w:p>
              </w:tc>
              <w:tc>
                <w:tcPr>
                  <w:tcW w:w="960" w:type="dxa"/>
                  <w:shd w:val="clear" w:color="000000" w:fill="FFEB9C"/>
                  <w:noWrap/>
                  <w:vAlign w:val="bottom"/>
                </w:tcPr>
                <w:p w14:paraId="62A58540"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2F5CD55"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AD2EAA1"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1ADC1B3F" w14:textId="77777777">
              <w:trPr>
                <w:trHeight w:val="300"/>
                <w:jc w:val="center"/>
              </w:trPr>
              <w:tc>
                <w:tcPr>
                  <w:tcW w:w="960" w:type="dxa"/>
                  <w:vMerge/>
                  <w:shd w:val="clear" w:color="auto" w:fill="FFFFFF" w:themeFill="background1"/>
                </w:tcPr>
                <w:p w14:paraId="60481377" w14:textId="77777777" w:rsidR="00B66E0C" w:rsidRDefault="00B66E0C">
                  <w:pPr>
                    <w:spacing w:after="0"/>
                    <w:jc w:val="right"/>
                    <w:rPr>
                      <w:rFonts w:ascii="Calibri" w:hAnsi="Calibri" w:cs="Calibri"/>
                    </w:rPr>
                  </w:pPr>
                </w:p>
              </w:tc>
              <w:tc>
                <w:tcPr>
                  <w:tcW w:w="960" w:type="dxa"/>
                  <w:shd w:val="clear" w:color="000000" w:fill="FFEB9C"/>
                  <w:noWrap/>
                  <w:vAlign w:val="bottom"/>
                </w:tcPr>
                <w:p w14:paraId="481FAE32"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26A9892"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E6BDBCD"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5B8C7169" w14:textId="77777777">
              <w:trPr>
                <w:trHeight w:val="300"/>
                <w:jc w:val="center"/>
              </w:trPr>
              <w:tc>
                <w:tcPr>
                  <w:tcW w:w="960" w:type="dxa"/>
                  <w:vMerge w:val="restart"/>
                  <w:shd w:val="clear" w:color="auto" w:fill="FFFFFF" w:themeFill="background1"/>
                </w:tcPr>
                <w:p w14:paraId="090E0D37" w14:textId="77777777" w:rsidR="00B66E0C" w:rsidRDefault="00B66E0C">
                  <w:pPr>
                    <w:spacing w:after="0"/>
                    <w:jc w:val="right"/>
                    <w:rPr>
                      <w:rFonts w:ascii="Calibri" w:hAnsi="Calibri" w:cs="Calibri"/>
                    </w:rPr>
                  </w:pPr>
                </w:p>
                <w:p w14:paraId="7B1DBBD6" w14:textId="77777777" w:rsidR="00B66E0C" w:rsidRDefault="00B66E0C">
                  <w:pPr>
                    <w:spacing w:after="0"/>
                    <w:jc w:val="right"/>
                    <w:rPr>
                      <w:rFonts w:ascii="Calibri" w:hAnsi="Calibri" w:cs="Calibri"/>
                    </w:rPr>
                  </w:pPr>
                </w:p>
                <w:p w14:paraId="3EBBFE2C" w14:textId="77777777" w:rsidR="00B66E0C" w:rsidRDefault="00B66E0C">
                  <w:pPr>
                    <w:spacing w:after="0"/>
                    <w:jc w:val="right"/>
                    <w:rPr>
                      <w:rFonts w:ascii="Calibri" w:hAnsi="Calibri" w:cs="Calibri"/>
                    </w:rPr>
                  </w:pPr>
                </w:p>
                <w:p w14:paraId="4D12BA85" w14:textId="77777777" w:rsidR="00B66E0C" w:rsidRDefault="00B66E0C">
                  <w:pPr>
                    <w:spacing w:after="0"/>
                    <w:jc w:val="right"/>
                    <w:rPr>
                      <w:rFonts w:ascii="Calibri" w:hAnsi="Calibri" w:cs="Calibri"/>
                    </w:rPr>
                  </w:pPr>
                </w:p>
                <w:p w14:paraId="628A66AB" w14:textId="77777777" w:rsidR="00B66E0C" w:rsidRDefault="00B66E0C">
                  <w:pPr>
                    <w:spacing w:after="0"/>
                    <w:jc w:val="right"/>
                    <w:rPr>
                      <w:rFonts w:ascii="Calibri" w:hAnsi="Calibri" w:cs="Calibri"/>
                    </w:rPr>
                  </w:pPr>
                </w:p>
                <w:p w14:paraId="72918C9A" w14:textId="77777777" w:rsidR="00B66E0C" w:rsidRDefault="00557DA3">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54CBF205"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2F10903F"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97A7FFA"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4D354D45" w14:textId="77777777">
              <w:trPr>
                <w:trHeight w:val="300"/>
                <w:jc w:val="center"/>
              </w:trPr>
              <w:tc>
                <w:tcPr>
                  <w:tcW w:w="960" w:type="dxa"/>
                  <w:vMerge/>
                  <w:shd w:val="clear" w:color="auto" w:fill="FFFFFF" w:themeFill="background1"/>
                </w:tcPr>
                <w:p w14:paraId="35E7AFF2"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1455B8D9"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7A11FD2"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B4E7D9A"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1E5BB7F9" w14:textId="77777777">
              <w:trPr>
                <w:trHeight w:val="300"/>
                <w:jc w:val="center"/>
              </w:trPr>
              <w:tc>
                <w:tcPr>
                  <w:tcW w:w="960" w:type="dxa"/>
                  <w:vMerge/>
                  <w:shd w:val="clear" w:color="auto" w:fill="FFFFFF" w:themeFill="background1"/>
                </w:tcPr>
                <w:p w14:paraId="10E21F1E"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4DD08D9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4D42BC6"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AA02FEE"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6CC3867F" w14:textId="77777777">
              <w:trPr>
                <w:trHeight w:val="300"/>
                <w:jc w:val="center"/>
              </w:trPr>
              <w:tc>
                <w:tcPr>
                  <w:tcW w:w="960" w:type="dxa"/>
                  <w:vMerge/>
                  <w:shd w:val="clear" w:color="auto" w:fill="FFFFFF" w:themeFill="background1"/>
                </w:tcPr>
                <w:p w14:paraId="3FAD7E42"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7DD189A8"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A9AF082"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5099C71"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684A574C" w14:textId="77777777">
              <w:trPr>
                <w:trHeight w:val="300"/>
                <w:jc w:val="center"/>
              </w:trPr>
              <w:tc>
                <w:tcPr>
                  <w:tcW w:w="960" w:type="dxa"/>
                  <w:vMerge/>
                  <w:shd w:val="clear" w:color="auto" w:fill="FFFFFF" w:themeFill="background1"/>
                </w:tcPr>
                <w:p w14:paraId="240BA21C"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6D56DC45"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84D239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025A9672"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6D2670D7" w14:textId="77777777">
              <w:trPr>
                <w:trHeight w:val="300"/>
                <w:jc w:val="center"/>
              </w:trPr>
              <w:tc>
                <w:tcPr>
                  <w:tcW w:w="960" w:type="dxa"/>
                  <w:vMerge/>
                  <w:shd w:val="clear" w:color="auto" w:fill="FFFFFF" w:themeFill="background1"/>
                </w:tcPr>
                <w:p w14:paraId="0703EE2F"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3CD536F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AA9D2C1"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0072515"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69AC3CB9" w14:textId="77777777">
              <w:trPr>
                <w:trHeight w:val="300"/>
                <w:jc w:val="center"/>
              </w:trPr>
              <w:tc>
                <w:tcPr>
                  <w:tcW w:w="960" w:type="dxa"/>
                  <w:vMerge/>
                  <w:shd w:val="clear" w:color="auto" w:fill="FFFFFF" w:themeFill="background1"/>
                </w:tcPr>
                <w:p w14:paraId="76C3DC9E" w14:textId="77777777" w:rsidR="00B66E0C" w:rsidRDefault="00B66E0C">
                  <w:pPr>
                    <w:spacing w:after="0"/>
                    <w:jc w:val="right"/>
                    <w:rPr>
                      <w:rFonts w:ascii="Calibri" w:hAnsi="Calibri" w:cs="Calibri"/>
                      <w:color w:val="9C0006"/>
                    </w:rPr>
                  </w:pPr>
                </w:p>
              </w:tc>
              <w:tc>
                <w:tcPr>
                  <w:tcW w:w="960" w:type="dxa"/>
                  <w:shd w:val="clear" w:color="000000" w:fill="FFC7CE"/>
                  <w:noWrap/>
                  <w:vAlign w:val="bottom"/>
                </w:tcPr>
                <w:p w14:paraId="52F3849F"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3339EE7"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E63E746"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54D6A3CE" w14:textId="77777777">
              <w:trPr>
                <w:trHeight w:val="300"/>
                <w:jc w:val="center"/>
              </w:trPr>
              <w:tc>
                <w:tcPr>
                  <w:tcW w:w="960" w:type="dxa"/>
                  <w:vMerge/>
                  <w:shd w:val="clear" w:color="auto" w:fill="FFFFFF" w:themeFill="background1"/>
                </w:tcPr>
                <w:p w14:paraId="0FA26C50"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6521EA2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1203FF1"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D41EABA"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0E523DB0" w14:textId="77777777">
              <w:trPr>
                <w:trHeight w:val="300"/>
                <w:jc w:val="center"/>
              </w:trPr>
              <w:tc>
                <w:tcPr>
                  <w:tcW w:w="960" w:type="dxa"/>
                  <w:vMerge/>
                  <w:shd w:val="clear" w:color="auto" w:fill="FFFFFF" w:themeFill="background1"/>
                </w:tcPr>
                <w:p w14:paraId="4957058E"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2A7CEBC2"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56D3CC8"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AC18D30"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15C44EF9" w14:textId="77777777">
              <w:trPr>
                <w:trHeight w:val="300"/>
                <w:jc w:val="center"/>
              </w:trPr>
              <w:tc>
                <w:tcPr>
                  <w:tcW w:w="960" w:type="dxa"/>
                  <w:vMerge/>
                  <w:shd w:val="clear" w:color="auto" w:fill="FFFFFF" w:themeFill="background1"/>
                </w:tcPr>
                <w:p w14:paraId="041534D9"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3C992D3E"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B697724"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780C9530"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31F3C728" w14:textId="77777777">
              <w:trPr>
                <w:trHeight w:val="300"/>
                <w:jc w:val="center"/>
              </w:trPr>
              <w:tc>
                <w:tcPr>
                  <w:tcW w:w="960" w:type="dxa"/>
                  <w:vMerge/>
                  <w:shd w:val="clear" w:color="auto" w:fill="FFFFFF" w:themeFill="background1"/>
                </w:tcPr>
                <w:p w14:paraId="271655BD"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1EE3FEBE"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BB072A7"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B2B29EA"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2724D5A5" w14:textId="77777777">
              <w:trPr>
                <w:trHeight w:val="300"/>
                <w:jc w:val="center"/>
              </w:trPr>
              <w:tc>
                <w:tcPr>
                  <w:tcW w:w="960" w:type="dxa"/>
                  <w:vMerge/>
                  <w:shd w:val="clear" w:color="auto" w:fill="FFFFFF" w:themeFill="background1"/>
                </w:tcPr>
                <w:p w14:paraId="702C1881"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66B4F7EF"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7987B64"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FC296ED" w14:textId="77777777" w:rsidR="00B66E0C" w:rsidRDefault="00557DA3">
                  <w:pPr>
                    <w:spacing w:after="0"/>
                    <w:jc w:val="right"/>
                    <w:rPr>
                      <w:rFonts w:ascii="Calibri" w:hAnsi="Calibri" w:cs="Calibri"/>
                      <w:color w:val="9C5700"/>
                    </w:rPr>
                  </w:pPr>
                  <w:r>
                    <w:rPr>
                      <w:rFonts w:ascii="Calibri" w:hAnsi="Calibri" w:cs="Calibri"/>
                      <w:color w:val="9C5700"/>
                    </w:rPr>
                    <w:t>0</w:t>
                  </w:r>
                </w:p>
              </w:tc>
            </w:tr>
          </w:tbl>
          <w:p w14:paraId="4B24E2B9" w14:textId="77777777" w:rsidR="00B66E0C" w:rsidRDefault="00B66E0C">
            <w:pPr>
              <w:spacing w:line="240" w:lineRule="auto"/>
            </w:pPr>
          </w:p>
        </w:tc>
      </w:tr>
      <w:tr w:rsidR="00B66E0C" w14:paraId="65BA8E88" w14:textId="77777777">
        <w:tc>
          <w:tcPr>
            <w:tcW w:w="4653" w:type="dxa"/>
          </w:tcPr>
          <w:p w14:paraId="577EB641" w14:textId="77777777" w:rsidR="00B66E0C" w:rsidRDefault="00557DA3">
            <w:pPr>
              <w:pStyle w:val="a6"/>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B66E0C" w14:paraId="36B08A8E" w14:textId="77777777">
              <w:trPr>
                <w:trHeight w:val="300"/>
                <w:jc w:val="center"/>
              </w:trPr>
              <w:tc>
                <w:tcPr>
                  <w:tcW w:w="960" w:type="dxa"/>
                  <w:shd w:val="clear" w:color="000000" w:fill="FFC7CE"/>
                  <w:noWrap/>
                  <w:vAlign w:val="bottom"/>
                </w:tcPr>
                <w:p w14:paraId="3322C2A4"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5791DE0D"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20075B6"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2A8EBE64" w14:textId="77777777">
              <w:trPr>
                <w:trHeight w:val="300"/>
                <w:jc w:val="center"/>
              </w:trPr>
              <w:tc>
                <w:tcPr>
                  <w:tcW w:w="960" w:type="dxa"/>
                  <w:shd w:val="clear" w:color="auto" w:fill="F7CAAC" w:themeFill="accent2" w:themeFillTint="66"/>
                  <w:noWrap/>
                  <w:vAlign w:val="bottom"/>
                </w:tcPr>
                <w:p w14:paraId="2DC02F58"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0E520EE"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312D1BC2"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069B50F6" w14:textId="77777777">
              <w:trPr>
                <w:trHeight w:val="300"/>
                <w:jc w:val="center"/>
              </w:trPr>
              <w:tc>
                <w:tcPr>
                  <w:tcW w:w="960" w:type="dxa"/>
                  <w:shd w:val="clear" w:color="auto" w:fill="F7CAAC" w:themeFill="accent2" w:themeFillTint="66"/>
                  <w:noWrap/>
                  <w:vAlign w:val="bottom"/>
                </w:tcPr>
                <w:p w14:paraId="412ABECC"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FE661FE"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44A047E"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74E4B813" w14:textId="77777777">
              <w:trPr>
                <w:trHeight w:val="300"/>
                <w:jc w:val="center"/>
              </w:trPr>
              <w:tc>
                <w:tcPr>
                  <w:tcW w:w="960" w:type="dxa"/>
                  <w:shd w:val="clear" w:color="auto" w:fill="F7CAAC" w:themeFill="accent2" w:themeFillTint="66"/>
                  <w:noWrap/>
                  <w:vAlign w:val="bottom"/>
                </w:tcPr>
                <w:p w14:paraId="0F7D9229"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5F5CE97D"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0A763BE7"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E270C16" w14:textId="77777777">
              <w:trPr>
                <w:trHeight w:val="300"/>
                <w:jc w:val="center"/>
              </w:trPr>
              <w:tc>
                <w:tcPr>
                  <w:tcW w:w="960" w:type="dxa"/>
                  <w:shd w:val="clear" w:color="auto" w:fill="F7CAAC" w:themeFill="accent2" w:themeFillTint="66"/>
                  <w:noWrap/>
                  <w:vAlign w:val="bottom"/>
                </w:tcPr>
                <w:p w14:paraId="0576A2B9"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334D4363"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361EFEF0"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7D271889" w14:textId="77777777">
              <w:trPr>
                <w:trHeight w:val="300"/>
                <w:jc w:val="center"/>
              </w:trPr>
              <w:tc>
                <w:tcPr>
                  <w:tcW w:w="960" w:type="dxa"/>
                  <w:shd w:val="clear" w:color="auto" w:fill="F7CAAC" w:themeFill="accent2" w:themeFillTint="66"/>
                  <w:noWrap/>
                  <w:vAlign w:val="bottom"/>
                </w:tcPr>
                <w:p w14:paraId="1B078C19"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0B966856"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242D6923"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1582197F" w14:textId="77777777">
              <w:trPr>
                <w:trHeight w:val="300"/>
                <w:jc w:val="center"/>
              </w:trPr>
              <w:tc>
                <w:tcPr>
                  <w:tcW w:w="960" w:type="dxa"/>
                  <w:shd w:val="clear" w:color="000000" w:fill="FFC7CE"/>
                  <w:noWrap/>
                  <w:vAlign w:val="bottom"/>
                </w:tcPr>
                <w:p w14:paraId="5FE54225"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79276160"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6CF9B34"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6550D98A" w14:textId="77777777">
              <w:trPr>
                <w:trHeight w:val="300"/>
                <w:jc w:val="center"/>
              </w:trPr>
              <w:tc>
                <w:tcPr>
                  <w:tcW w:w="960" w:type="dxa"/>
                  <w:shd w:val="clear" w:color="auto" w:fill="F7CAAC" w:themeFill="accent2" w:themeFillTint="66"/>
                  <w:noWrap/>
                  <w:vAlign w:val="bottom"/>
                </w:tcPr>
                <w:p w14:paraId="3B18DD80"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F65277"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5BC66656"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3D61EC0F" w14:textId="77777777">
              <w:trPr>
                <w:trHeight w:val="300"/>
                <w:jc w:val="center"/>
              </w:trPr>
              <w:tc>
                <w:tcPr>
                  <w:tcW w:w="960" w:type="dxa"/>
                  <w:shd w:val="clear" w:color="auto" w:fill="F7CAAC" w:themeFill="accent2" w:themeFillTint="66"/>
                  <w:noWrap/>
                  <w:vAlign w:val="bottom"/>
                </w:tcPr>
                <w:p w14:paraId="69B67D57"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8F35643"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A411225"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490335A" w14:textId="77777777">
              <w:trPr>
                <w:trHeight w:val="300"/>
                <w:jc w:val="center"/>
              </w:trPr>
              <w:tc>
                <w:tcPr>
                  <w:tcW w:w="960" w:type="dxa"/>
                  <w:shd w:val="clear" w:color="auto" w:fill="F7CAAC" w:themeFill="accent2" w:themeFillTint="66"/>
                  <w:noWrap/>
                  <w:vAlign w:val="bottom"/>
                </w:tcPr>
                <w:p w14:paraId="70A9D463"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3E45CB1B"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68DAF71"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0BC0ED37" w14:textId="77777777">
              <w:trPr>
                <w:trHeight w:val="300"/>
                <w:jc w:val="center"/>
              </w:trPr>
              <w:tc>
                <w:tcPr>
                  <w:tcW w:w="960" w:type="dxa"/>
                  <w:shd w:val="clear" w:color="auto" w:fill="F7CAAC" w:themeFill="accent2" w:themeFillTint="66"/>
                  <w:noWrap/>
                  <w:vAlign w:val="bottom"/>
                </w:tcPr>
                <w:p w14:paraId="3B0EF177"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752400A"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396FA95B"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7C4F4E30" w14:textId="77777777">
              <w:trPr>
                <w:trHeight w:val="300"/>
                <w:jc w:val="center"/>
              </w:trPr>
              <w:tc>
                <w:tcPr>
                  <w:tcW w:w="960" w:type="dxa"/>
                  <w:shd w:val="clear" w:color="auto" w:fill="F7CAAC" w:themeFill="accent2" w:themeFillTint="66"/>
                  <w:noWrap/>
                  <w:vAlign w:val="bottom"/>
                </w:tcPr>
                <w:p w14:paraId="035912B4"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0B2F2DF4"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2C02A3B6" w14:textId="77777777" w:rsidR="00B66E0C" w:rsidRDefault="00557DA3">
                  <w:pPr>
                    <w:spacing w:after="0"/>
                    <w:jc w:val="right"/>
                    <w:rPr>
                      <w:rFonts w:ascii="Calibri" w:hAnsi="Calibri" w:cs="Calibri"/>
                      <w:color w:val="9C5700"/>
                    </w:rPr>
                  </w:pPr>
                  <w:r>
                    <w:rPr>
                      <w:rFonts w:ascii="Calibri" w:hAnsi="Calibri" w:cs="Calibri"/>
                      <w:color w:val="9C5700"/>
                    </w:rPr>
                    <w:t>1</w:t>
                  </w:r>
                </w:p>
              </w:tc>
            </w:tr>
          </w:tbl>
          <w:p w14:paraId="097775CF" w14:textId="77777777" w:rsidR="00B66E0C" w:rsidRDefault="00B66E0C">
            <w:pPr>
              <w:spacing w:line="240" w:lineRule="auto"/>
            </w:pPr>
          </w:p>
        </w:tc>
        <w:tc>
          <w:tcPr>
            <w:tcW w:w="4654" w:type="dxa"/>
            <w:vMerge/>
          </w:tcPr>
          <w:p w14:paraId="46EF4F1B" w14:textId="77777777" w:rsidR="00B66E0C" w:rsidRDefault="00B66E0C">
            <w:pPr>
              <w:spacing w:line="240" w:lineRule="auto"/>
            </w:pPr>
          </w:p>
        </w:tc>
      </w:tr>
    </w:tbl>
    <w:p w14:paraId="40FADB70" w14:textId="77777777" w:rsidR="00B66E0C" w:rsidRDefault="00B66E0C">
      <w:pPr>
        <w:autoSpaceDE/>
        <w:autoSpaceDN/>
        <w:adjustRightInd/>
        <w:snapToGrid/>
        <w:spacing w:after="0"/>
        <w:rPr>
          <w:b/>
          <w:szCs w:val="21"/>
          <w:lang w:eastAsia="zh-CN"/>
        </w:rPr>
      </w:pPr>
    </w:p>
    <w:p w14:paraId="72C11DF8" w14:textId="77777777" w:rsidR="00B66E0C" w:rsidRDefault="00557DA3">
      <w:r>
        <w:rPr>
          <w:rFonts w:hint="eastAsia"/>
        </w:rPr>
        <w:t>P</w:t>
      </w:r>
      <w:r>
        <w:t>lease input your comments to the above proposal and the concern over Alt-1:</w:t>
      </w:r>
    </w:p>
    <w:tbl>
      <w:tblPr>
        <w:tblStyle w:val="af1"/>
        <w:tblW w:w="0" w:type="auto"/>
        <w:tblLook w:val="04A0" w:firstRow="1" w:lastRow="0" w:firstColumn="1" w:lastColumn="0" w:noHBand="0" w:noVBand="1"/>
      </w:tblPr>
      <w:tblGrid>
        <w:gridCol w:w="1838"/>
        <w:gridCol w:w="7469"/>
      </w:tblGrid>
      <w:tr w:rsidR="00B66E0C" w14:paraId="4C1EC643" w14:textId="77777777">
        <w:tc>
          <w:tcPr>
            <w:tcW w:w="1838" w:type="dxa"/>
          </w:tcPr>
          <w:p w14:paraId="75A79B77" w14:textId="77777777" w:rsidR="00B66E0C" w:rsidRDefault="00557DA3">
            <w:pPr>
              <w:rPr>
                <w:szCs w:val="20"/>
              </w:rPr>
            </w:pPr>
            <w:r>
              <w:rPr>
                <w:rFonts w:hint="eastAsia"/>
                <w:szCs w:val="20"/>
              </w:rPr>
              <w:t>Comp</w:t>
            </w:r>
            <w:r>
              <w:rPr>
                <w:szCs w:val="20"/>
              </w:rPr>
              <w:t>anies</w:t>
            </w:r>
          </w:p>
        </w:tc>
        <w:tc>
          <w:tcPr>
            <w:tcW w:w="7469" w:type="dxa"/>
          </w:tcPr>
          <w:p w14:paraId="3A04257C" w14:textId="77777777" w:rsidR="00B66E0C" w:rsidRDefault="00557DA3">
            <w:pPr>
              <w:rPr>
                <w:szCs w:val="20"/>
              </w:rPr>
            </w:pPr>
            <w:r>
              <w:rPr>
                <w:rFonts w:hint="eastAsia"/>
                <w:szCs w:val="20"/>
              </w:rPr>
              <w:t>Comments</w:t>
            </w:r>
          </w:p>
        </w:tc>
      </w:tr>
      <w:tr w:rsidR="00B66E0C" w14:paraId="35D6CDB0" w14:textId="77777777">
        <w:tc>
          <w:tcPr>
            <w:tcW w:w="1838" w:type="dxa"/>
          </w:tcPr>
          <w:p w14:paraId="53A8C55E" w14:textId="77777777" w:rsidR="00B66E0C" w:rsidRDefault="00557DA3">
            <w:pPr>
              <w:rPr>
                <w:rFonts w:asciiTheme="minorHAnsi" w:hAnsiTheme="minorHAnsi" w:cstheme="minorHAnsi"/>
                <w:szCs w:val="20"/>
                <w:lang w:eastAsia="zh-CN"/>
              </w:rPr>
            </w:pPr>
            <w:r>
              <w:t>Huawei, HiSilicon</w:t>
            </w:r>
          </w:p>
        </w:tc>
        <w:tc>
          <w:tcPr>
            <w:tcW w:w="7469" w:type="dxa"/>
          </w:tcPr>
          <w:p w14:paraId="0CA87680" w14:textId="77777777" w:rsidR="00B66E0C" w:rsidRDefault="00557DA3">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B66E0C" w14:paraId="12E37C64" w14:textId="77777777">
        <w:tc>
          <w:tcPr>
            <w:tcW w:w="1838" w:type="dxa"/>
          </w:tcPr>
          <w:p w14:paraId="0C9DB3D4" w14:textId="77777777" w:rsidR="00B66E0C" w:rsidRDefault="00557DA3">
            <w:pPr>
              <w:rPr>
                <w:szCs w:val="20"/>
              </w:rPr>
            </w:pPr>
            <w:r>
              <w:rPr>
                <w:rFonts w:asciiTheme="minorHAnsi" w:hAnsiTheme="minorHAnsi" w:cstheme="minorHAnsi"/>
                <w:szCs w:val="20"/>
                <w:lang w:eastAsia="zh-CN"/>
              </w:rPr>
              <w:t>Ericsson</w:t>
            </w:r>
          </w:p>
        </w:tc>
        <w:tc>
          <w:tcPr>
            <w:tcW w:w="7469" w:type="dxa"/>
          </w:tcPr>
          <w:p w14:paraId="19088C28"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77F5A096"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14:paraId="251E9454" w14:textId="77777777" w:rsidR="00B66E0C" w:rsidRDefault="00557DA3">
            <w:pPr>
              <w:rPr>
                <w:rFonts w:asciiTheme="minorHAnsi" w:hAnsiTheme="minorHAnsi" w:cstheme="minorHAnsi"/>
                <w:szCs w:val="20"/>
                <w:lang w:eastAsia="zh-CN"/>
              </w:rPr>
            </w:pPr>
            <w:r>
              <w:rPr>
                <w:rFonts w:asciiTheme="minorHAnsi" w:hAnsiTheme="minorHAnsi" w:cstheme="minorHAnsi"/>
                <w:i/>
                <w:iCs/>
                <w:szCs w:val="20"/>
                <w:lang w:eastAsia="zh-CN"/>
              </w:rPr>
              <w:lastRenderedPageBreak/>
              <w:t>“… the signaling for standalone and guard-band deployments … in this case applies to “symbols with NRS” and “symbols without NRS nor CRS”</w:t>
            </w:r>
            <w:r>
              <w:rPr>
                <w:rFonts w:asciiTheme="minorHAnsi" w:hAnsiTheme="minorHAnsi" w:cstheme="minorHAnsi"/>
                <w:szCs w:val="20"/>
                <w:lang w:eastAsia="zh-CN"/>
              </w:rPr>
              <w:t>”</w:t>
            </w:r>
          </w:p>
          <w:p w14:paraId="212D1B7B"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14:paraId="5A8403AA" w14:textId="77777777" w:rsidR="00B66E0C" w:rsidRDefault="00557DA3">
            <w:pPr>
              <w:pStyle w:val="Proposal"/>
              <w:numPr>
                <w:ilvl w:val="0"/>
                <w:numId w:val="0"/>
              </w:numPr>
              <w:spacing w:line="240" w:lineRule="auto"/>
              <w:rPr>
                <w:b w:val="0"/>
                <w:bCs w:val="0"/>
              </w:rPr>
            </w:pPr>
            <w:bookmarkStart w:id="4" w:name="_Toc79006157"/>
            <w:r>
              <w:rPr>
                <w:b w:val="0"/>
                <w:bCs w:val="0"/>
              </w:rPr>
              <w:t>For the downlink power allocation to support 16-QAM in “In-band deployments”, Alt-2 is selected:</w:t>
            </w:r>
            <w:bookmarkEnd w:id="4"/>
          </w:p>
          <w:p w14:paraId="158D83A0" w14:textId="77777777" w:rsidR="00B66E0C" w:rsidRDefault="00557DA3">
            <w:pPr>
              <w:pStyle w:val="Proposal"/>
              <w:numPr>
                <w:ilvl w:val="0"/>
                <w:numId w:val="18"/>
              </w:numPr>
              <w:spacing w:line="240" w:lineRule="auto"/>
              <w:ind w:left="720"/>
              <w:rPr>
                <w:b w:val="0"/>
                <w:bCs w:val="0"/>
              </w:rPr>
            </w:pPr>
            <w:bookmarkStart w:id="5" w:name="_Toc79006158"/>
            <w:r>
              <w:rPr>
                <w:b w:val="0"/>
                <w:bCs w:val="0"/>
              </w:rPr>
              <w:t>The power ratio between NPDSCH EPRE and NRS EPRE in symbols with CRS is signaled.</w:t>
            </w:r>
            <w:bookmarkEnd w:id="5"/>
          </w:p>
          <w:p w14:paraId="70FF560E" w14:textId="77777777" w:rsidR="00B66E0C" w:rsidRDefault="00557DA3">
            <w:pPr>
              <w:pStyle w:val="Proposal"/>
              <w:numPr>
                <w:ilvl w:val="0"/>
                <w:numId w:val="18"/>
              </w:numPr>
              <w:spacing w:line="240" w:lineRule="auto"/>
              <w:ind w:left="720"/>
              <w:rPr>
                <w:b w:val="0"/>
                <w:bCs w:val="0"/>
              </w:rPr>
            </w:pPr>
            <w:bookmarkStart w:id="6" w:name="_Toc79006159"/>
            <w:r>
              <w:rPr>
                <w:b w:val="0"/>
                <w:bCs w:val="0"/>
              </w:rPr>
              <w:t>UE specific signaling is used</w:t>
            </w:r>
            <w:bookmarkEnd w:id="6"/>
          </w:p>
          <w:p w14:paraId="0E955B7D" w14:textId="77777777" w:rsidR="00B66E0C" w:rsidRDefault="00B66E0C">
            <w:pPr>
              <w:rPr>
                <w:szCs w:val="20"/>
              </w:rPr>
            </w:pPr>
          </w:p>
        </w:tc>
      </w:tr>
      <w:tr w:rsidR="00B66E0C" w14:paraId="77BC2A97" w14:textId="77777777">
        <w:tc>
          <w:tcPr>
            <w:tcW w:w="1838" w:type="dxa"/>
          </w:tcPr>
          <w:p w14:paraId="3C27C1B9" w14:textId="77777777" w:rsidR="00B66E0C" w:rsidRDefault="00557DA3">
            <w:pPr>
              <w:rPr>
                <w:szCs w:val="20"/>
                <w:lang w:eastAsia="zh-CN"/>
              </w:rPr>
            </w:pPr>
            <w:r>
              <w:rPr>
                <w:rFonts w:hint="eastAsia"/>
                <w:szCs w:val="20"/>
                <w:lang w:eastAsia="zh-CN"/>
              </w:rPr>
              <w:lastRenderedPageBreak/>
              <w:t>L</w:t>
            </w:r>
            <w:r>
              <w:rPr>
                <w:szCs w:val="20"/>
                <w:lang w:eastAsia="zh-CN"/>
              </w:rPr>
              <w:t>enovo, MotoM</w:t>
            </w:r>
          </w:p>
        </w:tc>
        <w:tc>
          <w:tcPr>
            <w:tcW w:w="7469" w:type="dxa"/>
          </w:tcPr>
          <w:p w14:paraId="5C3FB54A" w14:textId="77777777" w:rsidR="00B66E0C" w:rsidRDefault="00557DA3">
            <w:pPr>
              <w:rPr>
                <w:szCs w:val="20"/>
                <w:lang w:eastAsia="zh-CN"/>
              </w:rPr>
            </w:pPr>
            <w:r>
              <w:rPr>
                <w:rFonts w:hint="eastAsia"/>
                <w:szCs w:val="20"/>
                <w:lang w:eastAsia="zh-CN"/>
              </w:rPr>
              <w:t>W</w:t>
            </w:r>
            <w:r>
              <w:rPr>
                <w:szCs w:val="20"/>
                <w:lang w:eastAsia="zh-CN"/>
              </w:rPr>
              <w:t>e still prefer Alt-1</w:t>
            </w:r>
          </w:p>
          <w:p w14:paraId="131AC4FB" w14:textId="77777777" w:rsidR="00B66E0C" w:rsidRDefault="00557DA3">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050396A5" w14:textId="77777777" w:rsidR="00B66E0C" w:rsidRDefault="00557DA3">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75B6FA06" w14:textId="77777777" w:rsidR="00B66E0C" w:rsidRDefault="00B66E0C">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B66E0C" w14:paraId="0C63CB76" w14:textId="77777777">
              <w:trPr>
                <w:trHeight w:val="300"/>
                <w:jc w:val="center"/>
              </w:trPr>
              <w:tc>
                <w:tcPr>
                  <w:tcW w:w="960" w:type="dxa"/>
                  <w:vMerge w:val="restart"/>
                  <w:shd w:val="clear" w:color="auto" w:fill="FFFFFF" w:themeFill="background1"/>
                </w:tcPr>
                <w:p w14:paraId="07A2C054" w14:textId="77777777" w:rsidR="00B66E0C" w:rsidRDefault="00B66E0C">
                  <w:pPr>
                    <w:spacing w:after="0"/>
                    <w:jc w:val="right"/>
                    <w:rPr>
                      <w:rFonts w:ascii="Calibri" w:hAnsi="Calibri" w:cs="Calibri"/>
                    </w:rPr>
                  </w:pPr>
                </w:p>
                <w:p w14:paraId="09B90BA5" w14:textId="77777777" w:rsidR="00B66E0C" w:rsidRDefault="00B66E0C">
                  <w:pPr>
                    <w:spacing w:after="0"/>
                    <w:jc w:val="right"/>
                    <w:rPr>
                      <w:rFonts w:ascii="Calibri" w:hAnsi="Calibri" w:cs="Calibri"/>
                    </w:rPr>
                  </w:pPr>
                </w:p>
                <w:p w14:paraId="1B00641A" w14:textId="77777777" w:rsidR="00B66E0C" w:rsidRDefault="00B66E0C">
                  <w:pPr>
                    <w:spacing w:after="0"/>
                    <w:jc w:val="right"/>
                    <w:rPr>
                      <w:rFonts w:ascii="Calibri" w:hAnsi="Calibri" w:cs="Calibri"/>
                    </w:rPr>
                  </w:pPr>
                </w:p>
                <w:p w14:paraId="790D04E5" w14:textId="77777777" w:rsidR="00B66E0C" w:rsidRDefault="00B66E0C">
                  <w:pPr>
                    <w:spacing w:after="0"/>
                    <w:jc w:val="right"/>
                    <w:rPr>
                      <w:rFonts w:ascii="Calibri" w:hAnsi="Calibri" w:cs="Calibri"/>
                    </w:rPr>
                  </w:pPr>
                </w:p>
                <w:p w14:paraId="0381C207" w14:textId="77777777" w:rsidR="00B66E0C" w:rsidRDefault="00B66E0C">
                  <w:pPr>
                    <w:spacing w:after="0"/>
                    <w:jc w:val="right"/>
                    <w:rPr>
                      <w:rFonts w:ascii="Calibri" w:hAnsi="Calibri" w:cs="Calibri"/>
                    </w:rPr>
                  </w:pPr>
                </w:p>
                <w:p w14:paraId="23FD2B56" w14:textId="77777777" w:rsidR="00B66E0C" w:rsidRDefault="00557DA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2743CD6"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004EB93C"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724DDF4"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2CCD04AD" w14:textId="77777777">
              <w:trPr>
                <w:trHeight w:val="300"/>
                <w:jc w:val="center"/>
              </w:trPr>
              <w:tc>
                <w:tcPr>
                  <w:tcW w:w="960" w:type="dxa"/>
                  <w:vMerge/>
                  <w:shd w:val="clear" w:color="auto" w:fill="FFFFFF" w:themeFill="background1"/>
                </w:tcPr>
                <w:p w14:paraId="6B812C5B" w14:textId="77777777" w:rsidR="00B66E0C" w:rsidRDefault="00B66E0C">
                  <w:pPr>
                    <w:spacing w:after="0"/>
                    <w:jc w:val="center"/>
                    <w:rPr>
                      <w:rFonts w:ascii="Calibri" w:hAnsi="Calibri" w:cs="Calibri"/>
                    </w:rPr>
                  </w:pPr>
                </w:p>
              </w:tc>
              <w:tc>
                <w:tcPr>
                  <w:tcW w:w="960" w:type="dxa"/>
                  <w:shd w:val="clear" w:color="000000" w:fill="FFC7CE"/>
                  <w:noWrap/>
                  <w:vAlign w:val="bottom"/>
                </w:tcPr>
                <w:p w14:paraId="558F8BA1" w14:textId="77777777" w:rsidR="00B66E0C" w:rsidRDefault="00B66E0C">
                  <w:pPr>
                    <w:spacing w:after="0"/>
                    <w:jc w:val="right"/>
                    <w:rPr>
                      <w:rFonts w:ascii="Calibri" w:hAnsi="Calibri" w:cs="Calibri"/>
                      <w:color w:val="9C0006"/>
                    </w:rPr>
                  </w:pPr>
                </w:p>
              </w:tc>
              <w:tc>
                <w:tcPr>
                  <w:tcW w:w="960" w:type="dxa"/>
                  <w:shd w:val="clear" w:color="000000" w:fill="FFEB9C"/>
                  <w:noWrap/>
                  <w:vAlign w:val="bottom"/>
                </w:tcPr>
                <w:p w14:paraId="7EEC80F7" w14:textId="77777777" w:rsidR="00B66E0C" w:rsidRDefault="00B66E0C">
                  <w:pPr>
                    <w:spacing w:after="0"/>
                    <w:jc w:val="right"/>
                    <w:rPr>
                      <w:rFonts w:ascii="Calibri" w:hAnsi="Calibri" w:cs="Calibri"/>
                      <w:color w:val="9C5700"/>
                    </w:rPr>
                  </w:pPr>
                </w:p>
              </w:tc>
              <w:tc>
                <w:tcPr>
                  <w:tcW w:w="960" w:type="dxa"/>
                  <w:shd w:val="clear" w:color="000000" w:fill="C6EFCE"/>
                  <w:noWrap/>
                  <w:vAlign w:val="bottom"/>
                </w:tcPr>
                <w:p w14:paraId="521C8FFF" w14:textId="77777777" w:rsidR="00B66E0C" w:rsidRDefault="00B66E0C">
                  <w:pPr>
                    <w:spacing w:after="0"/>
                    <w:jc w:val="right"/>
                    <w:rPr>
                      <w:rFonts w:ascii="Calibri" w:hAnsi="Calibri" w:cs="Calibri"/>
                      <w:color w:val="006100"/>
                    </w:rPr>
                  </w:pPr>
                </w:p>
              </w:tc>
            </w:tr>
            <w:tr w:rsidR="00B66E0C" w14:paraId="4305F374" w14:textId="77777777">
              <w:trPr>
                <w:trHeight w:val="300"/>
                <w:jc w:val="center"/>
              </w:trPr>
              <w:tc>
                <w:tcPr>
                  <w:tcW w:w="960" w:type="dxa"/>
                  <w:vMerge/>
                  <w:shd w:val="clear" w:color="auto" w:fill="FFFFFF" w:themeFill="background1"/>
                </w:tcPr>
                <w:p w14:paraId="50392EEC" w14:textId="77777777" w:rsidR="00B66E0C" w:rsidRDefault="00B66E0C">
                  <w:pPr>
                    <w:spacing w:after="0"/>
                    <w:jc w:val="right"/>
                    <w:rPr>
                      <w:rFonts w:ascii="Calibri" w:hAnsi="Calibri" w:cs="Calibri"/>
                    </w:rPr>
                  </w:pPr>
                </w:p>
              </w:tc>
              <w:tc>
                <w:tcPr>
                  <w:tcW w:w="960" w:type="dxa"/>
                  <w:shd w:val="clear" w:color="000000" w:fill="FFEB9C"/>
                  <w:noWrap/>
                  <w:vAlign w:val="bottom"/>
                </w:tcPr>
                <w:p w14:paraId="3CC9F7EA"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B38A03B"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667B134"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10AC15FA" w14:textId="77777777">
              <w:trPr>
                <w:trHeight w:val="300"/>
                <w:jc w:val="center"/>
              </w:trPr>
              <w:tc>
                <w:tcPr>
                  <w:tcW w:w="960" w:type="dxa"/>
                  <w:vMerge/>
                  <w:shd w:val="clear" w:color="auto" w:fill="FFFFFF" w:themeFill="background1"/>
                </w:tcPr>
                <w:p w14:paraId="565981A1" w14:textId="77777777" w:rsidR="00B66E0C" w:rsidRDefault="00B66E0C">
                  <w:pPr>
                    <w:spacing w:after="0"/>
                    <w:jc w:val="right"/>
                    <w:rPr>
                      <w:rFonts w:ascii="Calibri" w:hAnsi="Calibri" w:cs="Calibri"/>
                    </w:rPr>
                  </w:pPr>
                </w:p>
              </w:tc>
              <w:tc>
                <w:tcPr>
                  <w:tcW w:w="960" w:type="dxa"/>
                  <w:shd w:val="clear" w:color="000000" w:fill="FFEB9C"/>
                  <w:noWrap/>
                  <w:vAlign w:val="bottom"/>
                </w:tcPr>
                <w:p w14:paraId="42CEEB2F"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72140EB"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1C43EDA"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ECDC80C" w14:textId="77777777">
              <w:trPr>
                <w:trHeight w:val="300"/>
                <w:jc w:val="center"/>
              </w:trPr>
              <w:tc>
                <w:tcPr>
                  <w:tcW w:w="960" w:type="dxa"/>
                  <w:vMerge/>
                  <w:shd w:val="clear" w:color="auto" w:fill="FFFFFF" w:themeFill="background1"/>
                </w:tcPr>
                <w:p w14:paraId="34D3D723" w14:textId="77777777" w:rsidR="00B66E0C" w:rsidRDefault="00B66E0C">
                  <w:pPr>
                    <w:spacing w:after="0"/>
                    <w:jc w:val="right"/>
                    <w:rPr>
                      <w:rFonts w:ascii="Calibri" w:hAnsi="Calibri" w:cs="Calibri"/>
                    </w:rPr>
                  </w:pPr>
                </w:p>
              </w:tc>
              <w:tc>
                <w:tcPr>
                  <w:tcW w:w="960" w:type="dxa"/>
                  <w:shd w:val="clear" w:color="000000" w:fill="FFEB9C"/>
                  <w:noWrap/>
                  <w:vAlign w:val="bottom"/>
                </w:tcPr>
                <w:p w14:paraId="3DF11FD9"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65FA245"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DE1141E"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03CAC346" w14:textId="77777777">
              <w:trPr>
                <w:trHeight w:val="300"/>
                <w:jc w:val="center"/>
              </w:trPr>
              <w:tc>
                <w:tcPr>
                  <w:tcW w:w="960" w:type="dxa"/>
                  <w:vMerge/>
                  <w:shd w:val="clear" w:color="auto" w:fill="FFFFFF" w:themeFill="background1"/>
                </w:tcPr>
                <w:p w14:paraId="778045A7" w14:textId="77777777" w:rsidR="00B66E0C" w:rsidRDefault="00B66E0C">
                  <w:pPr>
                    <w:spacing w:after="0"/>
                    <w:jc w:val="right"/>
                    <w:rPr>
                      <w:rFonts w:ascii="Calibri" w:hAnsi="Calibri" w:cs="Calibri"/>
                    </w:rPr>
                  </w:pPr>
                </w:p>
              </w:tc>
              <w:tc>
                <w:tcPr>
                  <w:tcW w:w="960" w:type="dxa"/>
                  <w:shd w:val="clear" w:color="000000" w:fill="FFEB9C"/>
                  <w:noWrap/>
                  <w:vAlign w:val="bottom"/>
                </w:tcPr>
                <w:p w14:paraId="0EFD1AF2"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EFF7262"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8D3E37B"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1BC2BD62" w14:textId="77777777">
              <w:trPr>
                <w:trHeight w:val="300"/>
                <w:jc w:val="center"/>
              </w:trPr>
              <w:tc>
                <w:tcPr>
                  <w:tcW w:w="960" w:type="dxa"/>
                  <w:vMerge/>
                  <w:shd w:val="clear" w:color="auto" w:fill="FFFFFF" w:themeFill="background1"/>
                </w:tcPr>
                <w:p w14:paraId="14B202E3" w14:textId="77777777" w:rsidR="00B66E0C" w:rsidRDefault="00B66E0C">
                  <w:pPr>
                    <w:spacing w:after="0"/>
                    <w:jc w:val="right"/>
                    <w:rPr>
                      <w:rFonts w:ascii="Calibri" w:hAnsi="Calibri" w:cs="Calibri"/>
                    </w:rPr>
                  </w:pPr>
                </w:p>
              </w:tc>
              <w:tc>
                <w:tcPr>
                  <w:tcW w:w="960" w:type="dxa"/>
                  <w:shd w:val="clear" w:color="000000" w:fill="FFEB9C"/>
                  <w:noWrap/>
                  <w:vAlign w:val="bottom"/>
                </w:tcPr>
                <w:p w14:paraId="0C25899F"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71D535C"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B13A58B"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082F6D1C" w14:textId="77777777">
              <w:trPr>
                <w:trHeight w:val="300"/>
                <w:jc w:val="center"/>
              </w:trPr>
              <w:tc>
                <w:tcPr>
                  <w:tcW w:w="960" w:type="dxa"/>
                  <w:vMerge/>
                  <w:shd w:val="clear" w:color="auto" w:fill="FFFFFF" w:themeFill="background1"/>
                </w:tcPr>
                <w:p w14:paraId="18E8240F" w14:textId="77777777" w:rsidR="00B66E0C" w:rsidRDefault="00B66E0C">
                  <w:pPr>
                    <w:spacing w:after="0"/>
                    <w:jc w:val="right"/>
                    <w:rPr>
                      <w:rFonts w:ascii="Calibri" w:hAnsi="Calibri" w:cs="Calibri"/>
                    </w:rPr>
                  </w:pPr>
                </w:p>
              </w:tc>
              <w:tc>
                <w:tcPr>
                  <w:tcW w:w="960" w:type="dxa"/>
                  <w:shd w:val="clear" w:color="000000" w:fill="FFC7CE"/>
                  <w:noWrap/>
                  <w:vAlign w:val="bottom"/>
                </w:tcPr>
                <w:p w14:paraId="1CBC038E"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73E12996"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200558E1"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7933B292" w14:textId="77777777">
              <w:trPr>
                <w:trHeight w:val="300"/>
                <w:jc w:val="center"/>
              </w:trPr>
              <w:tc>
                <w:tcPr>
                  <w:tcW w:w="960" w:type="dxa"/>
                  <w:vMerge/>
                  <w:shd w:val="clear" w:color="auto" w:fill="FFFFFF" w:themeFill="background1"/>
                </w:tcPr>
                <w:p w14:paraId="1E797595" w14:textId="77777777" w:rsidR="00B66E0C" w:rsidRDefault="00B66E0C">
                  <w:pPr>
                    <w:spacing w:after="0"/>
                    <w:jc w:val="right"/>
                    <w:rPr>
                      <w:rFonts w:ascii="Calibri" w:hAnsi="Calibri" w:cs="Calibri"/>
                    </w:rPr>
                  </w:pPr>
                </w:p>
              </w:tc>
              <w:tc>
                <w:tcPr>
                  <w:tcW w:w="960" w:type="dxa"/>
                  <w:shd w:val="clear" w:color="000000" w:fill="FFEB9C"/>
                  <w:noWrap/>
                  <w:vAlign w:val="bottom"/>
                </w:tcPr>
                <w:p w14:paraId="34A0A7A0"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24B7E71"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53E7C4E"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3F01526" w14:textId="77777777">
              <w:trPr>
                <w:trHeight w:val="300"/>
                <w:jc w:val="center"/>
              </w:trPr>
              <w:tc>
                <w:tcPr>
                  <w:tcW w:w="960" w:type="dxa"/>
                  <w:vMerge/>
                  <w:shd w:val="clear" w:color="auto" w:fill="FFFFFF" w:themeFill="background1"/>
                </w:tcPr>
                <w:p w14:paraId="4F567D27" w14:textId="77777777" w:rsidR="00B66E0C" w:rsidRDefault="00B66E0C">
                  <w:pPr>
                    <w:spacing w:after="0"/>
                    <w:jc w:val="right"/>
                    <w:rPr>
                      <w:rFonts w:ascii="Calibri" w:hAnsi="Calibri" w:cs="Calibri"/>
                    </w:rPr>
                  </w:pPr>
                </w:p>
              </w:tc>
              <w:tc>
                <w:tcPr>
                  <w:tcW w:w="960" w:type="dxa"/>
                  <w:shd w:val="clear" w:color="000000" w:fill="FFEB9C"/>
                  <w:noWrap/>
                  <w:vAlign w:val="bottom"/>
                </w:tcPr>
                <w:p w14:paraId="440C3395"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323C2FB"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DFBE79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929DE5F" w14:textId="77777777">
              <w:trPr>
                <w:trHeight w:val="300"/>
                <w:jc w:val="center"/>
              </w:trPr>
              <w:tc>
                <w:tcPr>
                  <w:tcW w:w="960" w:type="dxa"/>
                  <w:vMerge/>
                  <w:shd w:val="clear" w:color="auto" w:fill="FFFFFF" w:themeFill="background1"/>
                </w:tcPr>
                <w:p w14:paraId="1C681A5D" w14:textId="77777777" w:rsidR="00B66E0C" w:rsidRDefault="00B66E0C">
                  <w:pPr>
                    <w:spacing w:after="0"/>
                    <w:jc w:val="right"/>
                    <w:rPr>
                      <w:rFonts w:ascii="Calibri" w:hAnsi="Calibri" w:cs="Calibri"/>
                    </w:rPr>
                  </w:pPr>
                </w:p>
              </w:tc>
              <w:tc>
                <w:tcPr>
                  <w:tcW w:w="960" w:type="dxa"/>
                  <w:shd w:val="clear" w:color="000000" w:fill="FFEB9C"/>
                  <w:noWrap/>
                  <w:vAlign w:val="bottom"/>
                </w:tcPr>
                <w:p w14:paraId="60C8272B"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9937E1A"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A599159"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5DD6353E" w14:textId="77777777">
              <w:trPr>
                <w:trHeight w:val="300"/>
                <w:jc w:val="center"/>
              </w:trPr>
              <w:tc>
                <w:tcPr>
                  <w:tcW w:w="960" w:type="dxa"/>
                  <w:vMerge/>
                  <w:shd w:val="clear" w:color="auto" w:fill="FFFFFF" w:themeFill="background1"/>
                </w:tcPr>
                <w:p w14:paraId="6644B096" w14:textId="77777777" w:rsidR="00B66E0C" w:rsidRDefault="00B66E0C">
                  <w:pPr>
                    <w:spacing w:after="0"/>
                    <w:jc w:val="right"/>
                    <w:rPr>
                      <w:rFonts w:ascii="Calibri" w:hAnsi="Calibri" w:cs="Calibri"/>
                    </w:rPr>
                  </w:pPr>
                </w:p>
              </w:tc>
              <w:tc>
                <w:tcPr>
                  <w:tcW w:w="960" w:type="dxa"/>
                  <w:shd w:val="clear" w:color="000000" w:fill="FFEB9C"/>
                  <w:noWrap/>
                  <w:vAlign w:val="bottom"/>
                </w:tcPr>
                <w:p w14:paraId="74374EAB"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8D1F0B5"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90C098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EE3D880" w14:textId="77777777">
              <w:trPr>
                <w:trHeight w:val="300"/>
                <w:jc w:val="center"/>
              </w:trPr>
              <w:tc>
                <w:tcPr>
                  <w:tcW w:w="960" w:type="dxa"/>
                  <w:vMerge/>
                  <w:shd w:val="clear" w:color="auto" w:fill="FFFFFF" w:themeFill="background1"/>
                </w:tcPr>
                <w:p w14:paraId="7DC56429" w14:textId="77777777" w:rsidR="00B66E0C" w:rsidRDefault="00B66E0C">
                  <w:pPr>
                    <w:spacing w:after="0"/>
                    <w:jc w:val="right"/>
                    <w:rPr>
                      <w:rFonts w:ascii="Calibri" w:hAnsi="Calibri" w:cs="Calibri"/>
                    </w:rPr>
                  </w:pPr>
                </w:p>
              </w:tc>
              <w:tc>
                <w:tcPr>
                  <w:tcW w:w="960" w:type="dxa"/>
                  <w:shd w:val="clear" w:color="000000" w:fill="FFEB9C"/>
                  <w:noWrap/>
                  <w:vAlign w:val="bottom"/>
                </w:tcPr>
                <w:p w14:paraId="18A07487"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EA32DCB"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5209AEA" w14:textId="77777777" w:rsidR="00B66E0C" w:rsidRDefault="00557DA3">
                  <w:pPr>
                    <w:spacing w:after="0"/>
                    <w:jc w:val="right"/>
                    <w:rPr>
                      <w:rFonts w:ascii="Calibri" w:hAnsi="Calibri" w:cs="Calibri"/>
                      <w:color w:val="9C5700"/>
                    </w:rPr>
                  </w:pPr>
                  <w:r>
                    <w:rPr>
                      <w:rFonts w:ascii="Calibri" w:hAnsi="Calibri" w:cs="Calibri"/>
                      <w:color w:val="9C5700"/>
                    </w:rPr>
                    <w:t>2</w:t>
                  </w:r>
                </w:p>
              </w:tc>
            </w:tr>
          </w:tbl>
          <w:p w14:paraId="45F58A01" w14:textId="77777777" w:rsidR="00B66E0C" w:rsidRDefault="00B66E0C">
            <w:pPr>
              <w:rPr>
                <w:szCs w:val="20"/>
                <w:lang w:eastAsia="zh-CN"/>
              </w:rPr>
            </w:pPr>
          </w:p>
        </w:tc>
      </w:tr>
      <w:tr w:rsidR="00B66E0C" w14:paraId="39D75D11" w14:textId="77777777">
        <w:tc>
          <w:tcPr>
            <w:tcW w:w="1838" w:type="dxa"/>
          </w:tcPr>
          <w:p w14:paraId="08BAE815" w14:textId="77777777" w:rsidR="00B66E0C" w:rsidRDefault="00557DA3">
            <w:pPr>
              <w:rPr>
                <w:szCs w:val="20"/>
                <w:lang w:eastAsia="zh-CN"/>
              </w:rPr>
            </w:pPr>
            <w:r>
              <w:rPr>
                <w:rFonts w:hint="eastAsia"/>
                <w:szCs w:val="20"/>
                <w:lang w:eastAsia="zh-CN"/>
              </w:rPr>
              <w:t>ZTE, Sanechips</w:t>
            </w:r>
          </w:p>
        </w:tc>
        <w:tc>
          <w:tcPr>
            <w:tcW w:w="7469" w:type="dxa"/>
          </w:tcPr>
          <w:p w14:paraId="05661F9C" w14:textId="77777777" w:rsidR="00B66E0C" w:rsidRDefault="00557DA3">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NPDSCH EPRE to NRS EPRE in symbols without NRS</w:t>
            </w:r>
            <w:r>
              <w:rPr>
                <w:rFonts w:cs="Times" w:hint="eastAsia"/>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B66E0C" w14:paraId="54565F5C" w14:textId="77777777">
        <w:tc>
          <w:tcPr>
            <w:tcW w:w="1838" w:type="dxa"/>
          </w:tcPr>
          <w:p w14:paraId="161A3443" w14:textId="77777777" w:rsidR="00B66E0C" w:rsidRDefault="00557DA3">
            <w:pPr>
              <w:rPr>
                <w:szCs w:val="20"/>
                <w:lang w:eastAsia="zh-CN"/>
              </w:rPr>
            </w:pPr>
            <w:r>
              <w:rPr>
                <w:szCs w:val="20"/>
                <w:lang w:eastAsia="zh-CN"/>
              </w:rPr>
              <w:t>Nokia, NSB</w:t>
            </w:r>
          </w:p>
        </w:tc>
        <w:tc>
          <w:tcPr>
            <w:tcW w:w="7469" w:type="dxa"/>
          </w:tcPr>
          <w:p w14:paraId="0653B513" w14:textId="77777777" w:rsidR="00B66E0C" w:rsidRDefault="00557DA3">
            <w:pPr>
              <w:rPr>
                <w:szCs w:val="20"/>
                <w:lang w:eastAsia="zh-CN"/>
              </w:rPr>
            </w:pPr>
            <w:r>
              <w:rPr>
                <w:szCs w:val="20"/>
                <w:lang w:eastAsia="zh-CN"/>
              </w:rPr>
              <w:t>We support proposal 6</w:t>
            </w:r>
          </w:p>
        </w:tc>
      </w:tr>
      <w:tr w:rsidR="00B66E0C" w14:paraId="466E95C7" w14:textId="77777777">
        <w:tc>
          <w:tcPr>
            <w:tcW w:w="1838" w:type="dxa"/>
          </w:tcPr>
          <w:p w14:paraId="109534E0" w14:textId="77777777" w:rsidR="00B66E0C" w:rsidRDefault="00557DA3">
            <w:pPr>
              <w:rPr>
                <w:szCs w:val="20"/>
                <w:lang w:eastAsia="zh-CN"/>
              </w:rPr>
            </w:pPr>
            <w:r>
              <w:rPr>
                <w:szCs w:val="20"/>
                <w:lang w:eastAsia="zh-CN"/>
              </w:rPr>
              <w:t>Qualcomm</w:t>
            </w:r>
          </w:p>
        </w:tc>
        <w:tc>
          <w:tcPr>
            <w:tcW w:w="7469" w:type="dxa"/>
          </w:tcPr>
          <w:p w14:paraId="471A30CB" w14:textId="77777777" w:rsidR="00B66E0C" w:rsidRDefault="00557DA3">
            <w:pPr>
              <w:rPr>
                <w:szCs w:val="20"/>
                <w:lang w:eastAsia="zh-CN"/>
              </w:rPr>
            </w:pPr>
            <w:r>
              <w:rPr>
                <w:szCs w:val="20"/>
                <w:lang w:eastAsia="zh-CN"/>
              </w:rPr>
              <w:t>Proposal 6 is OK.</w:t>
            </w:r>
          </w:p>
          <w:p w14:paraId="52CEB728" w14:textId="77777777" w:rsidR="00B66E0C" w:rsidRDefault="00557DA3">
            <w:pPr>
              <w:rPr>
                <w:szCs w:val="20"/>
                <w:lang w:eastAsia="zh-CN"/>
              </w:rPr>
            </w:pPr>
            <w:r>
              <w:rPr>
                <w:szCs w:val="20"/>
                <w:lang w:eastAsia="zh-CN"/>
              </w:rPr>
              <w:t>For in-band, let us reply to some of the comments:</w:t>
            </w:r>
          </w:p>
          <w:p w14:paraId="5F556A72" w14:textId="77777777" w:rsidR="00B66E0C" w:rsidRDefault="00557DA3">
            <w:pPr>
              <w:rPr>
                <w:lang w:val="en-GB"/>
              </w:rPr>
            </w:pPr>
            <w:r>
              <w:rPr>
                <w:szCs w:val="20"/>
                <w:lang w:eastAsia="zh-CN"/>
              </w:rPr>
              <w:t>“</w:t>
            </w:r>
            <w:r>
              <w:rPr>
                <w:lang w:eastAsia="zh-CN"/>
              </w:rPr>
              <w:t>However, there will be different transmit power for symbol 1 and 2. It seems the design is not aligned.”</w:t>
            </w:r>
          </w:p>
          <w:p w14:paraId="6AE18D59" w14:textId="77777777" w:rsidR="00B66E0C" w:rsidRDefault="00557DA3">
            <w:pPr>
              <w:rPr>
                <w:szCs w:val="20"/>
                <w:lang w:eastAsia="zh-CN"/>
              </w:rPr>
            </w:pPr>
            <w:r>
              <w:rPr>
                <w:szCs w:val="20"/>
                <w:lang w:eastAsia="zh-CN"/>
              </w:rPr>
              <w:lastRenderedPageBreak/>
              <w:t>The transmit power in symbols 1 and 2 are indeed different if you only take into account the NBIOT PRB. If you add the other PRB we show in our contribution, the power is constant (that’s the whole point).</w:t>
            </w:r>
          </w:p>
          <w:p w14:paraId="69F88BC9" w14:textId="77777777" w:rsidR="00B66E0C" w:rsidRDefault="00557DA3">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14:paraId="7F1792FB" w14:textId="77777777" w:rsidR="00B66E0C" w:rsidRDefault="00557DA3">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bl>
    <w:p w14:paraId="1B74D108" w14:textId="77777777" w:rsidR="00B66E0C" w:rsidRDefault="00B66E0C">
      <w:pPr>
        <w:autoSpaceDE/>
        <w:autoSpaceDN/>
        <w:adjustRightInd/>
        <w:snapToGrid/>
        <w:spacing w:after="0"/>
        <w:rPr>
          <w:b/>
          <w:szCs w:val="21"/>
          <w:lang w:eastAsia="zh-CN"/>
        </w:rPr>
      </w:pPr>
    </w:p>
    <w:p w14:paraId="6B83DC4C" w14:textId="77777777" w:rsidR="00B66E0C" w:rsidRDefault="00557DA3">
      <w:pPr>
        <w:pStyle w:val="30"/>
      </w:pPr>
      <w:r>
        <w:rPr>
          <w:lang w:eastAsia="zh-CN"/>
        </w:rPr>
        <w:t>Issue 4: uplink power control</w:t>
      </w:r>
    </w:p>
    <w:p w14:paraId="3CA738E2" w14:textId="77777777" w:rsidR="00B66E0C" w:rsidRDefault="00557DA3">
      <w:r>
        <w:rPr>
          <w:rFonts w:hint="eastAsia"/>
        </w:rPr>
        <w:t xml:space="preserve">There are following proposals on </w:t>
      </w:r>
      <w:r>
        <w:t>uplink power control.</w:t>
      </w:r>
    </w:p>
    <w:tbl>
      <w:tblPr>
        <w:tblStyle w:val="af1"/>
        <w:tblW w:w="0" w:type="auto"/>
        <w:tblLook w:val="04A0" w:firstRow="1" w:lastRow="0" w:firstColumn="1" w:lastColumn="0" w:noHBand="0" w:noVBand="1"/>
      </w:tblPr>
      <w:tblGrid>
        <w:gridCol w:w="1838"/>
        <w:gridCol w:w="7469"/>
      </w:tblGrid>
      <w:tr w:rsidR="00B66E0C" w14:paraId="414AD682" w14:textId="77777777">
        <w:tc>
          <w:tcPr>
            <w:tcW w:w="1838" w:type="dxa"/>
          </w:tcPr>
          <w:p w14:paraId="763E17E1" w14:textId="77777777" w:rsidR="00B66E0C" w:rsidRDefault="00557DA3">
            <w:pPr>
              <w:rPr>
                <w:szCs w:val="20"/>
              </w:rPr>
            </w:pPr>
            <w:r>
              <w:rPr>
                <w:rFonts w:hint="eastAsia"/>
                <w:szCs w:val="20"/>
              </w:rPr>
              <w:t>Sourcing</w:t>
            </w:r>
          </w:p>
        </w:tc>
        <w:tc>
          <w:tcPr>
            <w:tcW w:w="7469" w:type="dxa"/>
          </w:tcPr>
          <w:p w14:paraId="47271484" w14:textId="77777777" w:rsidR="00B66E0C" w:rsidRDefault="00557DA3">
            <w:pPr>
              <w:rPr>
                <w:szCs w:val="20"/>
              </w:rPr>
            </w:pPr>
            <w:r>
              <w:rPr>
                <w:rFonts w:hint="eastAsia"/>
                <w:szCs w:val="20"/>
              </w:rPr>
              <w:t>proposals</w:t>
            </w:r>
          </w:p>
        </w:tc>
      </w:tr>
      <w:tr w:rsidR="00B66E0C" w14:paraId="489B3F56" w14:textId="77777777">
        <w:tc>
          <w:tcPr>
            <w:tcW w:w="1838" w:type="dxa"/>
          </w:tcPr>
          <w:p w14:paraId="6F1408CC" w14:textId="77777777" w:rsidR="00B66E0C" w:rsidRDefault="00557DA3">
            <w:pPr>
              <w:rPr>
                <w:szCs w:val="20"/>
              </w:rPr>
            </w:pPr>
            <w:r>
              <w:rPr>
                <w:rFonts w:hint="eastAsia"/>
                <w:szCs w:val="20"/>
              </w:rPr>
              <w:t>[</w:t>
            </w:r>
            <w:r>
              <w:rPr>
                <w:szCs w:val="20"/>
              </w:rPr>
              <w:t>2]</w:t>
            </w:r>
          </w:p>
        </w:tc>
        <w:tc>
          <w:tcPr>
            <w:tcW w:w="7469" w:type="dxa"/>
          </w:tcPr>
          <w:p w14:paraId="6EA27690" w14:textId="77777777" w:rsidR="00B66E0C" w:rsidRDefault="00557DA3">
            <w:pPr>
              <w:rPr>
                <w:b/>
                <w:lang w:eastAsia="zh-CN"/>
              </w:rPr>
            </w:pPr>
            <w:r>
              <w:rPr>
                <w:b/>
              </w:rPr>
              <w:t>Proposal 9</w:t>
            </w:r>
            <w:r>
              <w:rPr>
                <w:rFonts w:hint="eastAsia"/>
                <w:b/>
              </w:rPr>
              <w:t>：</w:t>
            </w:r>
            <w:r>
              <w:rPr>
                <w:rFonts w:hint="eastAsia"/>
                <w:b/>
              </w:rPr>
              <w:t xml:space="preserve">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 to support </w:t>
            </w:r>
            <w:r>
              <w:rPr>
                <w:b/>
                <w:lang w:eastAsia="zh-CN"/>
              </w:rPr>
              <w:t>16QAM in NPUSCH, which reuses the LTE term.</w:t>
            </w:r>
          </w:p>
          <w:p w14:paraId="73EE0750" w14:textId="77777777" w:rsidR="00B66E0C" w:rsidRDefault="00557DA3">
            <w:pPr>
              <w:pStyle w:val="af7"/>
              <w:numPr>
                <w:ilvl w:val="0"/>
                <w:numId w:val="24"/>
              </w:numPr>
              <w:spacing w:line="240" w:lineRule="auto"/>
              <w:rPr>
                <w:b/>
              </w:rPr>
            </w:pPr>
            <w:r>
              <w:rPr>
                <w:rFonts w:ascii="Times New Roman" w:hAnsi="Times New Roman" w:cs="Times New Roman"/>
                <w:b/>
                <w:sz w:val="22"/>
                <w:szCs w:val="22"/>
              </w:rPr>
              <w:t xml:space="preserve">The uplink power control factor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oMath>
            <w:r>
              <w:rPr>
                <w:rFonts w:ascii="Times New Roman" w:hAnsi="Times New Roman" w:cs="Times New Roman"/>
                <w:b/>
                <w:sz w:val="22"/>
                <w:szCs w:val="22"/>
              </w:rPr>
              <w:t xml:space="preserve"> is calculated as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r>
                <m:rPr>
                  <m:sty m:val="b"/>
                </m:rPr>
                <w:rPr>
                  <w:rFonts w:ascii="Cambria Math" w:hAnsi="Cambria Math" w:cs="Times New Roman"/>
                  <w:sz w:val="22"/>
                  <w:szCs w:val="22"/>
                </w:rPr>
                <m:t>=10</m:t>
              </m:r>
              <m:sSub>
                <m:sSubPr>
                  <m:ctrlPr>
                    <w:rPr>
                      <w:rFonts w:ascii="Cambria Math" w:hAnsi="Cambria Math" w:cs="Times New Roman"/>
                      <w:b/>
                      <w:sz w:val="22"/>
                      <w:szCs w:val="22"/>
                    </w:rPr>
                  </m:ctrlPr>
                </m:sSubPr>
                <m:e>
                  <m:r>
                    <m:rPr>
                      <m:sty m:val="b"/>
                    </m:rPr>
                    <w:rPr>
                      <w:rFonts w:ascii="Cambria Math" w:hAnsi="Cambria Math" w:cs="Times New Roman"/>
                      <w:sz w:val="22"/>
                      <w:szCs w:val="22"/>
                    </w:rPr>
                    <m:t>log</m:t>
                  </m:r>
                </m:e>
                <m:sub>
                  <m:r>
                    <m:rPr>
                      <m:sty m:val="b"/>
                    </m:rPr>
                    <w:rPr>
                      <w:rFonts w:ascii="Cambria Math" w:hAnsi="Cambria Math" w:cs="Times New Roman"/>
                      <w:sz w:val="22"/>
                      <w:szCs w:val="22"/>
                    </w:rPr>
                    <m:t>10</m:t>
                  </m:r>
                </m:sub>
              </m:sSub>
              <m:d>
                <m:dPr>
                  <m:ctrlPr>
                    <w:rPr>
                      <w:rFonts w:ascii="Cambria Math" w:hAnsi="Cambria Math" w:cs="Times New Roman"/>
                      <w:b/>
                      <w:sz w:val="22"/>
                      <w:szCs w:val="22"/>
                    </w:rPr>
                  </m:ctrlPr>
                </m:dPr>
                <m:e>
                  <m:d>
                    <m:dPr>
                      <m:ctrlPr>
                        <w:rPr>
                          <w:rFonts w:ascii="Cambria Math" w:hAnsi="Cambria Math" w:cs="Times New Roman"/>
                          <w:b/>
                          <w:sz w:val="22"/>
                          <w:szCs w:val="22"/>
                        </w:rPr>
                      </m:ctrlPr>
                    </m:dPr>
                    <m:e>
                      <m:sSup>
                        <m:sSupPr>
                          <m:ctrlPr>
                            <w:rPr>
                              <w:rFonts w:ascii="Cambria Math" w:hAnsi="Cambria Math" w:cs="Times New Roman"/>
                              <w:b/>
                              <w:sz w:val="22"/>
                              <w:szCs w:val="22"/>
                            </w:rPr>
                          </m:ctrlPr>
                        </m:sSupPr>
                        <m:e>
                          <m:r>
                            <m:rPr>
                              <m:sty m:val="b"/>
                            </m:rPr>
                            <w:rPr>
                              <w:rFonts w:ascii="Cambria Math" w:hAnsi="Cambria Math" w:cs="Times New Roman"/>
                              <w:sz w:val="22"/>
                              <w:szCs w:val="22"/>
                            </w:rPr>
                            <m:t>2</m:t>
                          </m:r>
                        </m:e>
                        <m:sup>
                          <m:r>
                            <m:rPr>
                              <m:sty m:val="bi"/>
                            </m:rPr>
                            <w:rPr>
                              <w:rFonts w:ascii="Cambria Math" w:hAnsi="Cambria Math" w:cs="Times New Roman"/>
                              <w:sz w:val="22"/>
                              <w:szCs w:val="22"/>
                            </w:rPr>
                            <m:t>BPRE</m:t>
                          </m:r>
                          <m:r>
                            <m:rPr>
                              <m:sty m:val="b"/>
                            </m:rPr>
                            <w:rPr>
                              <w:rFonts w:ascii="Cambria Math" w:hAnsi="Cambria Math" w:cs="Times New Roman"/>
                              <w:sz w:val="22"/>
                              <w:szCs w:val="22"/>
                            </w:rPr>
                            <m:t>∙</m:t>
                          </m:r>
                          <m:sSub>
                            <m:sSubPr>
                              <m:ctrlPr>
                                <w:rPr>
                                  <w:rFonts w:ascii="Cambria Math" w:hAnsi="Cambria Math" w:cs="Times New Roman"/>
                                  <w:b/>
                                  <w:sz w:val="22"/>
                                  <w:szCs w:val="22"/>
                                </w:rPr>
                              </m:ctrlPr>
                            </m:sSubPr>
                            <m:e>
                              <m:r>
                                <m:rPr>
                                  <m:sty m:val="bi"/>
                                </m:rPr>
                                <w:rPr>
                                  <w:rFonts w:ascii="Cambria Math" w:hAnsi="Cambria Math" w:cs="Times New Roman"/>
                                  <w:sz w:val="22"/>
                                  <w:szCs w:val="22"/>
                                </w:rPr>
                                <m:t>K</m:t>
                              </m:r>
                            </m:e>
                            <m:sub>
                              <m:r>
                                <m:rPr>
                                  <m:sty m:val="bi"/>
                                </m:rPr>
                                <w:rPr>
                                  <w:rFonts w:ascii="Cambria Math" w:hAnsi="Cambria Math" w:cs="Times New Roman"/>
                                  <w:sz w:val="22"/>
                                  <w:szCs w:val="22"/>
                                </w:rPr>
                                <m:t>s</m:t>
                              </m:r>
                            </m:sub>
                          </m:sSub>
                        </m:sup>
                      </m:sSup>
                      <m:r>
                        <m:rPr>
                          <m:sty m:val="b"/>
                        </m:rPr>
                        <w:rPr>
                          <w:rFonts w:ascii="Cambria Math" w:hAnsi="Cambria Math" w:cs="Times New Roman"/>
                          <w:sz w:val="22"/>
                          <w:szCs w:val="22"/>
                        </w:rPr>
                        <m:t>-1</m:t>
                      </m:r>
                    </m:e>
                  </m:d>
                </m:e>
              </m:d>
            </m:oMath>
          </w:p>
          <w:p w14:paraId="15430ECB" w14:textId="77777777" w:rsidR="00B66E0C" w:rsidRDefault="00B66E0C">
            <w:pPr>
              <w:rPr>
                <w:szCs w:val="20"/>
              </w:rPr>
            </w:pPr>
          </w:p>
        </w:tc>
      </w:tr>
      <w:tr w:rsidR="00B66E0C" w14:paraId="5F22B0A5" w14:textId="77777777">
        <w:tc>
          <w:tcPr>
            <w:tcW w:w="1838" w:type="dxa"/>
          </w:tcPr>
          <w:p w14:paraId="06D9ABEC" w14:textId="77777777" w:rsidR="00B66E0C" w:rsidRDefault="00557DA3">
            <w:pPr>
              <w:rPr>
                <w:szCs w:val="20"/>
              </w:rPr>
            </w:pPr>
            <w:r>
              <w:rPr>
                <w:rFonts w:hint="eastAsia"/>
                <w:szCs w:val="20"/>
              </w:rPr>
              <w:t>[</w:t>
            </w:r>
            <w:r>
              <w:rPr>
                <w:szCs w:val="20"/>
              </w:rPr>
              <w:t>3]</w:t>
            </w:r>
          </w:p>
        </w:tc>
        <w:tc>
          <w:tcPr>
            <w:tcW w:w="7469" w:type="dxa"/>
          </w:tcPr>
          <w:p w14:paraId="67A542DD" w14:textId="77777777" w:rsidR="00B66E0C" w:rsidRDefault="00557DA3">
            <w:pPr>
              <w:rPr>
                <w:b/>
                <w:bCs/>
                <w:lang w:eastAsia="en-GB"/>
              </w:rPr>
            </w:pPr>
            <w:r>
              <w:rPr>
                <w:b/>
                <w:bCs/>
                <w:lang w:eastAsia="en-GB"/>
              </w:rPr>
              <w:t xml:space="preserve">Proposal 8: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06DF3293" w14:textId="77777777" w:rsidR="00B66E0C" w:rsidRDefault="00557DA3">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63E6946E" w14:textId="77777777" w:rsidR="00B66E0C" w:rsidRDefault="00557DA3">
            <w:pPr>
              <w:rPr>
                <w:b/>
                <w:bCs/>
                <w:lang w:eastAsia="en-GB"/>
              </w:rPr>
            </w:pPr>
            <w:r>
              <w:rPr>
                <w:b/>
                <w:bCs/>
                <w:lang w:eastAsia="en-GB"/>
              </w:rPr>
              <w:t xml:space="preserve">and enabled via RRC configuration. If enabled, the parameter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is given in a table based on MCS index. If not enabled,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r>
                <m:rPr>
                  <m:sty m:val="bi"/>
                </m:rPr>
                <w:rPr>
                  <w:rFonts w:ascii="Cambria Math" w:hAnsi="Cambria Math"/>
                </w:rPr>
                <m:t>=0</m:t>
              </m:r>
            </m:oMath>
            <w:r>
              <w:rPr>
                <w:b/>
                <w:bCs/>
                <w:iCs/>
              </w:rPr>
              <w:t>.</w:t>
            </w:r>
          </w:p>
          <w:p w14:paraId="59063B6D" w14:textId="77777777" w:rsidR="00B66E0C" w:rsidRDefault="00B66E0C">
            <w:pPr>
              <w:rPr>
                <w:b/>
                <w:bCs/>
              </w:rPr>
            </w:pPr>
          </w:p>
        </w:tc>
      </w:tr>
      <w:tr w:rsidR="00B66E0C" w14:paraId="1AD449D7" w14:textId="77777777">
        <w:tc>
          <w:tcPr>
            <w:tcW w:w="1838" w:type="dxa"/>
          </w:tcPr>
          <w:p w14:paraId="50DF80EF" w14:textId="77777777" w:rsidR="00B66E0C" w:rsidRDefault="00557DA3">
            <w:pPr>
              <w:rPr>
                <w:szCs w:val="20"/>
              </w:rPr>
            </w:pPr>
            <w:r>
              <w:rPr>
                <w:rFonts w:hint="eastAsia"/>
                <w:szCs w:val="20"/>
              </w:rPr>
              <w:t>[</w:t>
            </w:r>
            <w:r>
              <w:rPr>
                <w:szCs w:val="20"/>
              </w:rPr>
              <w:t>4]</w:t>
            </w:r>
          </w:p>
        </w:tc>
        <w:tc>
          <w:tcPr>
            <w:tcW w:w="7469" w:type="dxa"/>
          </w:tcPr>
          <w:p w14:paraId="2962263F" w14:textId="77777777" w:rsidR="00B66E0C" w:rsidRDefault="00557DA3">
            <w:pPr>
              <w:rPr>
                <w:b/>
                <w:bCs/>
              </w:rPr>
            </w:pPr>
            <w:r>
              <w:rPr>
                <w:b/>
                <w:bCs/>
                <w:u w:val="single"/>
              </w:rPr>
              <w:t>Proposal 8:</w:t>
            </w:r>
            <w:r>
              <w:rPr>
                <w:b/>
                <w:bCs/>
              </w:rPr>
              <w:t xml:space="preserve"> For uplink power control, introduce the following specification changes:</w:t>
            </w:r>
          </w:p>
          <w:p w14:paraId="3561F510" w14:textId="77777777" w:rsidR="00B66E0C" w:rsidRDefault="00557DA3">
            <w:pPr>
              <w:pStyle w:val="af7"/>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w:t>
            </w:r>
          </w:p>
          <w:p w14:paraId="3D9D09CF" w14:textId="77777777" w:rsidR="00B66E0C" w:rsidRDefault="00557DA3">
            <w:pPr>
              <w:pStyle w:val="af7"/>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4C8E28C2" w14:textId="77777777" w:rsidR="00B66E0C" w:rsidRDefault="00557DA3">
            <w:pPr>
              <w:pStyle w:val="af7"/>
              <w:numPr>
                <w:ilvl w:val="0"/>
                <w:numId w:val="21"/>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04BE7D29" w14:textId="77777777" w:rsidR="00B66E0C" w:rsidRDefault="00B66E0C">
            <w:pPr>
              <w:rPr>
                <w:b/>
                <w:bCs/>
                <w:u w:val="single"/>
                <w:lang w:val="en-GB"/>
              </w:rPr>
            </w:pPr>
          </w:p>
        </w:tc>
      </w:tr>
      <w:tr w:rsidR="00B66E0C" w14:paraId="1693C662" w14:textId="77777777">
        <w:tc>
          <w:tcPr>
            <w:tcW w:w="1838" w:type="dxa"/>
          </w:tcPr>
          <w:p w14:paraId="5D217C91" w14:textId="77777777" w:rsidR="00B66E0C" w:rsidRDefault="00557DA3">
            <w:pPr>
              <w:rPr>
                <w:szCs w:val="20"/>
                <w:lang w:val="en-GB"/>
              </w:rPr>
            </w:pPr>
            <w:r>
              <w:rPr>
                <w:rFonts w:hint="eastAsia"/>
                <w:szCs w:val="20"/>
                <w:lang w:val="en-GB"/>
              </w:rPr>
              <w:t>[</w:t>
            </w:r>
            <w:r>
              <w:rPr>
                <w:szCs w:val="20"/>
                <w:lang w:val="en-GB"/>
              </w:rPr>
              <w:t>5]</w:t>
            </w:r>
          </w:p>
        </w:tc>
        <w:tc>
          <w:tcPr>
            <w:tcW w:w="7469" w:type="dxa"/>
          </w:tcPr>
          <w:p w14:paraId="68B4C11B" w14:textId="77777777" w:rsidR="00B66E0C" w:rsidRDefault="00557DA3">
            <w:pPr>
              <w:spacing w:line="276" w:lineRule="auto"/>
              <w:rPr>
                <w:b/>
                <w:bCs/>
                <w:i/>
                <w:sz w:val="20"/>
                <w:szCs w:val="20"/>
                <w:lang w:eastAsia="zh-CN"/>
              </w:rPr>
            </w:pPr>
            <w:r>
              <w:rPr>
                <w:rFonts w:hint="eastAsia"/>
                <w:b/>
                <w:bCs/>
                <w:i/>
                <w:sz w:val="20"/>
                <w:szCs w:val="20"/>
              </w:rPr>
              <w:t>Proposal</w:t>
            </w:r>
            <w:r>
              <w:rPr>
                <w:rFonts w:hint="eastAsia"/>
                <w:b/>
                <w:bCs/>
                <w:i/>
                <w:sz w:val="20"/>
                <w:szCs w:val="20"/>
                <w:lang w:eastAsia="zh-CN"/>
              </w:rPr>
              <w:t xml:space="preserve"> 1</w:t>
            </w:r>
            <w:r>
              <w:rPr>
                <w:rFonts w:hint="eastAsia"/>
                <w:b/>
                <w:bCs/>
                <w:i/>
                <w:sz w:val="20"/>
                <w:szCs w:val="20"/>
              </w:rPr>
              <w:t xml:space="preserve">: </w:t>
            </w:r>
            <w:r>
              <w:rPr>
                <w:rFonts w:hint="eastAsia"/>
                <w:b/>
                <w:bCs/>
                <w:i/>
                <w:sz w:val="20"/>
                <w:szCs w:val="20"/>
                <w:lang w:eastAsia="zh-CN"/>
              </w:rPr>
              <w:t>For uplink power control, a TPC command could be introduced in DCI format N0 to support 16QAM.</w:t>
            </w:r>
          </w:p>
          <w:p w14:paraId="7961215D" w14:textId="77777777" w:rsidR="00B66E0C" w:rsidRDefault="00557DA3">
            <w:pPr>
              <w:numPr>
                <w:ilvl w:val="0"/>
                <w:numId w:val="25"/>
              </w:numPr>
              <w:spacing w:line="276" w:lineRule="auto"/>
              <w:rPr>
                <w:b/>
                <w:bCs/>
                <w:i/>
                <w:iCs/>
                <w:sz w:val="20"/>
                <w:szCs w:val="20"/>
                <w:lang w:eastAsia="zh-CN"/>
              </w:rPr>
            </w:pPr>
            <w:r>
              <w:rPr>
                <w:rFonts w:hint="eastAsia"/>
                <w:b/>
                <w:bCs/>
                <w:i/>
                <w:iCs/>
                <w:sz w:val="20"/>
                <w:szCs w:val="20"/>
                <w:lang w:eastAsia="zh-CN"/>
              </w:rPr>
              <w:t xml:space="preserve">Repetition number field can be repurpose to indicate TPC </w:t>
            </w:r>
            <w:r>
              <w:rPr>
                <w:b/>
                <w:bCs/>
                <w:i/>
                <w:iCs/>
                <w:sz w:val="20"/>
                <w:szCs w:val="20"/>
              </w:rPr>
              <w:t>command</w:t>
            </w:r>
            <w:r>
              <w:rPr>
                <w:rFonts w:hint="eastAsia"/>
                <w:b/>
                <w:bCs/>
                <w:i/>
                <w:iCs/>
                <w:sz w:val="20"/>
                <w:szCs w:val="20"/>
                <w:lang w:eastAsia="zh-CN"/>
              </w:rPr>
              <w:t xml:space="preserve"> if 16QAM MCS is scheduled.</w:t>
            </w:r>
          </w:p>
          <w:p w14:paraId="1E49F6F5" w14:textId="77777777" w:rsidR="00B66E0C" w:rsidRDefault="00B66E0C">
            <w:pPr>
              <w:pStyle w:val="Proposal"/>
              <w:numPr>
                <w:ilvl w:val="0"/>
                <w:numId w:val="0"/>
              </w:numPr>
              <w:ind w:left="1701" w:hanging="1701"/>
              <w:rPr>
                <w:lang w:val="en-US"/>
              </w:rPr>
            </w:pPr>
          </w:p>
        </w:tc>
      </w:tr>
      <w:tr w:rsidR="00B66E0C" w14:paraId="1FECE9C9" w14:textId="77777777">
        <w:tc>
          <w:tcPr>
            <w:tcW w:w="1838" w:type="dxa"/>
          </w:tcPr>
          <w:p w14:paraId="3E2E6BFA" w14:textId="77777777" w:rsidR="00B66E0C" w:rsidRDefault="00557DA3">
            <w:pPr>
              <w:rPr>
                <w:szCs w:val="20"/>
                <w:lang w:val="en-GB"/>
              </w:rPr>
            </w:pPr>
            <w:r>
              <w:rPr>
                <w:rFonts w:hint="eastAsia"/>
                <w:szCs w:val="20"/>
                <w:lang w:val="en-GB"/>
              </w:rPr>
              <w:t>[</w:t>
            </w:r>
            <w:r>
              <w:rPr>
                <w:szCs w:val="20"/>
                <w:lang w:val="en-GB"/>
              </w:rPr>
              <w:t>7]</w:t>
            </w:r>
          </w:p>
        </w:tc>
        <w:tc>
          <w:tcPr>
            <w:tcW w:w="7469" w:type="dxa"/>
          </w:tcPr>
          <w:p w14:paraId="15F12F83" w14:textId="77777777" w:rsidR="00B66E0C" w:rsidRDefault="00557DA3">
            <w:pPr>
              <w:rPr>
                <w:b/>
                <w:i/>
                <w:sz w:val="20"/>
                <w:szCs w:val="20"/>
              </w:rPr>
            </w:pPr>
            <w:r>
              <w:rPr>
                <w:b/>
                <w:i/>
                <w:sz w:val="20"/>
                <w:szCs w:val="20"/>
              </w:rPr>
              <w:t>Proposal 6: Introduce parameter Δ</w:t>
            </w:r>
            <w:r>
              <w:rPr>
                <w:b/>
                <w:i/>
                <w:sz w:val="20"/>
                <w:szCs w:val="20"/>
                <w:vertAlign w:val="subscript"/>
              </w:rPr>
              <w:t>TF</w:t>
            </w:r>
            <w:r>
              <w:rPr>
                <w:b/>
                <w:i/>
                <w:sz w:val="20"/>
                <w:szCs w:val="20"/>
              </w:rPr>
              <w:t xml:space="preserve"> to uplink power control enhancement in NBIoT.</w:t>
            </w:r>
          </w:p>
          <w:p w14:paraId="60B87853" w14:textId="77777777" w:rsidR="00B66E0C" w:rsidRDefault="00B66E0C">
            <w:pPr>
              <w:spacing w:line="276" w:lineRule="auto"/>
              <w:rPr>
                <w:b/>
                <w:bCs/>
                <w:i/>
                <w:sz w:val="20"/>
                <w:szCs w:val="20"/>
              </w:rPr>
            </w:pPr>
          </w:p>
        </w:tc>
      </w:tr>
      <w:tr w:rsidR="00B66E0C" w14:paraId="6C973108" w14:textId="77777777">
        <w:tc>
          <w:tcPr>
            <w:tcW w:w="1838" w:type="dxa"/>
          </w:tcPr>
          <w:p w14:paraId="5ED1917E" w14:textId="77777777" w:rsidR="00B66E0C" w:rsidRDefault="00557DA3">
            <w:pPr>
              <w:rPr>
                <w:szCs w:val="20"/>
                <w:lang w:val="en-GB"/>
              </w:rPr>
            </w:pPr>
            <w:r>
              <w:rPr>
                <w:rFonts w:hint="eastAsia"/>
                <w:szCs w:val="20"/>
                <w:lang w:val="en-GB"/>
              </w:rPr>
              <w:lastRenderedPageBreak/>
              <w:t>[</w:t>
            </w:r>
            <w:r>
              <w:rPr>
                <w:szCs w:val="20"/>
                <w:lang w:val="en-GB"/>
              </w:rPr>
              <w:t>8]</w:t>
            </w:r>
          </w:p>
        </w:tc>
        <w:tc>
          <w:tcPr>
            <w:tcW w:w="7469" w:type="dxa"/>
          </w:tcPr>
          <w:p w14:paraId="28C787EF" w14:textId="77777777" w:rsidR="00B66E0C" w:rsidRDefault="00557DA3">
            <w:pPr>
              <w:rPr>
                <w:b/>
                <w:sz w:val="20"/>
                <w:szCs w:val="20"/>
              </w:rPr>
            </w:pPr>
            <w:r>
              <w:rPr>
                <w:b/>
                <w:sz w:val="20"/>
                <w:szCs w:val="20"/>
              </w:rPr>
              <w:t>Observation 9 In LTE, the term ΔTF in the power control equation increases the power when the number of bits per RE is increased by a higher order modulation scheme, a similar element has been decided to be incorporated for 16-QAM in UL.</w:t>
            </w:r>
          </w:p>
          <w:p w14:paraId="09B6AAA7" w14:textId="77777777" w:rsidR="00B66E0C" w:rsidRDefault="00557DA3">
            <w:pPr>
              <w:rPr>
                <w:b/>
                <w:sz w:val="20"/>
                <w:szCs w:val="20"/>
              </w:rPr>
            </w:pPr>
            <w:r>
              <w:rPr>
                <w:b/>
                <w:sz w:val="20"/>
                <w:szCs w:val="20"/>
              </w:rPr>
              <w:t>Observation 10 The LTE’s term ΔTF has some components that won’t apply for NB-IoT; hence its definition can be simplified as to make it meaningful for NB-IoT.</w:t>
            </w:r>
          </w:p>
          <w:p w14:paraId="3FBD7F71" w14:textId="77777777" w:rsidR="00B66E0C" w:rsidRDefault="00557DA3">
            <w:pPr>
              <w:rPr>
                <w:b/>
                <w:sz w:val="20"/>
                <w:szCs w:val="20"/>
              </w:rPr>
            </w:pPr>
            <w:r>
              <w:rPr>
                <w:b/>
                <w:sz w:val="20"/>
                <w:szCs w:val="20"/>
              </w:rPr>
              <w:t>Proposal 7 For the term ΔTF into the uplink power control of NPUSCH using 16-QAM down-select one of the two approaches:</w:t>
            </w:r>
          </w:p>
          <w:p w14:paraId="63CEE36C" w14:textId="77777777" w:rsidR="00B66E0C" w:rsidRDefault="00557DA3">
            <w:pPr>
              <w:pStyle w:val="Proposal"/>
              <w:numPr>
                <w:ilvl w:val="0"/>
                <w:numId w:val="0"/>
              </w:numPr>
            </w:pPr>
            <w:bookmarkStart w:id="7" w:name="_Toc79006166"/>
            <w:bookmarkStart w:id="8" w:name="_Toc77278447"/>
            <w:r>
              <w:t>Alt-1: For 16-QAM in UL based on a simplified equation of legacy LTE, we define Δ</w:t>
            </w:r>
            <w:r>
              <w:rPr>
                <w:vertAlign w:val="subscript"/>
              </w:rPr>
              <w:t>TF</w:t>
            </w:r>
            <w:bookmarkEnd w:id="7"/>
            <w:bookmarkEnd w:id="8"/>
            <w:r>
              <w:t xml:space="preserve"> as follows:</w:t>
            </w:r>
          </w:p>
          <w:p w14:paraId="12F78A1E" w14:textId="77777777" w:rsidR="00B66E0C" w:rsidRDefault="00557DA3">
            <w:pPr>
              <w:pStyle w:val="af7"/>
              <w:ind w:leftChars="473" w:left="1041"/>
              <w:rPr>
                <w:rFonts w:ascii="Times New Roman" w:hAnsi="Times New Roman"/>
                <w:b/>
                <w:bCs/>
                <w:sz w:val="20"/>
                <w:szCs w:val="20"/>
                <w:lang w:eastAsia="ja-JP"/>
              </w:rPr>
            </w:pPr>
            <w:r>
              <w:rPr>
                <w:rFonts w:ascii="Times New Roman" w:hAnsi="Times New Roman"/>
                <w:b/>
                <w:bCs/>
                <w:sz w:val="20"/>
                <w:szCs w:val="20"/>
                <w:lang w:eastAsia="ja-JP"/>
              </w:rPr>
              <w:t>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w:t>
            </w:r>
            <m:oMath>
              <m:r>
                <m:rPr>
                  <m:sty m:val="b"/>
                </m:rPr>
                <w:rPr>
                  <w:rFonts w:ascii="Cambria Math" w:hAnsi="Cambria Math"/>
                  <w:sz w:val="20"/>
                  <w:szCs w:val="20"/>
                  <w:lang w:eastAsia="ja-JP"/>
                </w:rPr>
                <m:t>10</m:t>
              </m:r>
              <m:func>
                <m:funcPr>
                  <m:ctrlPr>
                    <w:rPr>
                      <w:rFonts w:ascii="Cambria Math" w:hAnsi="Cambria Math"/>
                      <w:b/>
                      <w:bCs/>
                      <w:sz w:val="20"/>
                      <w:szCs w:val="20"/>
                      <w:lang w:eastAsia="ja-JP"/>
                    </w:rPr>
                  </m:ctrlPr>
                </m:funcPr>
                <m:fName>
                  <m:sSub>
                    <m:sSubPr>
                      <m:ctrlPr>
                        <w:rPr>
                          <w:rFonts w:ascii="Cambria Math" w:hAnsi="Cambria Math"/>
                          <w:b/>
                          <w:bCs/>
                          <w:sz w:val="20"/>
                          <w:szCs w:val="20"/>
                          <w:lang w:eastAsia="ja-JP"/>
                        </w:rPr>
                      </m:ctrlPr>
                    </m:sSubPr>
                    <m:e>
                      <m:r>
                        <m:rPr>
                          <m:sty m:val="b"/>
                        </m:rPr>
                        <w:rPr>
                          <w:rFonts w:ascii="Cambria Math" w:hAnsi="Cambria Math"/>
                          <w:sz w:val="20"/>
                          <w:szCs w:val="20"/>
                          <w:lang w:eastAsia="ja-JP"/>
                        </w:rPr>
                        <m:t>log</m:t>
                      </m:r>
                    </m:e>
                    <m:sub>
                      <m:r>
                        <m:rPr>
                          <m:sty m:val="b"/>
                        </m:rPr>
                        <w:rPr>
                          <w:rFonts w:ascii="Cambria Math" w:hAnsi="Cambria Math"/>
                          <w:sz w:val="20"/>
                          <w:szCs w:val="20"/>
                          <w:lang w:eastAsia="ja-JP"/>
                        </w:rPr>
                        <m:t>10</m:t>
                      </m:r>
                    </m:sub>
                  </m:sSub>
                </m:fName>
                <m:e>
                  <m:d>
                    <m:dPr>
                      <m:ctrlPr>
                        <w:rPr>
                          <w:rFonts w:ascii="Cambria Math" w:hAnsi="Cambria Math"/>
                          <w:b/>
                          <w:bCs/>
                          <w:sz w:val="20"/>
                          <w:szCs w:val="20"/>
                          <w:lang w:eastAsia="ja-JP"/>
                        </w:rPr>
                      </m:ctrlPr>
                    </m:dPr>
                    <m:e>
                      <m:f>
                        <m:fPr>
                          <m:ctrlPr>
                            <w:rPr>
                              <w:rFonts w:ascii="Cambria Math" w:hAnsi="Cambria Math"/>
                              <w:b/>
                              <w:bCs/>
                              <w:sz w:val="20"/>
                              <w:szCs w:val="20"/>
                              <w:lang w:eastAsia="ja-JP"/>
                            </w:rPr>
                          </m:ctrlPr>
                        </m:fPr>
                        <m:num>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16</m:t>
                                      </m:r>
                                      <m:r>
                                        <m:rPr>
                                          <m:sty m:val="bi"/>
                                        </m:rPr>
                                        <w:rPr>
                                          <w:rFonts w:ascii="Cambria Math" w:hAnsi="Cambria Math"/>
                                          <w:sz w:val="20"/>
                                          <w:szCs w:val="20"/>
                                          <w:lang w:eastAsia="ja-JP"/>
                                        </w:rPr>
                                        <m:t>QAM</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num>
                        <m:den>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QPSK</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den>
                      </m:f>
                    </m:e>
                  </m:d>
                </m:e>
              </m:func>
            </m:oMath>
            <w:r>
              <w:rPr>
                <w:rFonts w:ascii="Times New Roman" w:hAnsi="Times New Roman"/>
                <w:b/>
                <w:bCs/>
                <w:sz w:val="20"/>
                <w:szCs w:val="20"/>
                <w:lang w:eastAsia="ja-JP"/>
              </w:rPr>
              <w:t xml:space="preserve">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1.25 or 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0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0.</w:t>
            </w:r>
          </w:p>
          <w:p w14:paraId="54078C9B" w14:textId="77777777" w:rsidR="00B66E0C" w:rsidRDefault="00557DA3">
            <w:pPr>
              <w:rPr>
                <w:b/>
                <w:sz w:val="20"/>
                <w:szCs w:val="20"/>
              </w:rPr>
            </w:pPr>
            <w:r>
              <w:rPr>
                <w:b/>
                <w:bCs/>
                <w:sz w:val="20"/>
                <w:szCs w:val="20"/>
                <w:lang w:eastAsia="ja-JP"/>
              </w:rPr>
              <w:t xml:space="preserve">Where </w:t>
            </w:r>
            <w:r>
              <w:rPr>
                <w:b/>
                <w:bCs/>
                <w:i/>
                <w:iCs/>
                <w:sz w:val="20"/>
                <w:szCs w:val="20"/>
                <w:lang w:val="en-GB" w:eastAsia="ja-JP"/>
              </w:rPr>
              <w:t>BPRE</w:t>
            </w:r>
            <w:r>
              <w:rPr>
                <w:b/>
                <w:bCs/>
                <w:sz w:val="20"/>
                <w:szCs w:val="20"/>
                <w:lang w:val="en-GB" w:eastAsia="ja-JP"/>
              </w:rPr>
              <w:t xml:space="preserve"> =</w:t>
            </w:r>
            <m:oMath>
              <m:r>
                <m:rPr>
                  <m:sty m:val="b"/>
                </m:rPr>
                <w:rPr>
                  <w:rFonts w:ascii="Cambria Math" w:hAnsi="Cambria Math"/>
                  <w:sz w:val="20"/>
                  <w:szCs w:val="20"/>
                  <w:lang w:val="en-GB" w:eastAsia="ja-JP"/>
                </w:rPr>
                <m:t xml:space="preserve"> </m:t>
              </m:r>
              <m:sSub>
                <m:sSubPr>
                  <m:ctrlPr>
                    <w:rPr>
                      <w:rFonts w:ascii="Cambria Math" w:hAnsi="Cambria Math"/>
                      <w:b/>
                      <w:bCs/>
                      <w:sz w:val="20"/>
                      <w:szCs w:val="20"/>
                      <w:lang w:val="en-GB" w:eastAsia="ja-JP"/>
                    </w:rPr>
                  </m:ctrlPr>
                </m:sSubPr>
                <m:e>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r>
                    <m:rPr>
                      <m:sty m:val="b"/>
                    </m:rPr>
                    <w:rPr>
                      <w:rFonts w:ascii="Cambria Math" w:hAnsi="Cambria Math"/>
                      <w:sz w:val="20"/>
                      <w:szCs w:val="20"/>
                      <w:lang w:val="en-GB" w:eastAsia="ja-JP"/>
                    </w:rPr>
                    <m:t>∙</m:t>
                  </m:r>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Pr>
                <w:b/>
                <w:bCs/>
                <w:sz w:val="20"/>
                <w:szCs w:val="20"/>
                <w:lang w:val="en-GB" w:eastAsia="ja-JP"/>
              </w:rPr>
              <w:t xml:space="preserve">.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oMath>
            <w:r>
              <w:rPr>
                <w:b/>
                <w:bCs/>
                <w:sz w:val="20"/>
                <w:szCs w:val="20"/>
                <w:lang w:val="en-GB" w:eastAsia="ja-JP"/>
              </w:rPr>
              <w:t xml:space="preserve"> is the highest code rate in the TBS/MCS table used for the Modulation Scheme, and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Pr>
                <w:b/>
                <w:bCs/>
                <w:sz w:val="20"/>
                <w:szCs w:val="20"/>
                <w:lang w:val="en-GB" w:eastAsia="ja-JP"/>
              </w:rPr>
              <w:t xml:space="preserve"> is the number of bits per </w:t>
            </w:r>
            <w:r>
              <w:rPr>
                <w:b/>
                <w:bCs/>
                <w:i/>
                <w:iCs/>
                <w:sz w:val="20"/>
                <w:szCs w:val="20"/>
                <w:lang w:val="en-GB" w:eastAsia="ja-JP"/>
              </w:rPr>
              <w:t>M-ary</w:t>
            </w:r>
            <w:r>
              <w:rPr>
                <w:b/>
                <w:bCs/>
                <w:sz w:val="20"/>
                <w:szCs w:val="20"/>
                <w:lang w:val="en-GB" w:eastAsia="ja-JP"/>
              </w:rPr>
              <w:t xml:space="preserve"> symbol of the Modulation Scheme.</w:t>
            </w:r>
          </w:p>
          <w:p w14:paraId="1FF5E45B" w14:textId="77777777" w:rsidR="00B66E0C" w:rsidRDefault="00B66E0C">
            <w:pPr>
              <w:rPr>
                <w:b/>
                <w:sz w:val="20"/>
                <w:szCs w:val="20"/>
              </w:rPr>
            </w:pPr>
          </w:p>
          <w:p w14:paraId="37462C2F" w14:textId="77777777" w:rsidR="00B66E0C" w:rsidRDefault="00557DA3">
            <w:pPr>
              <w:rPr>
                <w:b/>
                <w:sz w:val="20"/>
                <w:szCs w:val="20"/>
              </w:rPr>
            </w:pPr>
            <w:r>
              <w:rPr>
                <w:b/>
                <w:sz w:val="20"/>
                <w:szCs w:val="20"/>
              </w:rPr>
              <w:t>Alt-2: We define a set of values from which ΔTF is obtained:</w:t>
            </w:r>
          </w:p>
          <w:p w14:paraId="1A19D899" w14:textId="77777777" w:rsidR="00B66E0C" w:rsidRDefault="00557DA3">
            <w:pPr>
              <w:rPr>
                <w:b/>
                <w:sz w:val="20"/>
                <w:szCs w:val="20"/>
              </w:rPr>
            </w:pPr>
            <w:r>
              <w:rPr>
                <w:rFonts w:hint="eastAsia"/>
                <w:b/>
                <w:sz w:val="20"/>
                <w:szCs w:val="20"/>
              </w:rPr>
              <w:t>Δ</w:t>
            </w:r>
            <w:r>
              <w:rPr>
                <w:b/>
                <w:sz w:val="20"/>
                <w:szCs w:val="20"/>
              </w:rPr>
              <w:t>TF is provided by a HL parameter referring to the following set of values {2dB, 4dB, 6dB, [7dB or 8dB]} “and if this field is absent then dB0 will be used”.</w:t>
            </w:r>
          </w:p>
        </w:tc>
      </w:tr>
    </w:tbl>
    <w:p w14:paraId="7F40FCBC" w14:textId="77777777" w:rsidR="00B66E0C" w:rsidRDefault="00B66E0C"/>
    <w:p w14:paraId="7B2CA9CF" w14:textId="77777777" w:rsidR="00B66E0C" w:rsidRDefault="00557DA3">
      <w:r>
        <w:t xml:space="preserve">On the uplink power control, companies propose to introduce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w:t>
      </w:r>
      <w:r>
        <w:rPr>
          <w:rFonts w:hint="eastAsia"/>
        </w:rPr>
        <w:t xml:space="preserve">in the </w:t>
      </w:r>
      <w:r>
        <w:t>power control equation, and there are following options for the determination of the new term:</w:t>
      </w:r>
    </w:p>
    <w:p w14:paraId="2E291B4E" w14:textId="77777777" w:rsidR="00B66E0C" w:rsidRDefault="00557DA3">
      <w:pPr>
        <w:pStyle w:val="af7"/>
        <w:numPr>
          <w:ilvl w:val="0"/>
          <w:numId w:val="19"/>
        </w:num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5631A599" w14:textId="77777777" w:rsidR="00B66E0C" w:rsidRDefault="00557DA3">
      <w:pPr>
        <w:pStyle w:val="af7"/>
        <w:numPr>
          <w:ilvl w:val="0"/>
          <w:numId w:val="19"/>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7B4A1D7F" w14:textId="77777777" w:rsidR="00B66E0C" w:rsidRDefault="00557DA3">
      <w:pPr>
        <w:pStyle w:val="af7"/>
        <w:numPr>
          <w:ilvl w:val="0"/>
          <w:numId w:val="19"/>
        </w:numPr>
      </w:pPr>
      <w:r>
        <w:rPr>
          <w:rFonts w:ascii="Times New Roman" w:hAnsi="Times New Roman" w:cs="Times New Roman"/>
          <w:sz w:val="22"/>
        </w:rPr>
        <w:t>A TPC command is introduce to indicate the power offset for NPUSCH with 16-QAM.</w:t>
      </w:r>
    </w:p>
    <w:p w14:paraId="655A7B3C" w14:textId="77777777" w:rsidR="00B66E0C" w:rsidRDefault="00557DA3">
      <w:pPr>
        <w:pStyle w:val="af7"/>
        <w:numPr>
          <w:ilvl w:val="0"/>
          <w:numId w:val="19"/>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273B4D26" w14:textId="77777777" w:rsidR="00B66E0C" w:rsidRDefault="00557DA3">
      <w:pPr>
        <w:pStyle w:val="af7"/>
        <w:numPr>
          <w:ilvl w:val="0"/>
          <w:numId w:val="19"/>
        </w:numPr>
      </w:pPr>
      <w:r>
        <w:rPr>
          <w:rFonts w:ascii="Times New Roman" w:hAnsi="Times New Roman" w:cs="Times New Roman"/>
          <w:bCs/>
          <w:sz w:val="20"/>
          <w:szCs w:val="20"/>
          <w:lang w:eastAsia="ja-JP"/>
        </w:rPr>
        <w:t>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07E1B526" w14:textId="77777777" w:rsidR="00B66E0C" w:rsidRDefault="00557DA3">
      <w:pPr>
        <w:autoSpaceDE/>
        <w:autoSpaceDN/>
        <w:adjustRightInd/>
        <w:snapToGrid/>
        <w:spacing w:line="240" w:lineRule="auto"/>
        <w:rPr>
          <w:szCs w:val="21"/>
          <w:lang w:eastAsia="zh-CN"/>
        </w:rPr>
      </w:pPr>
      <w:r>
        <w:rPr>
          <w:rFonts w:hint="eastAsia"/>
          <w:szCs w:val="21"/>
          <w:lang w:eastAsia="zh-CN"/>
        </w:rPr>
        <w:t>Therefore, the following is proposed:</w:t>
      </w:r>
    </w:p>
    <w:p w14:paraId="78EF3676" w14:textId="77777777" w:rsidR="00B66E0C" w:rsidRDefault="00557DA3">
      <w:pPr>
        <w:rPr>
          <w:b/>
        </w:rPr>
      </w:pPr>
      <w:r>
        <w:rPr>
          <w:b/>
        </w:rPr>
        <w:t xml:space="preserve">Proposal 7: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introduced in the uplink power control to support 16-QAM, which is downselected from following op</w:t>
      </w:r>
      <w:r>
        <w:rPr>
          <w:b/>
        </w:rPr>
        <w:t>tions:</w:t>
      </w:r>
    </w:p>
    <w:p w14:paraId="5CB059DB" w14:textId="77777777" w:rsidR="00B66E0C" w:rsidRDefault="00557DA3">
      <w:pPr>
        <w:pStyle w:val="af7"/>
        <w:numPr>
          <w:ilvl w:val="0"/>
          <w:numId w:val="19"/>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5667E0D7" w14:textId="77777777" w:rsidR="00B66E0C" w:rsidRDefault="00557DA3">
      <w:pPr>
        <w:pStyle w:val="af7"/>
        <w:numPr>
          <w:ilvl w:val="0"/>
          <w:numId w:val="19"/>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00855150" w14:textId="77777777" w:rsidR="00B66E0C" w:rsidRDefault="00557DA3">
      <w:pPr>
        <w:pStyle w:val="af7"/>
        <w:numPr>
          <w:ilvl w:val="0"/>
          <w:numId w:val="19"/>
        </w:numPr>
      </w:pPr>
      <w:r>
        <w:rPr>
          <w:rFonts w:ascii="Times New Roman" w:hAnsi="Times New Roman" w:cs="Times New Roman"/>
          <w:sz w:val="22"/>
        </w:rPr>
        <w:t>Option 3: A TPC command is introduce to indicate the power offset for NPUSCH with 16-QAM.</w:t>
      </w:r>
    </w:p>
    <w:p w14:paraId="158D276F" w14:textId="77777777" w:rsidR="00B66E0C" w:rsidRDefault="00557DA3">
      <w:pPr>
        <w:pStyle w:val="af7"/>
        <w:numPr>
          <w:ilvl w:val="0"/>
          <w:numId w:val="19"/>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569D717B" w14:textId="77777777" w:rsidR="00B66E0C" w:rsidRDefault="00557DA3">
      <w:pPr>
        <w:pStyle w:val="af7"/>
        <w:numPr>
          <w:ilvl w:val="0"/>
          <w:numId w:val="19"/>
        </w:numPr>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51FCD527" w14:textId="77777777" w:rsidR="00B66E0C" w:rsidRDefault="00B66E0C">
      <w:pPr>
        <w:autoSpaceDE/>
        <w:autoSpaceDN/>
        <w:adjustRightInd/>
        <w:snapToGrid/>
        <w:spacing w:line="240" w:lineRule="auto"/>
        <w:rPr>
          <w:szCs w:val="21"/>
          <w:lang w:eastAsia="zh-CN"/>
        </w:rPr>
      </w:pPr>
    </w:p>
    <w:p w14:paraId="6B8A11A8" w14:textId="77777777" w:rsidR="00B66E0C" w:rsidRDefault="00557DA3">
      <w:r>
        <w:rPr>
          <w:rFonts w:hint="eastAsia"/>
        </w:rPr>
        <w:lastRenderedPageBreak/>
        <w:t>P</w:t>
      </w:r>
      <w:r>
        <w:t>lease input your preference and reasons on the down-selection:</w:t>
      </w:r>
    </w:p>
    <w:tbl>
      <w:tblPr>
        <w:tblStyle w:val="af1"/>
        <w:tblW w:w="0" w:type="auto"/>
        <w:tblLook w:val="04A0" w:firstRow="1" w:lastRow="0" w:firstColumn="1" w:lastColumn="0" w:noHBand="0" w:noVBand="1"/>
      </w:tblPr>
      <w:tblGrid>
        <w:gridCol w:w="1838"/>
        <w:gridCol w:w="7469"/>
      </w:tblGrid>
      <w:tr w:rsidR="00B66E0C" w14:paraId="560186FD" w14:textId="77777777">
        <w:tc>
          <w:tcPr>
            <w:tcW w:w="1838" w:type="dxa"/>
          </w:tcPr>
          <w:p w14:paraId="2AD447BA" w14:textId="77777777" w:rsidR="00B66E0C" w:rsidRDefault="00557DA3">
            <w:pPr>
              <w:rPr>
                <w:szCs w:val="20"/>
              </w:rPr>
            </w:pPr>
            <w:r>
              <w:rPr>
                <w:rFonts w:hint="eastAsia"/>
                <w:szCs w:val="20"/>
              </w:rPr>
              <w:t>Comp</w:t>
            </w:r>
            <w:r>
              <w:rPr>
                <w:szCs w:val="20"/>
              </w:rPr>
              <w:t>anies</w:t>
            </w:r>
          </w:p>
        </w:tc>
        <w:tc>
          <w:tcPr>
            <w:tcW w:w="7469" w:type="dxa"/>
          </w:tcPr>
          <w:p w14:paraId="2CD0816A" w14:textId="77777777" w:rsidR="00B66E0C" w:rsidRDefault="00557DA3">
            <w:pPr>
              <w:rPr>
                <w:szCs w:val="20"/>
              </w:rPr>
            </w:pPr>
            <w:r>
              <w:rPr>
                <w:rFonts w:hint="eastAsia"/>
                <w:szCs w:val="20"/>
              </w:rPr>
              <w:t>Comments</w:t>
            </w:r>
          </w:p>
        </w:tc>
      </w:tr>
      <w:tr w:rsidR="00B66E0C" w14:paraId="2C5500AA" w14:textId="77777777">
        <w:tc>
          <w:tcPr>
            <w:tcW w:w="1838" w:type="dxa"/>
          </w:tcPr>
          <w:p w14:paraId="13A47CB1" w14:textId="77777777" w:rsidR="00B66E0C" w:rsidRDefault="00557DA3">
            <w:r>
              <w:t>Huawei, HiSilicon</w:t>
            </w:r>
          </w:p>
        </w:tc>
        <w:tc>
          <w:tcPr>
            <w:tcW w:w="7469" w:type="dxa"/>
          </w:tcPr>
          <w:p w14:paraId="2850518B" w14:textId="77777777" w:rsidR="00B66E0C" w:rsidRDefault="00557DA3">
            <w:r>
              <w:rPr>
                <w:rFonts w:hint="eastAsia"/>
              </w:rPr>
              <w:t>W</w:t>
            </w:r>
            <w:r>
              <w:t>e are OK with proposal 7 and support option 1, since it is sufficient to follow the LTE principle and seems no need to introduce a different one.</w:t>
            </w:r>
          </w:p>
        </w:tc>
      </w:tr>
      <w:tr w:rsidR="00B66E0C" w14:paraId="11A3EB8D" w14:textId="77777777">
        <w:tc>
          <w:tcPr>
            <w:tcW w:w="1838" w:type="dxa"/>
          </w:tcPr>
          <w:p w14:paraId="540731F4" w14:textId="77777777" w:rsidR="00B66E0C" w:rsidRDefault="00557DA3">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33144053"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Proposal 7:</w:t>
            </w:r>
          </w:p>
          <w:p w14:paraId="2AF46C19"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7DE3BA8B" w14:textId="77777777" w:rsidR="00B66E0C" w:rsidRDefault="00557DA3">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17D39E6A" w14:textId="77777777" w:rsidR="00B66E0C" w:rsidRDefault="00B66E0C">
            <w:pPr>
              <w:pStyle w:val="af7"/>
              <w:rPr>
                <w:rFonts w:ascii="Times New Roman" w:hAnsi="Times New Roman"/>
                <w:sz w:val="20"/>
                <w:szCs w:val="20"/>
                <w:lang w:val="en-GB" w:eastAsia="ja-JP"/>
              </w:rPr>
            </w:pPr>
          </w:p>
          <w:p w14:paraId="2C710D12" w14:textId="77777777" w:rsidR="00B66E0C" w:rsidRDefault="00557DA3">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59C84418" w14:textId="77777777" w:rsidR="00B66E0C" w:rsidRDefault="00557DA3">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074BF5BE" w14:textId="77777777" w:rsidR="00B66E0C" w:rsidRDefault="00557DA3">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081F2D6E" w14:textId="77777777" w:rsidR="00B66E0C" w:rsidRDefault="00557DA3">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B66E0C" w14:paraId="2BA5A2AF" w14:textId="77777777">
        <w:tc>
          <w:tcPr>
            <w:tcW w:w="1838" w:type="dxa"/>
          </w:tcPr>
          <w:p w14:paraId="58903592" w14:textId="77777777" w:rsidR="00B66E0C" w:rsidRDefault="00557DA3">
            <w:pPr>
              <w:rPr>
                <w:szCs w:val="20"/>
                <w:lang w:eastAsia="zh-CN"/>
              </w:rPr>
            </w:pPr>
            <w:r>
              <w:rPr>
                <w:rFonts w:hint="eastAsia"/>
                <w:szCs w:val="20"/>
                <w:lang w:eastAsia="zh-CN"/>
              </w:rPr>
              <w:t>L</w:t>
            </w:r>
            <w:r>
              <w:rPr>
                <w:szCs w:val="20"/>
                <w:lang w:eastAsia="zh-CN"/>
              </w:rPr>
              <w:t>enovo, MotoM</w:t>
            </w:r>
          </w:p>
        </w:tc>
        <w:tc>
          <w:tcPr>
            <w:tcW w:w="7469" w:type="dxa"/>
          </w:tcPr>
          <w:p w14:paraId="2F640878" w14:textId="77777777" w:rsidR="00B66E0C" w:rsidRDefault="00557DA3">
            <w:pPr>
              <w:rPr>
                <w:szCs w:val="20"/>
                <w:lang w:eastAsia="zh-CN"/>
              </w:rPr>
            </w:pPr>
            <w:r>
              <w:rPr>
                <w:rFonts w:hint="eastAsia"/>
              </w:rPr>
              <w:t>W</w:t>
            </w:r>
            <w:r>
              <w:t>e are OK with proposal 7 and support option 1, since it is sufficient to follow the LTE principle and seems no need to introduce a different one.</w:t>
            </w:r>
          </w:p>
        </w:tc>
      </w:tr>
      <w:tr w:rsidR="00B66E0C" w14:paraId="6979CE61" w14:textId="77777777">
        <w:tc>
          <w:tcPr>
            <w:tcW w:w="1838" w:type="dxa"/>
          </w:tcPr>
          <w:p w14:paraId="0C5EEB2B" w14:textId="77777777" w:rsidR="00B66E0C" w:rsidRDefault="00557DA3">
            <w:pPr>
              <w:rPr>
                <w:rFonts w:asciiTheme="minorHAnsi" w:hAnsiTheme="minorHAnsi" w:cstheme="minorHAnsi"/>
                <w:szCs w:val="20"/>
                <w:lang w:eastAsia="zh-CN"/>
              </w:rPr>
            </w:pPr>
            <w:r>
              <w:rPr>
                <w:rFonts w:asciiTheme="minorHAnsi" w:hAnsiTheme="minorHAnsi" w:cstheme="minorHAnsi" w:hint="eastAsia"/>
                <w:szCs w:val="20"/>
                <w:lang w:eastAsia="zh-CN"/>
              </w:rPr>
              <w:t>ZTE,Sanechips</w:t>
            </w:r>
          </w:p>
        </w:tc>
        <w:tc>
          <w:tcPr>
            <w:tcW w:w="7469" w:type="dxa"/>
          </w:tcPr>
          <w:p w14:paraId="30709110" w14:textId="77777777" w:rsidR="00B66E0C" w:rsidRDefault="00557DA3">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rsidR="00B66E0C" w14:paraId="53A7C0F2" w14:textId="77777777">
        <w:tc>
          <w:tcPr>
            <w:tcW w:w="1838" w:type="dxa"/>
          </w:tcPr>
          <w:p w14:paraId="00EF4897" w14:textId="77777777" w:rsidR="00B66E0C" w:rsidRDefault="00557DA3">
            <w:pPr>
              <w:rPr>
                <w:szCs w:val="20"/>
                <w:lang w:eastAsia="zh-CN"/>
              </w:rPr>
            </w:pPr>
            <w:r>
              <w:rPr>
                <w:szCs w:val="20"/>
                <w:lang w:eastAsia="zh-CN"/>
              </w:rPr>
              <w:t>Nokia, NSB</w:t>
            </w:r>
          </w:p>
        </w:tc>
        <w:tc>
          <w:tcPr>
            <w:tcW w:w="7469" w:type="dxa"/>
          </w:tcPr>
          <w:p w14:paraId="76C08B2A" w14:textId="77777777" w:rsidR="00B66E0C" w:rsidRDefault="00557DA3">
            <w:pPr>
              <w:rPr>
                <w:szCs w:val="20"/>
                <w:lang w:eastAsia="zh-CN"/>
              </w:rPr>
            </w:pPr>
            <w:r>
              <w:rPr>
                <w:szCs w:val="20"/>
                <w:lang w:eastAsia="zh-CN"/>
              </w:rPr>
              <w:t>We are fine with proposal 7. Our preference is option 2, which is a simplified version of option 1/5.</w:t>
            </w:r>
          </w:p>
        </w:tc>
      </w:tr>
      <w:tr w:rsidR="00B66E0C" w14:paraId="29624951" w14:textId="77777777">
        <w:tc>
          <w:tcPr>
            <w:tcW w:w="1838" w:type="dxa"/>
          </w:tcPr>
          <w:p w14:paraId="65A1DE80" w14:textId="77777777" w:rsidR="00B66E0C" w:rsidRDefault="00557DA3">
            <w:pPr>
              <w:rPr>
                <w:szCs w:val="20"/>
                <w:lang w:eastAsia="zh-CN"/>
              </w:rPr>
            </w:pPr>
            <w:r>
              <w:rPr>
                <w:szCs w:val="20"/>
                <w:lang w:eastAsia="zh-CN"/>
              </w:rPr>
              <w:t>Qualcomm</w:t>
            </w:r>
          </w:p>
        </w:tc>
        <w:tc>
          <w:tcPr>
            <w:tcW w:w="7469" w:type="dxa"/>
          </w:tcPr>
          <w:p w14:paraId="0DE1C57F" w14:textId="77777777" w:rsidR="00B66E0C" w:rsidRDefault="00557DA3">
            <w:pPr>
              <w:rPr>
                <w:szCs w:val="20"/>
                <w:lang w:eastAsia="zh-CN"/>
              </w:rPr>
            </w:pPr>
            <w:r>
              <w:rPr>
                <w:szCs w:val="20"/>
                <w:lang w:eastAsia="zh-CN"/>
              </w:rPr>
              <w:t>We think Option 3 should be removed. The other options can be further discussed.</w:t>
            </w:r>
          </w:p>
        </w:tc>
      </w:tr>
    </w:tbl>
    <w:p w14:paraId="3AA37A66" w14:textId="77777777" w:rsidR="00B66E0C" w:rsidRDefault="00B66E0C">
      <w:pPr>
        <w:autoSpaceDE/>
        <w:autoSpaceDN/>
        <w:adjustRightInd/>
        <w:snapToGrid/>
        <w:spacing w:after="0"/>
        <w:rPr>
          <w:b/>
          <w:szCs w:val="21"/>
          <w:lang w:eastAsia="zh-CN"/>
        </w:rPr>
      </w:pPr>
    </w:p>
    <w:p w14:paraId="2C9B69F5" w14:textId="77777777" w:rsidR="00B66E0C" w:rsidRDefault="00B66E0C">
      <w:pPr>
        <w:autoSpaceDE/>
        <w:autoSpaceDN/>
        <w:adjustRightInd/>
        <w:snapToGrid/>
        <w:spacing w:after="0"/>
        <w:rPr>
          <w:b/>
          <w:szCs w:val="21"/>
          <w:lang w:eastAsia="zh-CN"/>
        </w:rPr>
      </w:pPr>
    </w:p>
    <w:p w14:paraId="613C99BE" w14:textId="77777777" w:rsidR="00B66E0C" w:rsidRDefault="00557DA3">
      <w:pPr>
        <w:pStyle w:val="2"/>
        <w:rPr>
          <w:lang w:eastAsia="zh-CN"/>
        </w:rPr>
      </w:pPr>
      <w:r>
        <w:rPr>
          <w:lang w:eastAsia="zh-CN"/>
        </w:rPr>
        <w:t>Channel quality reporting</w:t>
      </w:r>
    </w:p>
    <w:p w14:paraId="6CE301A3" w14:textId="77777777" w:rsidR="00B66E0C" w:rsidRDefault="00B66E0C">
      <w:pPr>
        <w:autoSpaceDE/>
        <w:autoSpaceDN/>
        <w:adjustRightInd/>
        <w:snapToGrid/>
        <w:spacing w:after="0"/>
        <w:rPr>
          <w:b/>
          <w:szCs w:val="21"/>
          <w:lang w:eastAsia="zh-CN"/>
        </w:rPr>
      </w:pPr>
    </w:p>
    <w:p w14:paraId="5BC2AE78" w14:textId="77777777" w:rsidR="00B66E0C" w:rsidRDefault="00557DA3">
      <w:pPr>
        <w:pStyle w:val="30"/>
      </w:pPr>
      <w:r>
        <w:rPr>
          <w:lang w:eastAsia="zh-CN"/>
        </w:rPr>
        <w:t>Issue 5: Channel quality reporting</w:t>
      </w:r>
    </w:p>
    <w:p w14:paraId="56AC0CEE" w14:textId="77777777" w:rsidR="00B66E0C" w:rsidRDefault="00557DA3">
      <w:r>
        <w:rPr>
          <w:rFonts w:hint="eastAsia"/>
        </w:rPr>
        <w:t xml:space="preserve">There are following proposals on </w:t>
      </w:r>
      <w:r>
        <w:t>power allocation</w:t>
      </w:r>
    </w:p>
    <w:tbl>
      <w:tblPr>
        <w:tblStyle w:val="af1"/>
        <w:tblW w:w="0" w:type="auto"/>
        <w:tblLook w:val="04A0" w:firstRow="1" w:lastRow="0" w:firstColumn="1" w:lastColumn="0" w:noHBand="0" w:noVBand="1"/>
      </w:tblPr>
      <w:tblGrid>
        <w:gridCol w:w="1126"/>
        <w:gridCol w:w="8181"/>
      </w:tblGrid>
      <w:tr w:rsidR="00B66E0C" w14:paraId="52EB70D3" w14:textId="77777777">
        <w:tc>
          <w:tcPr>
            <w:tcW w:w="1838" w:type="dxa"/>
          </w:tcPr>
          <w:p w14:paraId="2178F069" w14:textId="77777777" w:rsidR="00B66E0C" w:rsidRDefault="00557DA3">
            <w:pPr>
              <w:rPr>
                <w:szCs w:val="20"/>
              </w:rPr>
            </w:pPr>
            <w:r>
              <w:rPr>
                <w:rFonts w:hint="eastAsia"/>
                <w:szCs w:val="20"/>
              </w:rPr>
              <w:t>Sourcing</w:t>
            </w:r>
          </w:p>
        </w:tc>
        <w:tc>
          <w:tcPr>
            <w:tcW w:w="7469" w:type="dxa"/>
          </w:tcPr>
          <w:p w14:paraId="37ABBFD7" w14:textId="77777777" w:rsidR="00B66E0C" w:rsidRDefault="00557DA3">
            <w:pPr>
              <w:rPr>
                <w:szCs w:val="20"/>
              </w:rPr>
            </w:pPr>
            <w:r>
              <w:rPr>
                <w:rFonts w:hint="eastAsia"/>
                <w:szCs w:val="20"/>
              </w:rPr>
              <w:t>proposals</w:t>
            </w:r>
          </w:p>
        </w:tc>
      </w:tr>
      <w:tr w:rsidR="00B66E0C" w14:paraId="6BBC9130" w14:textId="77777777">
        <w:tc>
          <w:tcPr>
            <w:tcW w:w="1838" w:type="dxa"/>
          </w:tcPr>
          <w:p w14:paraId="2D5420B3" w14:textId="77777777" w:rsidR="00B66E0C" w:rsidRDefault="00557DA3">
            <w:pPr>
              <w:rPr>
                <w:szCs w:val="20"/>
              </w:rPr>
            </w:pPr>
            <w:r>
              <w:rPr>
                <w:rFonts w:hint="eastAsia"/>
                <w:szCs w:val="20"/>
              </w:rPr>
              <w:t>[</w:t>
            </w:r>
            <w:r>
              <w:rPr>
                <w:szCs w:val="20"/>
              </w:rPr>
              <w:t>2]</w:t>
            </w:r>
          </w:p>
        </w:tc>
        <w:tc>
          <w:tcPr>
            <w:tcW w:w="7469" w:type="dxa"/>
          </w:tcPr>
          <w:p w14:paraId="0F7748E6" w14:textId="77777777" w:rsidR="00B66E0C" w:rsidRDefault="00557DA3">
            <w:pPr>
              <w:rPr>
                <w:b/>
                <w:lang w:eastAsia="zh-CN"/>
              </w:rPr>
            </w:pPr>
            <w:r>
              <w:rPr>
                <w:b/>
                <w:lang w:eastAsia="zh-CN"/>
              </w:rPr>
              <w:t>Proposal 4: The CQI reporting in Msg3 in connected mode should not be supported.</w:t>
            </w:r>
          </w:p>
          <w:p w14:paraId="6E34592C" w14:textId="77777777" w:rsidR="00B66E0C" w:rsidRDefault="00557DA3">
            <w:pPr>
              <w:rPr>
                <w:b/>
                <w:kern w:val="2"/>
                <w:lang w:eastAsia="zh-CN"/>
              </w:rPr>
            </w:pPr>
            <w:r>
              <w:rPr>
                <w:b/>
                <w:kern w:val="2"/>
                <w:lang w:eastAsia="zh-CN"/>
              </w:rPr>
              <w:t>Proposal 5: Option 3 should be supported for CQI table for downlink 16-QAM CQI reporting.</w:t>
            </w:r>
          </w:p>
          <w:p w14:paraId="694DE0F9" w14:textId="77777777" w:rsidR="00B66E0C" w:rsidRDefault="00B66E0C">
            <w:pPr>
              <w:rPr>
                <w:szCs w:val="20"/>
              </w:rPr>
            </w:pPr>
          </w:p>
        </w:tc>
      </w:tr>
      <w:tr w:rsidR="00B66E0C" w14:paraId="54D3F2F2" w14:textId="77777777">
        <w:tc>
          <w:tcPr>
            <w:tcW w:w="1838" w:type="dxa"/>
          </w:tcPr>
          <w:p w14:paraId="3C1ACB62" w14:textId="77777777" w:rsidR="00B66E0C" w:rsidRDefault="00557DA3">
            <w:pPr>
              <w:rPr>
                <w:szCs w:val="20"/>
              </w:rPr>
            </w:pPr>
            <w:r>
              <w:rPr>
                <w:rFonts w:hint="eastAsia"/>
                <w:szCs w:val="20"/>
              </w:rPr>
              <w:lastRenderedPageBreak/>
              <w:t>[</w:t>
            </w:r>
            <w:r>
              <w:rPr>
                <w:szCs w:val="20"/>
              </w:rPr>
              <w:t>3]</w:t>
            </w:r>
          </w:p>
        </w:tc>
        <w:tc>
          <w:tcPr>
            <w:tcW w:w="7469" w:type="dxa"/>
          </w:tcPr>
          <w:p w14:paraId="6AF94CA2" w14:textId="77777777" w:rsidR="00B66E0C" w:rsidRDefault="00557DA3">
            <w:pPr>
              <w:spacing w:after="0"/>
              <w:rPr>
                <w:b/>
                <w:bCs/>
                <w:lang w:eastAsia="en-GB"/>
              </w:rPr>
            </w:pPr>
            <w:r>
              <w:rPr>
                <w:b/>
                <w:bCs/>
                <w:lang w:eastAsia="en-GB"/>
              </w:rPr>
              <w:t>Proposal 3: For 16-QAM CQI table, select one of the following options –</w:t>
            </w:r>
          </w:p>
          <w:p w14:paraId="78FDE17A" w14:textId="77777777" w:rsidR="00B66E0C" w:rsidRDefault="00557DA3">
            <w:pPr>
              <w:pStyle w:val="af7"/>
              <w:numPr>
                <w:ilvl w:val="0"/>
                <w:numId w:val="26"/>
              </w:numPr>
              <w:overflowPunct w:val="0"/>
              <w:autoSpaceDE w:val="0"/>
              <w:autoSpaceDN w:val="0"/>
              <w:adjustRightInd w:val="0"/>
              <w:spacing w:line="240" w:lineRule="auto"/>
              <w:contextualSpacing/>
              <w:jc w:val="left"/>
              <w:textAlignment w:val="baseline"/>
              <w:rPr>
                <w:b/>
                <w:bCs/>
              </w:rPr>
            </w:pPr>
            <w:r>
              <w:rPr>
                <w:b/>
                <w:bCs/>
              </w:rPr>
              <w:t xml:space="preserve">More than three candidate values for 16-QAM are added in the legacy table by replacing candidates with high repetition values (e.g. </w:t>
            </w:r>
            <w:r>
              <w:rPr>
                <w:b/>
                <w:bCs/>
                <w:lang w:eastAsia="ja-JP"/>
              </w:rPr>
              <w:t xml:space="preserve">candidateRep-J to candidateRep-L).  </w:t>
            </w:r>
          </w:p>
          <w:p w14:paraId="3EC004A0" w14:textId="77777777" w:rsidR="00B66E0C" w:rsidRDefault="00557DA3">
            <w:pPr>
              <w:pStyle w:val="af7"/>
              <w:numPr>
                <w:ilvl w:val="0"/>
                <w:numId w:val="26"/>
              </w:numPr>
              <w:overflowPunct w:val="0"/>
              <w:autoSpaceDE w:val="0"/>
              <w:autoSpaceDN w:val="0"/>
              <w:adjustRightInd w:val="0"/>
              <w:spacing w:line="240" w:lineRule="auto"/>
              <w:contextualSpacing/>
              <w:jc w:val="left"/>
              <w:textAlignment w:val="baseline"/>
              <w:rPr>
                <w:b/>
                <w:bCs/>
              </w:rPr>
            </w:pPr>
            <w:r>
              <w:rPr>
                <w:b/>
                <w:bCs/>
              </w:rPr>
              <w:t>A new CQI table is defined for 16-QAM based on the eMTC table (CQI Tables in 36.213) as a starting point</w:t>
            </w:r>
          </w:p>
          <w:p w14:paraId="677E38FA" w14:textId="77777777" w:rsidR="00B66E0C" w:rsidRDefault="00557DA3">
            <w:pPr>
              <w:rPr>
                <w:lang w:eastAsia="en-GB"/>
              </w:rPr>
            </w:pPr>
            <w:r>
              <w:rPr>
                <w:b/>
                <w:bCs/>
                <w:lang w:eastAsia="en-GB"/>
              </w:rPr>
              <w:t>Proposal 4: Define CSI reference resource to be used for 16-QAM CQI measurement.</w:t>
            </w:r>
          </w:p>
          <w:p w14:paraId="705CBA44" w14:textId="77777777" w:rsidR="00B66E0C" w:rsidRDefault="00557DA3">
            <w:pPr>
              <w:rPr>
                <w:iCs/>
                <w:lang w:eastAsia="en-GB"/>
              </w:rPr>
            </w:pPr>
            <w:r>
              <w:rPr>
                <w:b/>
                <w:bCs/>
                <w:lang w:eastAsia="en-GB"/>
              </w:rPr>
              <w:t xml:space="preserve">Proposal 5: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3062AEAD" w14:textId="77777777" w:rsidR="00B66E0C" w:rsidRDefault="00B66E0C">
            <w:pPr>
              <w:rPr>
                <w:sz w:val="20"/>
                <w:szCs w:val="20"/>
                <w:lang w:eastAsia="zh-CN"/>
              </w:rPr>
            </w:pPr>
          </w:p>
        </w:tc>
      </w:tr>
      <w:tr w:rsidR="00B66E0C" w14:paraId="63083D91" w14:textId="77777777">
        <w:tc>
          <w:tcPr>
            <w:tcW w:w="1838" w:type="dxa"/>
          </w:tcPr>
          <w:p w14:paraId="621C0E6C" w14:textId="77777777" w:rsidR="00B66E0C" w:rsidRDefault="00557DA3">
            <w:pPr>
              <w:rPr>
                <w:szCs w:val="20"/>
              </w:rPr>
            </w:pPr>
            <w:r>
              <w:rPr>
                <w:rFonts w:hint="eastAsia"/>
                <w:szCs w:val="20"/>
              </w:rPr>
              <w:t>[</w:t>
            </w:r>
            <w:r>
              <w:rPr>
                <w:szCs w:val="20"/>
              </w:rPr>
              <w:t>5]</w:t>
            </w:r>
          </w:p>
        </w:tc>
        <w:tc>
          <w:tcPr>
            <w:tcW w:w="7469" w:type="dxa"/>
          </w:tcPr>
          <w:p w14:paraId="69621D46" w14:textId="77777777" w:rsidR="00B66E0C" w:rsidRDefault="00557DA3">
            <w:pPr>
              <w:spacing w:line="276" w:lineRule="auto"/>
              <w:rPr>
                <w:b/>
                <w:bCs/>
                <w:i/>
                <w:iCs/>
                <w:sz w:val="20"/>
                <w:szCs w:val="20"/>
                <w:lang w:eastAsia="zh-CN"/>
              </w:rPr>
            </w:pPr>
            <w:r>
              <w:rPr>
                <w:rFonts w:hint="eastAsia"/>
                <w:b/>
                <w:bCs/>
                <w:i/>
                <w:iCs/>
                <w:sz w:val="20"/>
                <w:szCs w:val="20"/>
                <w:lang w:eastAsia="zh-CN"/>
              </w:rPr>
              <w:t xml:space="preserve">Observation 1: </w:t>
            </w:r>
            <w:r>
              <w:rPr>
                <w:rFonts w:hint="eastAsia"/>
                <w:b/>
                <w:bCs/>
                <w:i/>
                <w:iCs/>
                <w:kern w:val="2"/>
                <w:sz w:val="20"/>
                <w:szCs w:val="20"/>
                <w:lang w:eastAsia="zh-CN"/>
              </w:rPr>
              <w:t xml:space="preserve">For Option 1 and 2, the limited </w:t>
            </w:r>
            <w:r>
              <w:rPr>
                <w:rFonts w:hint="eastAsia"/>
                <w:b/>
                <w:bCs/>
                <w:i/>
                <w:iCs/>
                <w:sz w:val="20"/>
                <w:szCs w:val="20"/>
                <w:lang w:eastAsia="zh-CN"/>
              </w:rPr>
              <w:t xml:space="preserve">number of CQI states </w:t>
            </w:r>
            <w:r>
              <w:rPr>
                <w:b/>
                <w:bCs/>
                <w:i/>
                <w:iCs/>
                <w:kern w:val="2"/>
                <w:sz w:val="20"/>
                <w:szCs w:val="20"/>
                <w:lang w:eastAsia="zh-CN"/>
              </w:rPr>
              <w:t xml:space="preserve">with </w:t>
            </w:r>
            <w:r>
              <w:rPr>
                <w:rFonts w:hint="eastAsia"/>
                <w:b/>
                <w:bCs/>
                <w:i/>
                <w:iCs/>
                <w:kern w:val="2"/>
                <w:sz w:val="20"/>
                <w:szCs w:val="20"/>
                <w:lang w:eastAsia="zh-CN"/>
              </w:rPr>
              <w:t xml:space="preserve">16QAM </w:t>
            </w:r>
            <w:r>
              <w:rPr>
                <w:rFonts w:hint="eastAsia"/>
                <w:b/>
                <w:bCs/>
                <w:i/>
                <w:iCs/>
                <w:sz w:val="20"/>
                <w:szCs w:val="20"/>
                <w:lang w:eastAsia="zh-CN"/>
              </w:rPr>
              <w:t xml:space="preserve">cannot adequately match the variety of channel conditions. </w:t>
            </w:r>
          </w:p>
          <w:p w14:paraId="7409F0AD" w14:textId="77777777" w:rsidR="00B66E0C" w:rsidRDefault="00557DA3">
            <w:pPr>
              <w:spacing w:line="276" w:lineRule="auto"/>
              <w:rPr>
                <w:b/>
                <w:bCs/>
                <w:i/>
                <w:iCs/>
                <w:kern w:val="2"/>
                <w:sz w:val="20"/>
                <w:szCs w:val="20"/>
                <w:lang w:eastAsia="zh-CN"/>
              </w:rPr>
            </w:pPr>
            <w:r>
              <w:rPr>
                <w:rFonts w:hint="eastAsia"/>
                <w:b/>
                <w:bCs/>
                <w:i/>
                <w:iCs/>
                <w:sz w:val="20"/>
                <w:szCs w:val="20"/>
                <w:lang w:eastAsia="zh-CN"/>
              </w:rPr>
              <w:t xml:space="preserve">Observation 2: For </w:t>
            </w:r>
            <w:r>
              <w:rPr>
                <w:rFonts w:hint="eastAsia"/>
                <w:b/>
                <w:bCs/>
                <w:i/>
                <w:iCs/>
                <w:kern w:val="2"/>
                <w:sz w:val="20"/>
                <w:szCs w:val="20"/>
                <w:lang w:eastAsia="zh-CN"/>
              </w:rPr>
              <w:t xml:space="preserve">Option 1 and 2, an overhead waste of report field will be caused since NPDCCH CQI entries cannot be applied in the CQI table when NPDSCH CQI report is triggered. </w:t>
            </w:r>
          </w:p>
          <w:p w14:paraId="3C630C6B" w14:textId="77777777" w:rsidR="00B66E0C" w:rsidRDefault="00557DA3">
            <w:pPr>
              <w:spacing w:line="276" w:lineRule="auto"/>
              <w:rPr>
                <w:b/>
                <w:bCs/>
                <w:i/>
                <w:iCs/>
                <w:sz w:val="20"/>
                <w:szCs w:val="20"/>
                <w:lang w:eastAsia="zh-CN"/>
              </w:rPr>
            </w:pPr>
            <w:r>
              <w:rPr>
                <w:rFonts w:hint="eastAsia"/>
                <w:b/>
                <w:bCs/>
                <w:i/>
                <w:iCs/>
                <w:kern w:val="2"/>
                <w:sz w:val="20"/>
                <w:szCs w:val="20"/>
                <w:lang w:eastAsia="zh-CN"/>
              </w:rPr>
              <w:t xml:space="preserve">Observation 3: </w:t>
            </w:r>
            <w:r>
              <w:rPr>
                <w:rFonts w:hint="eastAsia"/>
                <w:b/>
                <w:bCs/>
                <w:i/>
                <w:iCs/>
                <w:sz w:val="20"/>
                <w:szCs w:val="20"/>
                <w:lang w:eastAsia="zh-CN"/>
              </w:rPr>
              <w:t>For Option 1, t</w:t>
            </w:r>
            <w:r>
              <w:rPr>
                <w:b/>
                <w:bCs/>
                <w:i/>
                <w:iCs/>
                <w:sz w:val="20"/>
                <w:szCs w:val="20"/>
              </w:rPr>
              <w:t xml:space="preserve">he performance on NPDCCH CQI feedback </w:t>
            </w:r>
            <w:r>
              <w:rPr>
                <w:rFonts w:hint="eastAsia"/>
                <w:b/>
                <w:bCs/>
                <w:i/>
                <w:iCs/>
                <w:sz w:val="20"/>
                <w:szCs w:val="20"/>
                <w:lang w:eastAsia="zh-CN"/>
              </w:rPr>
              <w:t>will be</w:t>
            </w:r>
            <w:r>
              <w:rPr>
                <w:b/>
                <w:bCs/>
                <w:i/>
                <w:iCs/>
                <w:sz w:val="20"/>
                <w:szCs w:val="20"/>
              </w:rPr>
              <w:t xml:space="preserve"> impacted </w:t>
            </w:r>
            <w:r>
              <w:rPr>
                <w:rFonts w:hint="eastAsia"/>
                <w:b/>
                <w:bCs/>
                <w:i/>
                <w:iCs/>
                <w:sz w:val="20"/>
                <w:szCs w:val="20"/>
                <w:lang w:eastAsia="zh-CN"/>
              </w:rPr>
              <w:t>since some legacy entries for number of PDCCH repetitions are removed.</w:t>
            </w:r>
          </w:p>
          <w:p w14:paraId="3EE02A2E" w14:textId="77777777" w:rsidR="00B66E0C" w:rsidRDefault="00557DA3">
            <w:pPr>
              <w:spacing w:line="276" w:lineRule="auto"/>
              <w:rPr>
                <w:b/>
                <w:bCs/>
                <w:i/>
                <w:sz w:val="20"/>
                <w:szCs w:val="20"/>
                <w:lang w:eastAsia="zh-CN"/>
              </w:rPr>
            </w:pPr>
            <w:r>
              <w:rPr>
                <w:rFonts w:hint="eastAsia"/>
                <w:b/>
                <w:bCs/>
                <w:i/>
                <w:iCs/>
                <w:sz w:val="20"/>
                <w:szCs w:val="20"/>
                <w:lang w:eastAsia="zh-CN"/>
              </w:rPr>
              <w:t>Observation 4:</w:t>
            </w:r>
            <w:r>
              <w:rPr>
                <w:rFonts w:hint="eastAsia"/>
                <w:iCs/>
                <w:sz w:val="20"/>
                <w:szCs w:val="20"/>
                <w:lang w:eastAsia="zh-CN"/>
              </w:rPr>
              <w:t xml:space="preserve"> </w:t>
            </w:r>
            <w:r>
              <w:rPr>
                <w:rFonts w:hint="eastAsia"/>
                <w:b/>
                <w:bCs/>
                <w:i/>
                <w:sz w:val="20"/>
                <w:szCs w:val="20"/>
                <w:lang w:eastAsia="zh-CN"/>
              </w:rPr>
              <w:t>T</w:t>
            </w:r>
            <w:r>
              <w:rPr>
                <w:b/>
                <w:bCs/>
                <w:i/>
                <w:sz w:val="20"/>
                <w:szCs w:val="20"/>
              </w:rPr>
              <w:t>he channel quality for NPDSCH and NPDCCH can be reported separately</w:t>
            </w:r>
            <w:r>
              <w:rPr>
                <w:rFonts w:hint="eastAsia"/>
                <w:b/>
                <w:bCs/>
                <w:i/>
                <w:sz w:val="20"/>
                <w:szCs w:val="20"/>
                <w:lang w:eastAsia="zh-CN"/>
              </w:rPr>
              <w:t xml:space="preserve"> based on different tables.</w:t>
            </w:r>
          </w:p>
          <w:p w14:paraId="38BF013A" w14:textId="77777777" w:rsidR="00B66E0C" w:rsidRDefault="00557DA3">
            <w:pPr>
              <w:spacing w:line="276" w:lineRule="auto"/>
              <w:rPr>
                <w:b/>
                <w:bCs/>
                <w:i/>
                <w:iCs/>
                <w:kern w:val="2"/>
                <w:sz w:val="20"/>
                <w:szCs w:val="20"/>
                <w:lang w:eastAsia="zh-CN"/>
              </w:rPr>
            </w:pPr>
            <w:r>
              <w:rPr>
                <w:rFonts w:hint="eastAsia"/>
                <w:b/>
                <w:bCs/>
                <w:i/>
                <w:iCs/>
                <w:kern w:val="2"/>
                <w:sz w:val="20"/>
                <w:szCs w:val="20"/>
                <w:lang w:eastAsia="zh-CN"/>
              </w:rPr>
              <w:t xml:space="preserve">Observation 5: The existing MAC CE can be reused to report 4-bit CQI for NPDSCH if the UE receives a NPDSCH CQI command and 4-bit number of repetitions for NPDCCH if the UE receives a NPDCCH CQI command. </w:t>
            </w:r>
          </w:p>
          <w:p w14:paraId="129ED1BC" w14:textId="77777777" w:rsidR="00B66E0C" w:rsidRDefault="00557DA3">
            <w:pPr>
              <w:rPr>
                <w:b/>
                <w:bCs/>
                <w:i/>
                <w:sz w:val="20"/>
                <w:szCs w:val="20"/>
              </w:rPr>
            </w:pPr>
            <w:r>
              <w:rPr>
                <w:rFonts w:hint="eastAsia"/>
                <w:b/>
                <w:bCs/>
                <w:i/>
                <w:iCs/>
                <w:kern w:val="2"/>
                <w:sz w:val="20"/>
                <w:szCs w:val="20"/>
                <w:lang w:eastAsia="zh-CN"/>
              </w:rPr>
              <w:t xml:space="preserve">Proposal 5: </w:t>
            </w:r>
            <w:r>
              <w:rPr>
                <w:rFonts w:hint="eastAsia"/>
                <w:b/>
                <w:bCs/>
                <w:i/>
                <w:sz w:val="20"/>
                <w:szCs w:val="20"/>
              </w:rPr>
              <w:t>A</w:t>
            </w:r>
            <w:r>
              <w:rPr>
                <w:b/>
                <w:bCs/>
                <w:i/>
                <w:sz w:val="20"/>
                <w:szCs w:val="20"/>
              </w:rPr>
              <w:t xml:space="preserve"> separate 4</w:t>
            </w:r>
            <w:r>
              <w:rPr>
                <w:rFonts w:hint="eastAsia"/>
                <w:b/>
                <w:bCs/>
                <w:i/>
                <w:sz w:val="20"/>
                <w:szCs w:val="20"/>
              </w:rPr>
              <w:t>-bit</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table</w:t>
            </w:r>
            <w:r>
              <w:rPr>
                <w:b/>
                <w:bCs/>
                <w:i/>
                <w:sz w:val="20"/>
                <w:szCs w:val="20"/>
              </w:rPr>
              <w:t xml:space="preserve"> (similar</w:t>
            </w:r>
            <w:r>
              <w:rPr>
                <w:rFonts w:hint="eastAsia"/>
                <w:b/>
                <w:bCs/>
                <w:i/>
                <w:sz w:val="20"/>
                <w:szCs w:val="20"/>
              </w:rPr>
              <w:t xml:space="preserve"> </w:t>
            </w:r>
            <w:r>
              <w:rPr>
                <w:b/>
                <w:bCs/>
                <w:i/>
                <w:sz w:val="20"/>
                <w:szCs w:val="20"/>
              </w:rPr>
              <w:t xml:space="preserve">to CQI tables </w:t>
            </w:r>
            <w:r>
              <w:rPr>
                <w:rFonts w:hint="eastAsia"/>
                <w:b/>
                <w:bCs/>
                <w:i/>
                <w:sz w:val="20"/>
                <w:szCs w:val="20"/>
                <w:lang w:eastAsia="zh-CN"/>
              </w:rPr>
              <w:t>in</w:t>
            </w:r>
            <w:r>
              <w:rPr>
                <w:b/>
                <w:bCs/>
                <w:i/>
                <w:sz w:val="20"/>
                <w:szCs w:val="20"/>
              </w:rPr>
              <w:t xml:space="preserve"> 36.213) </w:t>
            </w:r>
            <w:r>
              <w:rPr>
                <w:rFonts w:hint="eastAsia"/>
                <w:b/>
                <w:bCs/>
                <w:i/>
                <w:sz w:val="20"/>
                <w:szCs w:val="20"/>
              </w:rPr>
              <w:t>should</w:t>
            </w:r>
            <w:r>
              <w:rPr>
                <w:b/>
                <w:bCs/>
                <w:i/>
                <w:sz w:val="20"/>
                <w:szCs w:val="20"/>
              </w:rPr>
              <w:t xml:space="preserve"> </w:t>
            </w:r>
            <w:r>
              <w:rPr>
                <w:rFonts w:hint="eastAsia"/>
                <w:b/>
                <w:bCs/>
                <w:i/>
                <w:sz w:val="20"/>
                <w:szCs w:val="20"/>
              </w:rPr>
              <w:t>be</w:t>
            </w:r>
            <w:r>
              <w:rPr>
                <w:b/>
                <w:bCs/>
                <w:i/>
                <w:sz w:val="20"/>
                <w:szCs w:val="20"/>
              </w:rPr>
              <w:t xml:space="preserve"> </w:t>
            </w:r>
            <w:r>
              <w:rPr>
                <w:rFonts w:hint="eastAsia"/>
                <w:b/>
                <w:bCs/>
                <w:i/>
                <w:sz w:val="20"/>
                <w:szCs w:val="20"/>
              </w:rPr>
              <w:t>defined</w:t>
            </w:r>
            <w:r>
              <w:rPr>
                <w:b/>
                <w:bCs/>
                <w:i/>
                <w:sz w:val="20"/>
                <w:szCs w:val="20"/>
              </w:rPr>
              <w:t xml:space="preserve"> for </w:t>
            </w:r>
            <w:r>
              <w:rPr>
                <w:rFonts w:hint="eastAsia"/>
                <w:b/>
                <w:bCs/>
                <w:i/>
                <w:kern w:val="2"/>
                <w:sz w:val="20"/>
                <w:szCs w:val="20"/>
                <w:lang w:eastAsia="zh-CN"/>
              </w:rPr>
              <w:t xml:space="preserve">downlink </w:t>
            </w:r>
            <w:r>
              <w:rPr>
                <w:b/>
                <w:bCs/>
                <w:i/>
                <w:sz w:val="20"/>
                <w:szCs w:val="20"/>
              </w:rPr>
              <w:t>16QAM.</w:t>
            </w:r>
          </w:p>
          <w:p w14:paraId="71E0CD98" w14:textId="77777777" w:rsidR="00B66E0C" w:rsidRDefault="00557DA3">
            <w:pPr>
              <w:rPr>
                <w:kern w:val="2"/>
                <w:sz w:val="20"/>
                <w:szCs w:val="20"/>
                <w:lang w:eastAsia="zh-CN"/>
              </w:rPr>
            </w:pPr>
            <w:r>
              <w:rPr>
                <w:rFonts w:hint="eastAsia"/>
                <w:b/>
                <w:bCs/>
                <w:i/>
                <w:sz w:val="20"/>
                <w:szCs w:val="20"/>
              </w:rPr>
              <w:t>P</w:t>
            </w:r>
            <w:r>
              <w:rPr>
                <w:b/>
                <w:bCs/>
                <w:i/>
                <w:sz w:val="20"/>
                <w:szCs w:val="20"/>
              </w:rPr>
              <w:t>roposal</w:t>
            </w:r>
            <w:r>
              <w:rPr>
                <w:rFonts w:hint="eastAsia"/>
                <w:b/>
                <w:bCs/>
                <w:i/>
                <w:sz w:val="20"/>
                <w:szCs w:val="20"/>
                <w:lang w:eastAsia="zh-CN"/>
              </w:rPr>
              <w:t xml:space="preserve"> 6</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report</w:t>
            </w:r>
            <w:r>
              <w:rPr>
                <w:b/>
                <w:bCs/>
                <w:i/>
                <w:sz w:val="20"/>
                <w:szCs w:val="20"/>
              </w:rPr>
              <w:t xml:space="preserve"> </w:t>
            </w:r>
            <w:r>
              <w:rPr>
                <w:rFonts w:hint="eastAsia"/>
                <w:b/>
                <w:bCs/>
                <w:i/>
                <w:sz w:val="20"/>
                <w:szCs w:val="20"/>
              </w:rPr>
              <w:t>in</w:t>
            </w:r>
            <w:r>
              <w:rPr>
                <w:b/>
                <w:bCs/>
                <w:i/>
                <w:sz w:val="20"/>
                <w:szCs w:val="20"/>
              </w:rPr>
              <w:t xml:space="preserve"> </w:t>
            </w:r>
            <w:r>
              <w:rPr>
                <w:rFonts w:hint="eastAsia"/>
                <w:b/>
                <w:bCs/>
                <w:i/>
                <w:sz w:val="20"/>
                <w:szCs w:val="20"/>
              </w:rPr>
              <w:t>Msg</w:t>
            </w:r>
            <w:r>
              <w:rPr>
                <w:b/>
                <w:bCs/>
                <w:i/>
                <w:sz w:val="20"/>
                <w:szCs w:val="20"/>
              </w:rPr>
              <w:t>3 is not supported for 16QAM in connected mode.</w:t>
            </w:r>
          </w:p>
          <w:p w14:paraId="583C382E" w14:textId="77777777" w:rsidR="00B66E0C" w:rsidRDefault="00557DA3">
            <w:pPr>
              <w:spacing w:beforeLines="50" w:before="120" w:line="276" w:lineRule="auto"/>
              <w:rPr>
                <w:b/>
                <w:i/>
                <w:sz w:val="20"/>
                <w:szCs w:val="20"/>
                <w:lang w:eastAsia="zh-CN"/>
              </w:rPr>
            </w:pPr>
            <w:r>
              <w:rPr>
                <w:rFonts w:hint="eastAsia"/>
                <w:b/>
                <w:i/>
                <w:sz w:val="20"/>
                <w:szCs w:val="20"/>
                <w:lang w:eastAsia="zh-CN"/>
              </w:rPr>
              <w:t>Proposal</w:t>
            </w:r>
            <w:r>
              <w:rPr>
                <w:b/>
                <w:i/>
                <w:sz w:val="20"/>
                <w:szCs w:val="20"/>
                <w:lang w:eastAsia="zh-CN"/>
              </w:rPr>
              <w:t xml:space="preserve"> </w:t>
            </w:r>
            <w:r>
              <w:rPr>
                <w:rFonts w:hint="eastAsia"/>
                <w:b/>
                <w:i/>
                <w:sz w:val="20"/>
                <w:szCs w:val="20"/>
                <w:lang w:eastAsia="zh-CN"/>
              </w:rPr>
              <w:t xml:space="preserve">7: </w:t>
            </w:r>
            <w:r>
              <w:rPr>
                <w:b/>
                <w:i/>
                <w:sz w:val="20"/>
                <w:szCs w:val="20"/>
                <w:lang w:eastAsia="zh-CN"/>
              </w:rPr>
              <w:t xml:space="preserve">There is no need to specify </w:t>
            </w:r>
            <w:r>
              <w:rPr>
                <w:rFonts w:hint="eastAsia"/>
                <w:b/>
                <w:i/>
                <w:sz w:val="20"/>
                <w:szCs w:val="20"/>
                <w:lang w:eastAsia="zh-CN"/>
              </w:rPr>
              <w:t>m</w:t>
            </w:r>
            <w:r>
              <w:rPr>
                <w:b/>
                <w:i/>
                <w:sz w:val="20"/>
                <w:szCs w:val="20"/>
                <w:lang w:eastAsia="zh-CN"/>
              </w:rPr>
              <w:t>easurement reference resource for CQI report for NB-IoT 16QAM.</w:t>
            </w:r>
          </w:p>
          <w:p w14:paraId="19440F36" w14:textId="77777777" w:rsidR="00B66E0C" w:rsidRDefault="00B66E0C">
            <w:pPr>
              <w:rPr>
                <w:b/>
                <w:bCs/>
                <w:szCs w:val="20"/>
                <w:lang w:eastAsia="en-GB"/>
              </w:rPr>
            </w:pPr>
          </w:p>
        </w:tc>
      </w:tr>
      <w:tr w:rsidR="00B66E0C" w14:paraId="4CEBAD01" w14:textId="77777777">
        <w:tc>
          <w:tcPr>
            <w:tcW w:w="1838" w:type="dxa"/>
          </w:tcPr>
          <w:p w14:paraId="4E2ED14C" w14:textId="77777777" w:rsidR="00B66E0C" w:rsidRDefault="00557DA3">
            <w:pPr>
              <w:rPr>
                <w:szCs w:val="20"/>
              </w:rPr>
            </w:pPr>
            <w:r>
              <w:rPr>
                <w:rFonts w:hint="eastAsia"/>
                <w:szCs w:val="20"/>
              </w:rPr>
              <w:t>[</w:t>
            </w:r>
            <w:r>
              <w:rPr>
                <w:szCs w:val="20"/>
              </w:rPr>
              <w:t>6]</w:t>
            </w:r>
          </w:p>
        </w:tc>
        <w:tc>
          <w:tcPr>
            <w:tcW w:w="7469" w:type="dxa"/>
          </w:tcPr>
          <w:p w14:paraId="7520207B" w14:textId="77777777" w:rsidR="00B66E0C" w:rsidRDefault="00557DA3">
            <w:pPr>
              <w:rPr>
                <w:sz w:val="20"/>
                <w:szCs w:val="20"/>
              </w:rPr>
            </w:pPr>
            <w:r>
              <w:rPr>
                <w:b/>
                <w:sz w:val="20"/>
                <w:szCs w:val="20"/>
              </w:rPr>
              <w:t>Proposal 4: Support channel quality reporting in Msg3 in connected mode and the details need FFS in RAN2.</w:t>
            </w:r>
          </w:p>
          <w:p w14:paraId="6C8B00A6" w14:textId="77777777" w:rsidR="00B66E0C" w:rsidRDefault="00557DA3">
            <w:pPr>
              <w:rPr>
                <w:b/>
                <w:sz w:val="20"/>
                <w:szCs w:val="20"/>
              </w:rPr>
            </w:pPr>
            <w:r>
              <w:rPr>
                <w:b/>
                <w:sz w:val="20"/>
                <w:szCs w:val="20"/>
              </w:rPr>
              <w:t>Proposal 5</w:t>
            </w:r>
            <w:r>
              <w:rPr>
                <w:rFonts w:hint="eastAsia"/>
                <w:b/>
                <w:sz w:val="20"/>
                <w:szCs w:val="20"/>
              </w:rPr>
              <w:t>:</w:t>
            </w:r>
            <w:r>
              <w:rPr>
                <w:b/>
                <w:sz w:val="20"/>
                <w:szCs w:val="20"/>
              </w:rPr>
              <w:t xml:space="preserve"> A new 4-bit CQI table could be defined for 16-QAM.</w:t>
            </w:r>
          </w:p>
          <w:p w14:paraId="2BA4C4C9" w14:textId="77777777" w:rsidR="00B66E0C" w:rsidRDefault="00557DA3">
            <w:pPr>
              <w:rPr>
                <w:b/>
                <w:sz w:val="20"/>
                <w:szCs w:val="20"/>
              </w:rPr>
            </w:pPr>
            <w:r>
              <w:rPr>
                <w:b/>
                <w:sz w:val="20"/>
                <w:szCs w:val="20"/>
              </w:rPr>
              <w:t>Proposal 6</w:t>
            </w:r>
            <w:r>
              <w:rPr>
                <w:rFonts w:hint="eastAsia"/>
                <w:b/>
                <w:sz w:val="20"/>
                <w:szCs w:val="20"/>
              </w:rPr>
              <w:t>:</w:t>
            </w:r>
            <w:r>
              <w:rPr>
                <w:b/>
                <w:sz w:val="20"/>
                <w:szCs w:val="20"/>
              </w:rPr>
              <w:t xml:space="preserve"> CQI for QPSK also needs to be included in the new CQI table.</w:t>
            </w:r>
          </w:p>
          <w:p w14:paraId="6B1E1CD2" w14:textId="77777777" w:rsidR="00B66E0C" w:rsidRDefault="00557DA3">
            <w:pPr>
              <w:overflowPunct w:val="0"/>
              <w:spacing w:after="180" w:line="240" w:lineRule="auto"/>
              <w:textAlignment w:val="baseline"/>
              <w:rPr>
                <w:rFonts w:eastAsia="Times New Roman"/>
                <w:sz w:val="20"/>
                <w:szCs w:val="20"/>
              </w:rPr>
            </w:pPr>
            <w:r>
              <w:rPr>
                <w:b/>
                <w:sz w:val="20"/>
                <w:szCs w:val="20"/>
              </w:rPr>
              <w:t>Proposal 7</w:t>
            </w:r>
            <w:r>
              <w:rPr>
                <w:rFonts w:hint="eastAsia"/>
                <w:b/>
                <w:sz w:val="20"/>
                <w:szCs w:val="20"/>
              </w:rPr>
              <w:t>:</w:t>
            </w:r>
            <w:r>
              <w:rPr>
                <w:b/>
                <w:sz w:val="20"/>
                <w:szCs w:val="20"/>
              </w:rPr>
              <w:t xml:space="preserve"> </w:t>
            </w:r>
            <w:r>
              <w:rPr>
                <w:rFonts w:hint="eastAsia"/>
                <w:b/>
                <w:sz w:val="20"/>
                <w:szCs w:val="20"/>
              </w:rPr>
              <w:t xml:space="preserve">Introduce </w:t>
            </w:r>
            <w:r>
              <w:rPr>
                <w:b/>
                <w:sz w:val="20"/>
                <w:szCs w:val="20"/>
              </w:rPr>
              <w:t>8 CQI indices for 8 TBS indices for 16 QAM as Table 2.</w:t>
            </w:r>
          </w:p>
          <w:p w14:paraId="7D44A144" w14:textId="77777777" w:rsidR="00B66E0C" w:rsidRDefault="00B66E0C">
            <w:pPr>
              <w:rPr>
                <w:b/>
                <w:kern w:val="2"/>
                <w:szCs w:val="20"/>
                <w:lang w:eastAsia="zh-CN"/>
              </w:rPr>
            </w:pPr>
          </w:p>
        </w:tc>
      </w:tr>
      <w:tr w:rsidR="00B66E0C" w14:paraId="6477D8E1" w14:textId="77777777">
        <w:tc>
          <w:tcPr>
            <w:tcW w:w="1838" w:type="dxa"/>
          </w:tcPr>
          <w:p w14:paraId="0858F095" w14:textId="77777777" w:rsidR="00B66E0C" w:rsidRDefault="00557DA3">
            <w:pPr>
              <w:rPr>
                <w:szCs w:val="20"/>
              </w:rPr>
            </w:pPr>
            <w:r>
              <w:rPr>
                <w:rFonts w:hint="eastAsia"/>
                <w:szCs w:val="20"/>
              </w:rPr>
              <w:t>[</w:t>
            </w:r>
            <w:r>
              <w:rPr>
                <w:szCs w:val="20"/>
              </w:rPr>
              <w:t>7]</w:t>
            </w:r>
          </w:p>
        </w:tc>
        <w:tc>
          <w:tcPr>
            <w:tcW w:w="7469" w:type="dxa"/>
          </w:tcPr>
          <w:p w14:paraId="57124936" w14:textId="77777777" w:rsidR="00B66E0C" w:rsidRDefault="00557DA3">
            <w:pPr>
              <w:rPr>
                <w:b/>
                <w:i/>
                <w:sz w:val="20"/>
                <w:szCs w:val="20"/>
              </w:rPr>
            </w:pPr>
            <w:r>
              <w:rPr>
                <w:b/>
                <w:i/>
                <w:sz w:val="20"/>
                <w:szCs w:val="20"/>
              </w:rPr>
              <w:t>Proposal 2: Remove some of the legacy CQI reporting values and add more than 3 CQI reporting values for support 16QAM in DL or report the subset of CQI reporting values determined by channel condition.</w:t>
            </w:r>
          </w:p>
          <w:p w14:paraId="738F8896" w14:textId="77777777" w:rsidR="00B66E0C" w:rsidRDefault="00B66E0C">
            <w:pPr>
              <w:spacing w:beforeLines="50" w:before="120" w:line="276" w:lineRule="auto"/>
              <w:rPr>
                <w:b/>
                <w:i/>
                <w:kern w:val="2"/>
                <w:sz w:val="20"/>
                <w:szCs w:val="20"/>
                <w:lang w:eastAsia="zh-CN"/>
              </w:rPr>
            </w:pPr>
          </w:p>
        </w:tc>
      </w:tr>
      <w:tr w:rsidR="00B66E0C" w14:paraId="5B4DCAA2" w14:textId="77777777">
        <w:tc>
          <w:tcPr>
            <w:tcW w:w="1838" w:type="dxa"/>
          </w:tcPr>
          <w:p w14:paraId="64C80947" w14:textId="77777777" w:rsidR="00B66E0C" w:rsidRDefault="00557DA3">
            <w:pPr>
              <w:rPr>
                <w:szCs w:val="20"/>
              </w:rPr>
            </w:pPr>
            <w:r>
              <w:rPr>
                <w:rFonts w:hint="eastAsia"/>
                <w:szCs w:val="20"/>
              </w:rPr>
              <w:t>[</w:t>
            </w:r>
            <w:r>
              <w:rPr>
                <w:szCs w:val="20"/>
              </w:rPr>
              <w:t>8]</w:t>
            </w:r>
          </w:p>
        </w:tc>
        <w:tc>
          <w:tcPr>
            <w:tcW w:w="7469" w:type="dxa"/>
          </w:tcPr>
          <w:p w14:paraId="6918C4F4" w14:textId="77777777" w:rsidR="00B66E0C" w:rsidRDefault="00557DA3">
            <w:pPr>
              <w:rPr>
                <w:b/>
                <w:sz w:val="20"/>
                <w:szCs w:val="20"/>
              </w:rPr>
            </w:pPr>
            <w:r>
              <w:rPr>
                <w:b/>
                <w:sz w:val="20"/>
                <w:szCs w:val="20"/>
              </w:rPr>
              <w:t>Observation 2</w:t>
            </w:r>
            <w:r>
              <w:rPr>
                <w:b/>
                <w:sz w:val="20"/>
                <w:szCs w:val="20"/>
              </w:rPr>
              <w:tab/>
              <w:t>The legacy CQI mapping table in TS 36.133 clause 9.1.22.15 currently uses 13 out of 16 entries, hence the three unused fields could be utilized to incorporate the channel quality reporting for 16-QAM in DL.</w:t>
            </w:r>
          </w:p>
          <w:p w14:paraId="7648AE83" w14:textId="77777777" w:rsidR="00B66E0C" w:rsidRDefault="00557DA3">
            <w:pPr>
              <w:rPr>
                <w:b/>
                <w:sz w:val="20"/>
                <w:szCs w:val="20"/>
              </w:rPr>
            </w:pPr>
            <w:r>
              <w:rPr>
                <w:b/>
                <w:sz w:val="20"/>
                <w:szCs w:val="20"/>
              </w:rPr>
              <w:lastRenderedPageBreak/>
              <w:t>Observation 3</w:t>
            </w:r>
            <w:r>
              <w:rPr>
                <w:b/>
                <w:sz w:val="20"/>
                <w:szCs w:val="20"/>
              </w:rPr>
              <w:tab/>
              <w:t xml:space="preserve">For the TBS/MCS table for DL, the step-size between ITBS indices is in most cases smaller than 1dB, which is a level of granularity that might be unfeasible from a measurement quality perspective. Today the channel quality reporting is specified for each repetition level 1, 2, 4, 8, …, which means that in legacy the step size is 3dB. </w:t>
            </w:r>
          </w:p>
          <w:p w14:paraId="5D5BCAAE" w14:textId="77777777" w:rsidR="00B66E0C" w:rsidRDefault="00557DA3">
            <w:pPr>
              <w:rPr>
                <w:b/>
                <w:sz w:val="20"/>
                <w:szCs w:val="20"/>
              </w:rPr>
            </w:pPr>
            <w:r>
              <w:rPr>
                <w:b/>
                <w:sz w:val="20"/>
                <w:szCs w:val="20"/>
              </w:rPr>
              <w:t>Observation 4</w:t>
            </w:r>
            <w:r>
              <w:rPr>
                <w:b/>
                <w:sz w:val="20"/>
                <w:szCs w:val="20"/>
              </w:rPr>
              <w:tab/>
              <w:t>In Rel-17, the full range of ITBS indices (14 to 21 and 11 to 17 depending on the deployment mode) can be covered using only three candidate reports (i.e., candidateRep-M, candidateRep-N, or candidateRep-O) as to have a feasible level of granularity with step-sizes larger than 1dB.</w:t>
            </w:r>
          </w:p>
          <w:p w14:paraId="257B4F0D" w14:textId="77777777" w:rsidR="00B66E0C" w:rsidRDefault="00557DA3">
            <w:pPr>
              <w:rPr>
                <w:b/>
                <w:sz w:val="20"/>
                <w:szCs w:val="20"/>
              </w:rPr>
            </w:pPr>
            <w:r>
              <w:rPr>
                <w:b/>
                <w:sz w:val="20"/>
                <w:szCs w:val="20"/>
              </w:rPr>
              <w:t>Proposal 2</w:t>
            </w:r>
            <w:r>
              <w:rPr>
                <w:b/>
                <w:sz w:val="20"/>
                <w:szCs w:val="20"/>
              </w:rPr>
              <w:tab/>
              <w:t>The three unused entries in the legacy CQI mapping Table in clause 9.1.22.15 of TS 36.133 (i.e., Table 9.1.22.15-1) are used for the CQI reporting of 16-QAM in DL.</w:t>
            </w:r>
          </w:p>
          <w:tbl>
            <w:tblPr>
              <w:tblW w:w="7945" w:type="dxa"/>
              <w:jc w:val="center"/>
              <w:tblCellMar>
                <w:left w:w="0" w:type="dxa"/>
                <w:right w:w="0" w:type="dxa"/>
              </w:tblCellMar>
              <w:tblLook w:val="04A0" w:firstRow="1" w:lastRow="0" w:firstColumn="1" w:lastColumn="0" w:noHBand="0" w:noVBand="1"/>
            </w:tblPr>
            <w:tblGrid>
              <w:gridCol w:w="1387"/>
              <w:gridCol w:w="1757"/>
              <w:gridCol w:w="4801"/>
            </w:tblGrid>
            <w:tr w:rsidR="00B66E0C" w14:paraId="76EE134F" w14:textId="77777777">
              <w:trPr>
                <w:trHeight w:val="76"/>
                <w:jc w:val="center"/>
              </w:trPr>
              <w:tc>
                <w:tcPr>
                  <w:tcW w:w="1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947766" w14:textId="77777777" w:rsidR="00B66E0C" w:rsidRDefault="00557DA3">
                  <w:pPr>
                    <w:keepNext/>
                    <w:keepLines/>
                    <w:overflowPunct w:val="0"/>
                    <w:snapToGrid/>
                    <w:spacing w:after="0" w:line="240" w:lineRule="auto"/>
                    <w:jc w:val="center"/>
                    <w:textAlignment w:val="baseline"/>
                    <w:rPr>
                      <w:rFonts w:ascii="Arial" w:hAnsi="Arial" w:cs="Arial"/>
                      <w:b/>
                      <w:sz w:val="18"/>
                      <w:szCs w:val="20"/>
                      <w:lang w:val="zh-CN"/>
                    </w:rPr>
                  </w:pPr>
                  <w:r>
                    <w:rPr>
                      <w:rFonts w:ascii="Arial" w:hAnsi="Arial"/>
                      <w:b/>
                      <w:sz w:val="18"/>
                      <w:szCs w:val="20"/>
                      <w:lang w:val="zh-CN" w:eastAsia="zh-CN"/>
                    </w:rPr>
                    <w:t>Reported value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B53716" w14:textId="77777777" w:rsidR="00B66E0C" w:rsidRDefault="00557DA3">
                  <w:pPr>
                    <w:keepNext/>
                    <w:keepLines/>
                    <w:overflowPunct w:val="0"/>
                    <w:snapToGrid/>
                    <w:spacing w:after="0" w:line="240" w:lineRule="auto"/>
                    <w:jc w:val="center"/>
                    <w:textAlignment w:val="baseline"/>
                    <w:rPr>
                      <w:rFonts w:ascii="Arial" w:hAnsi="Arial"/>
                      <w:b/>
                      <w:lang w:val="sv-SE" w:eastAsia="zh-CN"/>
                    </w:rPr>
                  </w:pPr>
                  <w:r>
                    <w:rPr>
                      <w:rFonts w:ascii="Arial" w:hAnsi="Arial"/>
                      <w:b/>
                      <w:sz w:val="18"/>
                      <w:szCs w:val="20"/>
                      <w:lang w:val="zh-CN" w:eastAsia="zh-CN"/>
                    </w:rPr>
                    <w:t>NPDCCH repetition level</w:t>
                  </w:r>
                </w:p>
              </w:tc>
              <w:tc>
                <w:tcPr>
                  <w:tcW w:w="4801" w:type="dxa"/>
                  <w:tcBorders>
                    <w:top w:val="single" w:sz="8" w:space="0" w:color="auto"/>
                    <w:left w:val="nil"/>
                    <w:bottom w:val="single" w:sz="8" w:space="0" w:color="auto"/>
                    <w:right w:val="single" w:sz="8" w:space="0" w:color="auto"/>
                  </w:tcBorders>
                </w:tcPr>
                <w:p w14:paraId="2B0EEEDB" w14:textId="77777777" w:rsidR="00B66E0C" w:rsidRDefault="00557DA3">
                  <w:pPr>
                    <w:keepNext/>
                    <w:keepLines/>
                    <w:overflowPunct w:val="0"/>
                    <w:snapToGrid/>
                    <w:spacing w:after="0" w:line="240" w:lineRule="auto"/>
                    <w:jc w:val="center"/>
                    <w:textAlignment w:val="baseline"/>
                    <w:rPr>
                      <w:rFonts w:ascii="Arial" w:hAnsi="Arial"/>
                      <w:b/>
                      <w:sz w:val="20"/>
                      <w:szCs w:val="20"/>
                      <w:lang w:eastAsia="sv-SE"/>
                    </w:rPr>
                  </w:pPr>
                  <w:r>
                    <w:rPr>
                      <w:rFonts w:ascii="Arial" w:hAnsi="Arial"/>
                      <w:b/>
                      <w:sz w:val="18"/>
                      <w:szCs w:val="20"/>
                      <w:lang w:eastAsia="zh-CN"/>
                    </w:rPr>
                    <w:t>16-QAM CQI index with NPDSCH transport block error probability not exceeding 0.1</w:t>
                  </w:r>
                </w:p>
              </w:tc>
            </w:tr>
            <w:tr w:rsidR="00B66E0C" w14:paraId="765C4787"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67B00B" w14:textId="77777777" w:rsidR="00B66E0C" w:rsidRDefault="00557DA3">
                  <w:pPr>
                    <w:keepNext/>
                    <w:keepLines/>
                    <w:overflowPunct w:val="0"/>
                    <w:snapToGrid/>
                    <w:spacing w:after="0" w:line="240" w:lineRule="auto"/>
                    <w:jc w:val="center"/>
                    <w:textAlignment w:val="baseline"/>
                    <w:rPr>
                      <w:rFonts w:ascii="Arial" w:hAnsi="Arial"/>
                      <w:sz w:val="18"/>
                      <w:szCs w:val="18"/>
                      <w:lang w:val="en-GB" w:eastAsia="zh-CN"/>
                    </w:rPr>
                  </w:pPr>
                  <w:r>
                    <w:rPr>
                      <w:rFonts w:ascii="Arial" w:hAnsi="Arial"/>
                      <w:sz w:val="18"/>
                      <w:szCs w:val="20"/>
                      <w:lang w:val="en-GB" w:eastAsia="zh-CN"/>
                    </w:rPr>
                    <w:t>candidateRep-M</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950AA" w14:textId="77777777" w:rsidR="00B66E0C" w:rsidRDefault="00557DA3">
                  <w:pPr>
                    <w:keepNext/>
                    <w:keepLines/>
                    <w:overflowPunct w:val="0"/>
                    <w:snapToGrid/>
                    <w:spacing w:after="0" w:line="240" w:lineRule="auto"/>
                    <w:jc w:val="center"/>
                    <w:textAlignment w:val="baseline"/>
                    <w:rPr>
                      <w:rFonts w:ascii="Arial" w:hAnsi="Arial"/>
                      <w:sz w:val="20"/>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15F86C37"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0</w:t>
                  </w:r>
                </w:p>
              </w:tc>
            </w:tr>
            <w:tr w:rsidR="00B66E0C" w14:paraId="18311690"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062B"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candidateRep-N</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690D6"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18AF4D31"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1</w:t>
                  </w:r>
                </w:p>
              </w:tc>
            </w:tr>
            <w:tr w:rsidR="00B66E0C" w14:paraId="3EBEA3B3"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3B49E9"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candidateRep-O</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8F40F1"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19BB3A77"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2</w:t>
                  </w:r>
                </w:p>
              </w:tc>
            </w:tr>
          </w:tbl>
          <w:p w14:paraId="329AD3E8" w14:textId="77777777" w:rsidR="00B66E0C" w:rsidRDefault="00B66E0C">
            <w:pPr>
              <w:tabs>
                <w:tab w:val="left" w:pos="1701"/>
              </w:tabs>
              <w:overflowPunct w:val="0"/>
              <w:snapToGrid/>
              <w:spacing w:line="240" w:lineRule="auto"/>
              <w:ind w:left="1701"/>
              <w:textAlignment w:val="baseline"/>
              <w:rPr>
                <w:rFonts w:ascii="Arial" w:hAnsi="Arial"/>
                <w:b/>
                <w:bCs/>
                <w:sz w:val="20"/>
                <w:szCs w:val="20"/>
                <w:lang w:val="en-GB" w:eastAsia="zh-CN"/>
              </w:rPr>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B66E0C" w14:paraId="4EB463BF"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C048DD" w14:textId="77777777" w:rsidR="00B66E0C" w:rsidRDefault="00557DA3">
                  <w:pPr>
                    <w:keepNext/>
                    <w:overflowPunct w:val="0"/>
                    <w:snapToGrid/>
                    <w:spacing w:after="180" w:line="240" w:lineRule="auto"/>
                    <w:jc w:val="center"/>
                    <w:textAlignment w:val="baseline"/>
                    <w:rPr>
                      <w:rFonts w:ascii="Arial" w:hAnsi="Arial" w:cs="Arial"/>
                      <w:b/>
                      <w:bCs/>
                      <w:sz w:val="18"/>
                      <w:szCs w:val="18"/>
                      <w:lang w:val="sv-SE" w:eastAsia="ja-JP"/>
                    </w:rPr>
                  </w:pPr>
                  <w:r>
                    <w:rPr>
                      <w:rFonts w:ascii="Arial" w:hAnsi="Arial" w:cs="Arial"/>
                      <w:b/>
                      <w:bCs/>
                      <w:sz w:val="18"/>
                      <w:szCs w:val="18"/>
                      <w:lang w:val="en-GB" w:eastAsia="ja-JP"/>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4179" w14:textId="77777777" w:rsidR="00B66E0C" w:rsidRDefault="00557DA3">
                  <w:pPr>
                    <w:keepNext/>
                    <w:overflowPunct w:val="0"/>
                    <w:snapToGrid/>
                    <w:spacing w:after="180" w:line="240" w:lineRule="auto"/>
                    <w:jc w:val="center"/>
                    <w:textAlignment w:val="baseline"/>
                    <w:rPr>
                      <w:rFonts w:ascii="Arial" w:hAnsi="Arial" w:cs="Arial"/>
                      <w:b/>
                      <w:bCs/>
                      <w:sz w:val="18"/>
                      <w:szCs w:val="18"/>
                      <w:lang w:val="en-GB" w:eastAsia="ja-JP"/>
                    </w:rPr>
                  </w:pPr>
                  <w:r>
                    <w:rPr>
                      <w:rFonts w:ascii="Arial" w:hAnsi="Arial" w:cs="Arial"/>
                      <w:b/>
                      <w:bCs/>
                      <w:sz w:val="18"/>
                      <w:szCs w:val="18"/>
                      <w:lang w:val="en-GB" w:eastAsia="ja-JP"/>
                    </w:rPr>
                    <w:t>I</w:t>
                  </w:r>
                  <w:r>
                    <w:rPr>
                      <w:rFonts w:ascii="Arial" w:hAnsi="Arial" w:cs="Arial"/>
                      <w:b/>
                      <w:bCs/>
                      <w:sz w:val="18"/>
                      <w:szCs w:val="18"/>
                      <w:vertAlign w:val="subscript"/>
                      <w:lang w:val="en-GB" w:eastAsia="ja-JP"/>
                    </w:rPr>
                    <w:t xml:space="preserve">TBS </w:t>
                  </w:r>
                  <w:r>
                    <w:rPr>
                      <w:rFonts w:ascii="Arial" w:hAnsi="Arial" w:cs="Arial"/>
                      <w:b/>
                      <w:bCs/>
                      <w:sz w:val="18"/>
                      <w:szCs w:val="18"/>
                      <w:lang w:val="en-GB" w:eastAsia="ja-JP"/>
                    </w:rPr>
                    <w:t>index</w:t>
                  </w:r>
                </w:p>
              </w:tc>
            </w:tr>
            <w:tr w:rsidR="00B66E0C" w14:paraId="55EE5FF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9637757" w14:textId="77777777" w:rsidR="00B66E0C" w:rsidRDefault="00B66E0C">
                  <w:pPr>
                    <w:keepNext/>
                    <w:overflowPunct w:val="0"/>
                    <w:snapToGrid/>
                    <w:spacing w:after="180" w:line="240" w:lineRule="auto"/>
                    <w:jc w:val="center"/>
                    <w:textAlignment w:val="baseline"/>
                    <w:rPr>
                      <w:rFonts w:ascii="Arial" w:hAnsi="Arial" w:cs="Arial"/>
                      <w:sz w:val="18"/>
                      <w:szCs w:val="18"/>
                      <w:lang w:val="en-GB" w:eastAsia="ja-JP"/>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77E64674" w14:textId="77777777" w:rsidR="00B66E0C" w:rsidRDefault="00557DA3">
                  <w:pPr>
                    <w:keepNext/>
                    <w:keepLines/>
                    <w:overflowPunct w:val="0"/>
                    <w:snapToGrid/>
                    <w:spacing w:after="0" w:line="240" w:lineRule="auto"/>
                    <w:jc w:val="center"/>
                    <w:textAlignment w:val="baseline"/>
                    <w:rPr>
                      <w:rFonts w:ascii="Arial" w:hAnsi="Arial" w:cs="Arial"/>
                      <w:b/>
                      <w:sz w:val="18"/>
                      <w:szCs w:val="18"/>
                      <w:lang w:eastAsia="zh-CN"/>
                    </w:rPr>
                  </w:pPr>
                  <w:r>
                    <w:rPr>
                      <w:rFonts w:ascii="Arial" w:hAnsi="Arial"/>
                      <w:b/>
                      <w:sz w:val="18"/>
                      <w:szCs w:val="20"/>
                      <w:lang w:val="de-DE" w:eastAsia="zh-CN"/>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829C81A" w14:textId="77777777" w:rsidR="00B66E0C" w:rsidRDefault="00557DA3">
                  <w:pPr>
                    <w:keepNext/>
                    <w:keepLines/>
                    <w:overflowPunct w:val="0"/>
                    <w:snapToGrid/>
                    <w:spacing w:after="0" w:line="240" w:lineRule="auto"/>
                    <w:jc w:val="center"/>
                    <w:textAlignment w:val="baseline"/>
                    <w:rPr>
                      <w:rFonts w:ascii="Arial" w:hAnsi="Arial"/>
                      <w:b/>
                      <w:sz w:val="20"/>
                      <w:szCs w:val="20"/>
                      <w:lang w:val="de-DE" w:eastAsia="zh-CN"/>
                    </w:rPr>
                  </w:pPr>
                  <w:r>
                    <w:rPr>
                      <w:rFonts w:ascii="Arial" w:hAnsi="Arial"/>
                      <w:b/>
                      <w:sz w:val="18"/>
                      <w:szCs w:val="20"/>
                      <w:lang w:val="de-DE" w:eastAsia="zh-CN"/>
                    </w:rPr>
                    <w:t>In-band deployments</w:t>
                  </w:r>
                </w:p>
              </w:tc>
            </w:tr>
            <w:tr w:rsidR="00B66E0C" w14:paraId="0F928E2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4E379DE" w14:textId="77777777" w:rsidR="00B66E0C" w:rsidRDefault="00557DA3">
                  <w:pPr>
                    <w:keepNext/>
                    <w:overflowPunct w:val="0"/>
                    <w:snapToGrid/>
                    <w:spacing w:after="180" w:line="240" w:lineRule="auto"/>
                    <w:jc w:val="center"/>
                    <w:textAlignment w:val="baseline"/>
                    <w:rPr>
                      <w:rFonts w:ascii="Arial" w:hAnsi="Arial" w:cs="Arial"/>
                      <w:sz w:val="18"/>
                      <w:szCs w:val="18"/>
                      <w:lang w:eastAsia="ja-JP"/>
                    </w:rPr>
                  </w:pPr>
                  <w:r>
                    <w:rPr>
                      <w:rFonts w:ascii="Arial" w:hAnsi="Arial" w:cs="Arial"/>
                      <w:sz w:val="18"/>
                      <w:szCs w:val="18"/>
                      <w:lang w:val="en-GB" w:eastAsia="ja-JP"/>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15C700E8"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E7A9428"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[13]</w:t>
                  </w:r>
                </w:p>
              </w:tc>
            </w:tr>
            <w:tr w:rsidR="00B66E0C" w14:paraId="0BF0594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46392C2"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7B01DF3C"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1DDFAEF"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[16]</w:t>
                  </w:r>
                </w:p>
              </w:tc>
            </w:tr>
            <w:tr w:rsidR="00B66E0C" w14:paraId="43856552"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E9E9479"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44B2B3F5"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6AE9B38"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r>
          </w:tbl>
          <w:p w14:paraId="6F8CDA8B" w14:textId="77777777" w:rsidR="00B66E0C" w:rsidRDefault="00B66E0C">
            <w:pPr>
              <w:rPr>
                <w:b/>
                <w:sz w:val="20"/>
                <w:szCs w:val="20"/>
              </w:rPr>
            </w:pPr>
          </w:p>
          <w:p w14:paraId="09A90BF2" w14:textId="77777777" w:rsidR="00B66E0C" w:rsidRDefault="00557DA3">
            <w:pPr>
              <w:rPr>
                <w:b/>
                <w:sz w:val="20"/>
                <w:szCs w:val="20"/>
              </w:rPr>
            </w:pPr>
            <w:r>
              <w:rPr>
                <w:b/>
                <w:sz w:val="20"/>
                <w:szCs w:val="20"/>
              </w:rPr>
              <w:t>Observation 5</w:t>
            </w:r>
            <w:r>
              <w:rPr>
                <w:b/>
                <w:sz w:val="20"/>
                <w:szCs w:val="20"/>
              </w:rPr>
              <w:tab/>
              <w:t>For the DL channel quality report there is an “FFS on support in Msg3 in connected mode”, nonetheless TS 36.321 states “DL channel quality in Msg3 in RRC_CONNECTED is not reported”.</w:t>
            </w:r>
          </w:p>
          <w:p w14:paraId="353C09B9" w14:textId="77777777" w:rsidR="00B66E0C" w:rsidRDefault="00557DA3">
            <w:pPr>
              <w:rPr>
                <w:b/>
                <w:sz w:val="20"/>
                <w:szCs w:val="20"/>
              </w:rPr>
            </w:pPr>
            <w:r>
              <w:rPr>
                <w:b/>
                <w:sz w:val="20"/>
                <w:szCs w:val="20"/>
              </w:rPr>
              <w:t>Proposal 3</w:t>
            </w:r>
            <w:r>
              <w:rPr>
                <w:b/>
                <w:sz w:val="20"/>
                <w:szCs w:val="20"/>
              </w:rPr>
              <w:tab/>
              <w:t>For the support of 16-QAM in DL the legacy is followed and the “DL channel quality in Msg3 in RRC_CONNECTED is not reported”.</w:t>
            </w:r>
          </w:p>
        </w:tc>
      </w:tr>
      <w:tr w:rsidR="00B66E0C" w14:paraId="4303BF8A" w14:textId="77777777">
        <w:tc>
          <w:tcPr>
            <w:tcW w:w="1838" w:type="dxa"/>
          </w:tcPr>
          <w:p w14:paraId="52638D2E" w14:textId="77777777" w:rsidR="00B66E0C" w:rsidRDefault="00B66E0C">
            <w:pPr>
              <w:rPr>
                <w:szCs w:val="20"/>
              </w:rPr>
            </w:pPr>
          </w:p>
        </w:tc>
        <w:tc>
          <w:tcPr>
            <w:tcW w:w="7469" w:type="dxa"/>
          </w:tcPr>
          <w:p w14:paraId="502BFFDE" w14:textId="77777777" w:rsidR="00B66E0C" w:rsidRDefault="00B66E0C">
            <w:pPr>
              <w:rPr>
                <w:b/>
                <w:i/>
                <w:sz w:val="20"/>
                <w:szCs w:val="20"/>
                <w:lang w:val="en-GB"/>
              </w:rPr>
            </w:pPr>
          </w:p>
        </w:tc>
      </w:tr>
    </w:tbl>
    <w:p w14:paraId="01D7ED73" w14:textId="77777777" w:rsidR="00B66E0C" w:rsidRDefault="00B66E0C"/>
    <w:p w14:paraId="53BCFFDC" w14:textId="77777777" w:rsidR="00B66E0C" w:rsidRDefault="00557DA3">
      <w:pPr>
        <w:spacing w:line="240" w:lineRule="auto"/>
      </w:pPr>
      <w:r>
        <w:rPr>
          <w:rFonts w:hint="eastAsia"/>
        </w:rPr>
        <w:t>As most companies propose to not support channel quality report in Msg3 in connected mode, the following is pr</w:t>
      </w:r>
      <w:r>
        <w:t>oposed:</w:t>
      </w:r>
    </w:p>
    <w:p w14:paraId="14B085C6" w14:textId="77777777" w:rsidR="00B66E0C" w:rsidRDefault="00557DA3">
      <w:pPr>
        <w:spacing w:line="240" w:lineRule="auto"/>
      </w:pPr>
      <w:r>
        <w:rPr>
          <w:b/>
        </w:rPr>
        <w:t>Proposal 8 (conclusion): The channel quality report is not supported in Msg3 in connected mode in Rel-17.</w:t>
      </w:r>
    </w:p>
    <w:p w14:paraId="5308C828" w14:textId="77777777" w:rsidR="00B66E0C" w:rsidRDefault="00557DA3">
      <w:pPr>
        <w:spacing w:line="240" w:lineRule="auto"/>
      </w:pPr>
      <w:r>
        <w:t>On the CQI table for downlink 16-QAM, 4 companies (Nokia, NSB, Lenovo, Moto) prefer option 1, 1 company (Ericsson) prefers option 2, and 7 companies (Huawei, HiSilicon, Nokia, NSB, ZTE, Sanechips, MTK) prefer option 3.</w:t>
      </w:r>
    </w:p>
    <w:p w14:paraId="12F38E76" w14:textId="77777777" w:rsidR="00B66E0C" w:rsidRDefault="00557DA3">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24ACF5DF" w14:textId="77777777" w:rsidR="00B66E0C" w:rsidRDefault="00557DA3">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1A613DE9" w14:textId="77777777" w:rsidR="00B66E0C" w:rsidRDefault="00557DA3">
      <w:pPr>
        <w:spacing w:line="240" w:lineRule="auto"/>
      </w:pPr>
      <w:r>
        <w:rPr>
          <w:rFonts w:hint="eastAsia"/>
        </w:rPr>
        <w:lastRenderedPageBreak/>
        <w:t xml:space="preserve">The concerns to support option 3 include: no backward compatible, </w:t>
      </w:r>
      <w:r>
        <w:t xml:space="preserve">and </w:t>
      </w:r>
      <w:r>
        <w:rPr>
          <w:rFonts w:hint="eastAsia"/>
        </w:rPr>
        <w:t>additional signaling</w:t>
      </w:r>
      <w:r>
        <w:t>.</w:t>
      </w:r>
    </w:p>
    <w:p w14:paraId="1F90DB94" w14:textId="77777777" w:rsidR="00B66E0C" w:rsidRDefault="00557DA3">
      <w:pPr>
        <w:spacing w:line="240" w:lineRule="auto"/>
      </w:pPr>
      <w:r>
        <w:t>For the majority view (option 3), the concerns can be easily addressed by a Rel-17 RRC parameter. If it can be resolved, the following is proposed to move forward based on majority view:</w:t>
      </w:r>
    </w:p>
    <w:p w14:paraId="13447EA1" w14:textId="77777777" w:rsidR="00B66E0C" w:rsidRDefault="00557DA3">
      <w:pPr>
        <w:spacing w:line="240" w:lineRule="auto"/>
      </w:pPr>
      <w:r>
        <w:rPr>
          <w:b/>
        </w:rPr>
        <w:t>Proposal 9: For downlink 16-QAM, a new CQI table is defined based on the table 7.2.3-3 in TS 36.213 as a starting point.</w:t>
      </w:r>
    </w:p>
    <w:p w14:paraId="45BAB35D" w14:textId="77777777" w:rsidR="00B66E0C" w:rsidRDefault="00557DA3">
      <w:pPr>
        <w:spacing w:line="240" w:lineRule="auto"/>
      </w:pPr>
      <w:r>
        <w:rPr>
          <w:rFonts w:hint="eastAsia"/>
        </w:rPr>
        <w:t>P</w:t>
      </w:r>
      <w:r>
        <w:t>lease input your comments for the above proposals:</w:t>
      </w:r>
    </w:p>
    <w:tbl>
      <w:tblPr>
        <w:tblStyle w:val="af1"/>
        <w:tblW w:w="0" w:type="auto"/>
        <w:tblLook w:val="04A0" w:firstRow="1" w:lastRow="0" w:firstColumn="1" w:lastColumn="0" w:noHBand="0" w:noVBand="1"/>
      </w:tblPr>
      <w:tblGrid>
        <w:gridCol w:w="1838"/>
        <w:gridCol w:w="7469"/>
      </w:tblGrid>
      <w:tr w:rsidR="00B66E0C" w14:paraId="53BE6A29" w14:textId="77777777">
        <w:tc>
          <w:tcPr>
            <w:tcW w:w="1838" w:type="dxa"/>
          </w:tcPr>
          <w:p w14:paraId="267FDE90" w14:textId="77777777" w:rsidR="00B66E0C" w:rsidRDefault="00557DA3">
            <w:pPr>
              <w:rPr>
                <w:szCs w:val="20"/>
              </w:rPr>
            </w:pPr>
            <w:r>
              <w:rPr>
                <w:rFonts w:hint="eastAsia"/>
                <w:szCs w:val="20"/>
              </w:rPr>
              <w:t>Comp</w:t>
            </w:r>
            <w:r>
              <w:rPr>
                <w:szCs w:val="20"/>
              </w:rPr>
              <w:t>anies</w:t>
            </w:r>
          </w:p>
        </w:tc>
        <w:tc>
          <w:tcPr>
            <w:tcW w:w="7469" w:type="dxa"/>
          </w:tcPr>
          <w:p w14:paraId="128A03BF" w14:textId="77777777" w:rsidR="00B66E0C" w:rsidRDefault="00557DA3">
            <w:pPr>
              <w:rPr>
                <w:szCs w:val="20"/>
              </w:rPr>
            </w:pPr>
            <w:r>
              <w:rPr>
                <w:rFonts w:hint="eastAsia"/>
                <w:szCs w:val="20"/>
              </w:rPr>
              <w:t>Comments</w:t>
            </w:r>
          </w:p>
        </w:tc>
      </w:tr>
      <w:tr w:rsidR="00B66E0C" w14:paraId="65F235BA" w14:textId="77777777">
        <w:tc>
          <w:tcPr>
            <w:tcW w:w="1838" w:type="dxa"/>
          </w:tcPr>
          <w:p w14:paraId="4AFB9470" w14:textId="77777777" w:rsidR="00B66E0C" w:rsidRDefault="00557DA3">
            <w:r>
              <w:t>Huawei, HiSilicon</w:t>
            </w:r>
          </w:p>
        </w:tc>
        <w:tc>
          <w:tcPr>
            <w:tcW w:w="7469" w:type="dxa"/>
          </w:tcPr>
          <w:p w14:paraId="307A7BF5" w14:textId="77777777" w:rsidR="00B66E0C" w:rsidRDefault="00557DA3">
            <w:r>
              <w:rPr>
                <w:rFonts w:hint="eastAsia"/>
              </w:rPr>
              <w:t>W</w:t>
            </w:r>
            <w:r>
              <w:t xml:space="preserve">e are OK with proposal 8 and proposal 9. </w:t>
            </w:r>
          </w:p>
        </w:tc>
      </w:tr>
      <w:tr w:rsidR="00B66E0C" w14:paraId="7AF8C34C" w14:textId="77777777">
        <w:tc>
          <w:tcPr>
            <w:tcW w:w="1838" w:type="dxa"/>
          </w:tcPr>
          <w:p w14:paraId="1804049A" w14:textId="77777777" w:rsidR="00B66E0C" w:rsidRDefault="00557DA3">
            <w:pPr>
              <w:rPr>
                <w:szCs w:val="20"/>
              </w:rPr>
            </w:pPr>
            <w:r>
              <w:rPr>
                <w:rFonts w:asciiTheme="minorHAnsi" w:hAnsiTheme="minorHAnsi" w:cstheme="minorHAnsi"/>
                <w:szCs w:val="20"/>
                <w:lang w:eastAsia="zh-CN"/>
              </w:rPr>
              <w:t>Ericsson</w:t>
            </w:r>
          </w:p>
        </w:tc>
        <w:tc>
          <w:tcPr>
            <w:tcW w:w="7469" w:type="dxa"/>
          </w:tcPr>
          <w:p w14:paraId="6D314E3A" w14:textId="77777777" w:rsidR="00B66E0C" w:rsidRDefault="00557DA3">
            <w:pPr>
              <w:pStyle w:val="af7"/>
              <w:numPr>
                <w:ilvl w:val="0"/>
                <w:numId w:val="15"/>
              </w:numPr>
            </w:pPr>
            <w:r>
              <w:t>Proposal 8: Ok.</w:t>
            </w:r>
          </w:p>
          <w:p w14:paraId="1792EF73" w14:textId="77777777" w:rsidR="00B66E0C" w:rsidRDefault="00557DA3">
            <w:pPr>
              <w:pStyle w:val="af7"/>
              <w:numPr>
                <w:ilvl w:val="0"/>
                <w:numId w:val="15"/>
              </w:numPr>
            </w:pPr>
            <w:r>
              <w:t>Proposal 9: We are not ok with it, mainly because of the no backward compatibility from option 1 and option 3.</w:t>
            </w:r>
          </w:p>
        </w:tc>
      </w:tr>
      <w:tr w:rsidR="00B66E0C" w14:paraId="65115879" w14:textId="77777777">
        <w:tc>
          <w:tcPr>
            <w:tcW w:w="1838" w:type="dxa"/>
          </w:tcPr>
          <w:p w14:paraId="3469477A" w14:textId="77777777" w:rsidR="00B66E0C" w:rsidRDefault="00557DA3">
            <w:pPr>
              <w:rPr>
                <w:szCs w:val="20"/>
                <w:lang w:eastAsia="zh-CN"/>
              </w:rPr>
            </w:pPr>
            <w:r>
              <w:rPr>
                <w:rFonts w:hint="eastAsia"/>
                <w:szCs w:val="20"/>
                <w:lang w:eastAsia="zh-CN"/>
              </w:rPr>
              <w:t>L</w:t>
            </w:r>
            <w:r>
              <w:rPr>
                <w:szCs w:val="20"/>
                <w:lang w:eastAsia="zh-CN"/>
              </w:rPr>
              <w:t>enovo, MotoM</w:t>
            </w:r>
          </w:p>
        </w:tc>
        <w:tc>
          <w:tcPr>
            <w:tcW w:w="7469" w:type="dxa"/>
          </w:tcPr>
          <w:p w14:paraId="45E7D961" w14:textId="77777777" w:rsidR="00B66E0C" w:rsidRDefault="00557DA3">
            <w:pPr>
              <w:rPr>
                <w:szCs w:val="20"/>
                <w:lang w:eastAsia="zh-CN"/>
              </w:rPr>
            </w:pPr>
            <w:r>
              <w:rPr>
                <w:szCs w:val="20"/>
                <w:lang w:eastAsia="zh-CN"/>
              </w:rPr>
              <w:t>We are OK with proposal 8</w:t>
            </w:r>
          </w:p>
          <w:p w14:paraId="6A8B31B5" w14:textId="77777777" w:rsidR="00B66E0C" w:rsidRDefault="00557DA3">
            <w:pPr>
              <w:rPr>
                <w:szCs w:val="20"/>
                <w:lang w:eastAsia="zh-CN"/>
              </w:rPr>
            </w:pPr>
            <w:r>
              <w:rPr>
                <w:rFonts w:hint="eastAsia"/>
                <w:szCs w:val="20"/>
                <w:lang w:eastAsia="zh-CN"/>
              </w:rPr>
              <w:t>F</w:t>
            </w:r>
            <w:r>
              <w:rPr>
                <w:szCs w:val="20"/>
                <w:lang w:eastAsia="zh-CN"/>
              </w:rPr>
              <w:t>or proposal 9, we have some concern because it is not aligned with the WID</w:t>
            </w:r>
          </w:p>
          <w:p w14:paraId="78FED3ED" w14:textId="77777777" w:rsidR="00B66E0C" w:rsidRDefault="00557DA3">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63152FDE" w14:textId="77777777" w:rsidR="00B66E0C" w:rsidRDefault="00557DA3">
            <w:pPr>
              <w:pStyle w:val="af7"/>
              <w:numPr>
                <w:ilvl w:val="0"/>
                <w:numId w:val="11"/>
              </w:numPr>
              <w:snapToGrid w:val="0"/>
              <w:spacing w:line="240" w:lineRule="auto"/>
              <w:ind w:leftChars="36" w:left="439"/>
              <w:jc w:val="left"/>
              <w:rPr>
                <w:rFonts w:ascii="Times New Roman" w:hAnsi="Times New Roman"/>
                <w:bCs/>
                <w:sz w:val="20"/>
                <w:szCs w:val="20"/>
              </w:rPr>
            </w:pPr>
            <w:r>
              <w:rPr>
                <w:rFonts w:ascii="Times New Roman" w:eastAsia="等线"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eastAsia="等线" w:hAnsi="Times New Roman"/>
                <w:sz w:val="20"/>
                <w:szCs w:val="20"/>
              </w:rPr>
              <w:t xml:space="preserve"> [NB-IoT] [RAN1, RAN4]</w:t>
            </w:r>
          </w:p>
          <w:p w14:paraId="3EDA52C2" w14:textId="77777777" w:rsidR="00B66E0C" w:rsidRDefault="00557DA3">
            <w:pPr>
              <w:pStyle w:val="af7"/>
              <w:numPr>
                <w:ilvl w:val="1"/>
                <w:numId w:val="11"/>
              </w:numPr>
              <w:snapToGrid w:val="0"/>
              <w:spacing w:line="240" w:lineRule="auto"/>
              <w:ind w:left="785"/>
              <w:jc w:val="left"/>
              <w:rPr>
                <w:rFonts w:ascii="Times New Roman" w:hAnsi="Times New Roman"/>
                <w:bCs/>
                <w:sz w:val="20"/>
                <w:szCs w:val="20"/>
              </w:rPr>
            </w:pPr>
            <w:r>
              <w:rPr>
                <w:rFonts w:ascii="Times New Roman" w:eastAsia="等线" w:hAnsi="Times New Roman"/>
                <w:sz w:val="20"/>
                <w:szCs w:val="20"/>
              </w:rPr>
              <w:t xml:space="preserve">Extend the NB-IoT channel quality reporting </w:t>
            </w:r>
            <w:r>
              <w:rPr>
                <w:rFonts w:ascii="Times New Roman" w:eastAsia="等线" w:hAnsi="Times New Roman"/>
                <w:sz w:val="20"/>
                <w:szCs w:val="20"/>
                <w:highlight w:val="yellow"/>
              </w:rPr>
              <w:t>based on the framework of Rel-14—16</w:t>
            </w:r>
            <w:r>
              <w:rPr>
                <w:rFonts w:ascii="Times New Roman" w:eastAsia="等线" w:hAnsi="Times New Roman"/>
                <w:sz w:val="20"/>
                <w:szCs w:val="20"/>
              </w:rPr>
              <w:t xml:space="preserve">, to support 16-QAM in DL. [NB-IoT] [RAN2, RAN1, RAN4] </w:t>
            </w:r>
          </w:p>
          <w:p w14:paraId="58A5A0A9" w14:textId="77777777" w:rsidR="00B66E0C" w:rsidRDefault="00B66E0C">
            <w:pPr>
              <w:rPr>
                <w:szCs w:val="20"/>
                <w:lang w:eastAsia="zh-CN"/>
              </w:rPr>
            </w:pPr>
          </w:p>
        </w:tc>
      </w:tr>
      <w:tr w:rsidR="00B66E0C" w14:paraId="3B059C30" w14:textId="77777777">
        <w:tc>
          <w:tcPr>
            <w:tcW w:w="1838" w:type="dxa"/>
          </w:tcPr>
          <w:p w14:paraId="657BF511" w14:textId="77777777" w:rsidR="00B66E0C" w:rsidRDefault="00557DA3">
            <w:pPr>
              <w:rPr>
                <w:szCs w:val="20"/>
                <w:lang w:eastAsia="zh-CN"/>
              </w:rPr>
            </w:pPr>
            <w:r>
              <w:rPr>
                <w:rFonts w:hint="eastAsia"/>
                <w:szCs w:val="20"/>
                <w:lang w:eastAsia="zh-CN"/>
              </w:rPr>
              <w:t>MTK</w:t>
            </w:r>
          </w:p>
        </w:tc>
        <w:tc>
          <w:tcPr>
            <w:tcW w:w="7469" w:type="dxa"/>
          </w:tcPr>
          <w:p w14:paraId="5F758895" w14:textId="77777777" w:rsidR="00B66E0C" w:rsidRDefault="00557DA3">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rsidR="00B66E0C" w14:paraId="2798EA46" w14:textId="77777777">
        <w:tc>
          <w:tcPr>
            <w:tcW w:w="1838" w:type="dxa"/>
          </w:tcPr>
          <w:p w14:paraId="6145B208" w14:textId="77777777" w:rsidR="00B66E0C" w:rsidRDefault="00557DA3">
            <w:pPr>
              <w:rPr>
                <w:szCs w:val="20"/>
                <w:lang w:eastAsia="zh-CN"/>
              </w:rPr>
            </w:pPr>
            <w:r>
              <w:rPr>
                <w:rFonts w:hint="eastAsia"/>
                <w:szCs w:val="20"/>
                <w:lang w:eastAsia="zh-CN"/>
              </w:rPr>
              <w:t>ZTE, Sanechips</w:t>
            </w:r>
          </w:p>
        </w:tc>
        <w:tc>
          <w:tcPr>
            <w:tcW w:w="7469" w:type="dxa"/>
          </w:tcPr>
          <w:p w14:paraId="49CBB984" w14:textId="77777777" w:rsidR="00B66E0C" w:rsidRDefault="00557DA3">
            <w:pPr>
              <w:tabs>
                <w:tab w:val="left" w:pos="3130"/>
              </w:tabs>
              <w:rPr>
                <w:szCs w:val="20"/>
                <w:lang w:eastAsia="zh-CN"/>
              </w:rPr>
            </w:pPr>
            <w:r>
              <w:rPr>
                <w:rFonts w:hint="eastAsia"/>
                <w:szCs w:val="20"/>
                <w:lang w:eastAsia="zh-CN"/>
              </w:rPr>
              <w:t>Agree with Proposal 8 and 9.</w:t>
            </w:r>
          </w:p>
        </w:tc>
      </w:tr>
      <w:tr w:rsidR="00B66E0C" w14:paraId="6ACA7A48" w14:textId="77777777">
        <w:tc>
          <w:tcPr>
            <w:tcW w:w="1838" w:type="dxa"/>
          </w:tcPr>
          <w:p w14:paraId="306059CB" w14:textId="77777777" w:rsidR="00B66E0C" w:rsidRDefault="00557DA3">
            <w:pPr>
              <w:rPr>
                <w:szCs w:val="20"/>
                <w:lang w:eastAsia="zh-CN"/>
              </w:rPr>
            </w:pPr>
            <w:r>
              <w:rPr>
                <w:szCs w:val="20"/>
                <w:lang w:eastAsia="zh-CN"/>
              </w:rPr>
              <w:t>Nokia, NSB</w:t>
            </w:r>
          </w:p>
        </w:tc>
        <w:tc>
          <w:tcPr>
            <w:tcW w:w="7469" w:type="dxa"/>
          </w:tcPr>
          <w:p w14:paraId="7B619CD4" w14:textId="77777777" w:rsidR="00B66E0C" w:rsidRDefault="00557DA3">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bl>
    <w:p w14:paraId="74C2135D" w14:textId="77777777" w:rsidR="00B66E0C" w:rsidRDefault="00B66E0C"/>
    <w:p w14:paraId="546DD6B0" w14:textId="77777777" w:rsidR="00B66E0C" w:rsidRDefault="00557DA3">
      <w:pPr>
        <w:pStyle w:val="2"/>
        <w:rPr>
          <w:lang w:eastAsia="zh-CN"/>
        </w:rPr>
      </w:pPr>
      <w:r>
        <w:rPr>
          <w:lang w:eastAsia="zh-CN"/>
        </w:rPr>
        <w:t>Others</w:t>
      </w:r>
    </w:p>
    <w:p w14:paraId="14D1FA2D" w14:textId="77777777" w:rsidR="00B66E0C" w:rsidRDefault="00557DA3">
      <w:pPr>
        <w:outlineLvl w:val="2"/>
        <w:rPr>
          <w:b/>
          <w:u w:val="single"/>
        </w:rPr>
      </w:pPr>
      <w:r>
        <w:rPr>
          <w:b/>
          <w:u w:val="single"/>
          <w:lang w:eastAsia="zh-CN"/>
        </w:rPr>
        <w:t xml:space="preserve">Issue 6: </w:t>
      </w:r>
      <w:r>
        <w:rPr>
          <w:rFonts w:hint="eastAsia"/>
          <w:b/>
          <w:u w:val="single"/>
        </w:rPr>
        <w:t>Others</w:t>
      </w:r>
    </w:p>
    <w:p w14:paraId="56775AD3" w14:textId="77777777" w:rsidR="00B66E0C" w:rsidRDefault="00557DA3">
      <w:r>
        <w:t>There are also other proposals as below:</w:t>
      </w:r>
    </w:p>
    <w:tbl>
      <w:tblPr>
        <w:tblStyle w:val="af1"/>
        <w:tblW w:w="0" w:type="auto"/>
        <w:tblLook w:val="04A0" w:firstRow="1" w:lastRow="0" w:firstColumn="1" w:lastColumn="0" w:noHBand="0" w:noVBand="1"/>
      </w:tblPr>
      <w:tblGrid>
        <w:gridCol w:w="1838"/>
        <w:gridCol w:w="7469"/>
      </w:tblGrid>
      <w:tr w:rsidR="00B66E0C" w14:paraId="72EB94F8" w14:textId="77777777">
        <w:tc>
          <w:tcPr>
            <w:tcW w:w="1838" w:type="dxa"/>
          </w:tcPr>
          <w:p w14:paraId="3BE43F9F" w14:textId="77777777" w:rsidR="00B66E0C" w:rsidRDefault="00557DA3">
            <w:pPr>
              <w:rPr>
                <w:szCs w:val="20"/>
              </w:rPr>
            </w:pPr>
            <w:r>
              <w:rPr>
                <w:rFonts w:hint="eastAsia"/>
                <w:szCs w:val="20"/>
              </w:rPr>
              <w:t>S</w:t>
            </w:r>
            <w:r>
              <w:rPr>
                <w:szCs w:val="20"/>
              </w:rPr>
              <w:t>ourcing</w:t>
            </w:r>
          </w:p>
        </w:tc>
        <w:tc>
          <w:tcPr>
            <w:tcW w:w="7469" w:type="dxa"/>
          </w:tcPr>
          <w:p w14:paraId="3E6990FA" w14:textId="77777777" w:rsidR="00B66E0C" w:rsidRDefault="00557DA3">
            <w:pPr>
              <w:rPr>
                <w:szCs w:val="20"/>
              </w:rPr>
            </w:pPr>
            <w:r>
              <w:rPr>
                <w:rFonts w:hint="eastAsia"/>
                <w:szCs w:val="20"/>
              </w:rPr>
              <w:t>proposal</w:t>
            </w:r>
            <w:r>
              <w:rPr>
                <w:szCs w:val="20"/>
              </w:rPr>
              <w:t>s</w:t>
            </w:r>
          </w:p>
        </w:tc>
      </w:tr>
      <w:tr w:rsidR="00B66E0C" w14:paraId="4FA76847" w14:textId="77777777">
        <w:tc>
          <w:tcPr>
            <w:tcW w:w="1838" w:type="dxa"/>
          </w:tcPr>
          <w:p w14:paraId="52BED93E" w14:textId="77777777" w:rsidR="00B66E0C" w:rsidRDefault="00557DA3">
            <w:pPr>
              <w:rPr>
                <w:szCs w:val="20"/>
              </w:rPr>
            </w:pPr>
            <w:r>
              <w:rPr>
                <w:rFonts w:hint="eastAsia"/>
                <w:szCs w:val="20"/>
              </w:rPr>
              <w:t>[</w:t>
            </w:r>
            <w:r>
              <w:rPr>
                <w:szCs w:val="20"/>
              </w:rPr>
              <w:t>5]</w:t>
            </w:r>
          </w:p>
        </w:tc>
        <w:tc>
          <w:tcPr>
            <w:tcW w:w="7469" w:type="dxa"/>
          </w:tcPr>
          <w:p w14:paraId="7EA0EFC5" w14:textId="77777777" w:rsidR="00B66E0C" w:rsidRDefault="00557DA3">
            <w:pPr>
              <w:numPr>
                <w:ilvl w:val="255"/>
                <w:numId w:val="0"/>
              </w:numPr>
              <w:spacing w:before="120" w:after="240"/>
              <w:rPr>
                <w:b/>
                <w:bCs/>
                <w:i/>
                <w:iCs/>
                <w:kern w:val="2"/>
                <w:sz w:val="20"/>
                <w:szCs w:val="20"/>
                <w:lang w:eastAsia="zh-CN"/>
              </w:rPr>
            </w:pPr>
            <w:r>
              <w:rPr>
                <w:b/>
                <w:bCs/>
                <w:i/>
                <w:iCs/>
                <w:kern w:val="2"/>
                <w:sz w:val="20"/>
                <w:szCs w:val="20"/>
                <w:lang w:eastAsia="zh-CN"/>
              </w:rPr>
              <w:t xml:space="preserve">Observation </w:t>
            </w:r>
            <w:r>
              <w:rPr>
                <w:rFonts w:hint="eastAsia"/>
                <w:b/>
                <w:bCs/>
                <w:i/>
                <w:iCs/>
                <w:kern w:val="2"/>
                <w:sz w:val="20"/>
                <w:szCs w:val="20"/>
                <w:lang w:eastAsia="zh-CN"/>
              </w:rPr>
              <w:t>6</w:t>
            </w:r>
            <w:r>
              <w:rPr>
                <w:b/>
                <w:bCs/>
                <w:i/>
                <w:iCs/>
                <w:kern w:val="2"/>
                <w:sz w:val="20"/>
                <w:szCs w:val="20"/>
                <w:lang w:eastAsia="zh-CN"/>
              </w:rPr>
              <w:t>: For the large TBS case</w:t>
            </w:r>
            <w:r>
              <w:rPr>
                <w:rFonts w:hint="eastAsia"/>
                <w:b/>
                <w:bCs/>
                <w:i/>
                <w:iCs/>
                <w:kern w:val="2"/>
                <w:sz w:val="20"/>
                <w:szCs w:val="20"/>
                <w:lang w:eastAsia="zh-CN"/>
              </w:rPr>
              <w:t xml:space="preserve"> </w:t>
            </w:r>
            <w:r>
              <w:rPr>
                <w:b/>
                <w:bCs/>
                <w:i/>
                <w:iCs/>
                <w:kern w:val="2"/>
                <w:sz w:val="20"/>
                <w:szCs w:val="20"/>
                <w:lang w:eastAsia="zh-CN"/>
              </w:rPr>
              <w:t>with QPSK, increasing the</w:t>
            </w:r>
            <w:r>
              <w:rPr>
                <w:rFonts w:hint="eastAsia"/>
                <w:b/>
                <w:bCs/>
                <w:i/>
                <w:iCs/>
                <w:kern w:val="2"/>
                <w:sz w:val="20"/>
                <w:szCs w:val="20"/>
                <w:lang w:eastAsia="zh-CN"/>
              </w:rPr>
              <w:t xml:space="preserve"> mapping</w:t>
            </w:r>
            <w:r>
              <w:rPr>
                <w:b/>
                <w:bCs/>
                <w:i/>
                <w:iCs/>
                <w:kern w:val="2"/>
                <w:sz w:val="20"/>
                <w:szCs w:val="20"/>
                <w:lang w:eastAsia="zh-CN"/>
              </w:rPr>
              <w:t xml:space="preserve"> RU number while keeping the repetition number reduced half improve performance</w:t>
            </w:r>
            <w:r>
              <w:rPr>
                <w:rFonts w:hint="eastAsia"/>
                <w:b/>
                <w:bCs/>
                <w:i/>
                <w:iCs/>
                <w:kern w:val="2"/>
                <w:sz w:val="20"/>
                <w:szCs w:val="20"/>
                <w:lang w:eastAsia="zh-CN"/>
              </w:rPr>
              <w:t xml:space="preserve"> more than 2 dB</w:t>
            </w:r>
            <w:r>
              <w:rPr>
                <w:b/>
                <w:bCs/>
                <w:i/>
                <w:iCs/>
                <w:kern w:val="2"/>
                <w:sz w:val="20"/>
                <w:szCs w:val="20"/>
                <w:lang w:eastAsia="zh-CN"/>
              </w:rPr>
              <w:t>.</w:t>
            </w:r>
          </w:p>
          <w:p w14:paraId="7F1B4702" w14:textId="77777777" w:rsidR="00B66E0C" w:rsidRDefault="00557DA3">
            <w:pPr>
              <w:spacing w:beforeLines="50" w:before="120" w:after="240" w:line="276" w:lineRule="auto"/>
              <w:rPr>
                <w:b/>
                <w:bCs/>
                <w:sz w:val="20"/>
                <w:szCs w:val="20"/>
                <w:u w:val="single"/>
                <w:lang w:eastAsia="zh-CN"/>
              </w:rPr>
            </w:pPr>
            <w:r>
              <w:rPr>
                <w:rFonts w:hint="eastAsia"/>
                <w:b/>
                <w:bCs/>
                <w:i/>
                <w:iCs/>
                <w:sz w:val="20"/>
                <w:szCs w:val="20"/>
                <w:lang w:eastAsia="zh-CN"/>
              </w:rPr>
              <w:t>Proposal 9: For NB-IoT UE with 16QAM, double RU number should be considered to improve the performance for some QPSK entries with the repetition number reduced half.</w:t>
            </w:r>
          </w:p>
          <w:p w14:paraId="54800E0A" w14:textId="77777777" w:rsidR="00B66E0C" w:rsidRDefault="00B66E0C">
            <w:pPr>
              <w:rPr>
                <w:szCs w:val="20"/>
              </w:rPr>
            </w:pPr>
          </w:p>
        </w:tc>
      </w:tr>
      <w:tr w:rsidR="00B66E0C" w14:paraId="681FED01" w14:textId="77777777">
        <w:tc>
          <w:tcPr>
            <w:tcW w:w="1838" w:type="dxa"/>
          </w:tcPr>
          <w:p w14:paraId="6458530B" w14:textId="77777777" w:rsidR="00B66E0C" w:rsidRDefault="00557DA3">
            <w:pPr>
              <w:rPr>
                <w:szCs w:val="20"/>
              </w:rPr>
            </w:pPr>
            <w:r>
              <w:rPr>
                <w:rFonts w:hint="eastAsia"/>
                <w:szCs w:val="20"/>
              </w:rPr>
              <w:lastRenderedPageBreak/>
              <w:t>[9]</w:t>
            </w:r>
          </w:p>
        </w:tc>
        <w:tc>
          <w:tcPr>
            <w:tcW w:w="7469" w:type="dxa"/>
          </w:tcPr>
          <w:p w14:paraId="2B76B260" w14:textId="77777777" w:rsidR="00B66E0C" w:rsidRDefault="00557DA3">
            <w:pPr>
              <w:spacing w:line="240" w:lineRule="auto"/>
              <w:rPr>
                <w:b/>
                <w:lang w:eastAsia="zh-CN"/>
              </w:rPr>
            </w:pPr>
            <w:r>
              <w:rPr>
                <w:b/>
                <w:lang w:eastAsia="zh-CN"/>
              </w:rPr>
              <w:t>Observation 1: The PAPR of 16-QAM for DL NB-IoT is increased compared with QPSK.</w:t>
            </w:r>
          </w:p>
          <w:p w14:paraId="03A5DD80" w14:textId="77777777" w:rsidR="00B66E0C" w:rsidRDefault="00557DA3">
            <w:pPr>
              <w:rPr>
                <w:b/>
                <w:lang w:eastAsia="zh-CN"/>
              </w:rPr>
            </w:pPr>
            <w:r>
              <w:rPr>
                <w:b/>
                <w:lang w:eastAsia="zh-CN"/>
              </w:rPr>
              <w:t>Proposal 1: RAN1 to consider the reduction of 16-QAM PAPR for DL NB-IoT.</w:t>
            </w:r>
          </w:p>
          <w:p w14:paraId="0D2F3C10" w14:textId="77777777" w:rsidR="00B66E0C" w:rsidRDefault="00B66E0C">
            <w:pPr>
              <w:pStyle w:val="Observation"/>
              <w:numPr>
                <w:ilvl w:val="0"/>
                <w:numId w:val="0"/>
              </w:numPr>
              <w:spacing w:line="240" w:lineRule="auto"/>
              <w:ind w:left="360" w:hanging="360"/>
              <w:rPr>
                <w:lang w:val="en-US"/>
              </w:rPr>
            </w:pPr>
          </w:p>
        </w:tc>
      </w:tr>
      <w:tr w:rsidR="00B66E0C" w14:paraId="6E9E658E" w14:textId="77777777">
        <w:tc>
          <w:tcPr>
            <w:tcW w:w="1838" w:type="dxa"/>
          </w:tcPr>
          <w:p w14:paraId="2BD42C3C" w14:textId="77777777" w:rsidR="00B66E0C" w:rsidRDefault="00557DA3">
            <w:pPr>
              <w:rPr>
                <w:szCs w:val="20"/>
              </w:rPr>
            </w:pPr>
            <w:r>
              <w:rPr>
                <w:rFonts w:hint="eastAsia"/>
                <w:szCs w:val="20"/>
              </w:rPr>
              <w:t>[10]</w:t>
            </w:r>
          </w:p>
        </w:tc>
        <w:tc>
          <w:tcPr>
            <w:tcW w:w="7469" w:type="dxa"/>
          </w:tcPr>
          <w:p w14:paraId="05B1D0B8" w14:textId="77777777" w:rsidR="00B66E0C" w:rsidRDefault="00557DA3">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1</w:t>
            </w:r>
            <w:r>
              <w:rPr>
                <w:rFonts w:ascii="Arial" w:hAnsi="Arial"/>
                <w:b/>
                <w:bCs/>
                <w:sz w:val="20"/>
                <w:szCs w:val="20"/>
                <w:lang w:eastAsia="ja-JP"/>
              </w:rPr>
              <w:tab/>
              <w:t>The WI on “Additional enhancements for NB-IoT and LTE-MTC” is coming to its end and there are two tasks that need to be started promptly (e.g., after RAN1# 106-e):</w:t>
            </w:r>
          </w:p>
          <w:p w14:paraId="11A0CAEF" w14:textId="77777777" w:rsidR="00B66E0C" w:rsidRDefault="00557DA3">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hint="eastAsia"/>
                <w:b/>
                <w:bCs/>
                <w:sz w:val="20"/>
                <w:szCs w:val="20"/>
                <w:lang w:eastAsia="ja-JP"/>
              </w:rPr>
              <w:t>•</w:t>
            </w:r>
            <w:r>
              <w:rPr>
                <w:rFonts w:ascii="Arial" w:hAnsi="Arial"/>
                <w:b/>
                <w:bCs/>
                <w:sz w:val="20"/>
                <w:szCs w:val="20"/>
                <w:lang w:eastAsia="ja-JP"/>
              </w:rPr>
              <w:tab/>
              <w:t>An overall initial identification of specification impacts on a per agreement basis.</w:t>
            </w:r>
          </w:p>
          <w:p w14:paraId="6095ED1E" w14:textId="77777777" w:rsidR="00B66E0C" w:rsidRDefault="00557DA3">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hint="eastAsia"/>
                <w:b/>
                <w:bCs/>
                <w:sz w:val="20"/>
                <w:szCs w:val="20"/>
                <w:lang w:eastAsia="ja-JP"/>
              </w:rPr>
              <w:t>•</w:t>
            </w:r>
            <w:r>
              <w:rPr>
                <w:rFonts w:ascii="Arial" w:hAnsi="Arial"/>
                <w:b/>
                <w:bCs/>
                <w:sz w:val="20"/>
                <w:szCs w:val="20"/>
                <w:lang w:eastAsia="ja-JP"/>
              </w:rPr>
              <w:tab/>
              <w:t>Initiate the identification of the required RRC parameters per WI objective lead by RAN1 as to create the “Rel-17 RRC parameter list”.</w:t>
            </w:r>
          </w:p>
          <w:p w14:paraId="72B67DE0" w14:textId="77777777" w:rsidR="00B66E0C" w:rsidRDefault="00B66E0C">
            <w:pPr>
              <w:tabs>
                <w:tab w:val="left" w:pos="1701"/>
              </w:tabs>
              <w:overflowPunct w:val="0"/>
              <w:snapToGrid/>
              <w:spacing w:line="240" w:lineRule="auto"/>
              <w:ind w:left="1701" w:hanging="1701"/>
              <w:textAlignment w:val="baseline"/>
              <w:rPr>
                <w:rFonts w:ascii="Arial" w:hAnsi="Arial"/>
                <w:b/>
                <w:bCs/>
                <w:sz w:val="20"/>
                <w:szCs w:val="20"/>
                <w:lang w:eastAsia="ja-JP"/>
              </w:rPr>
            </w:pPr>
          </w:p>
          <w:p w14:paraId="5E07DC61" w14:textId="77777777" w:rsidR="00B66E0C" w:rsidRDefault="00557DA3">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2</w:t>
            </w:r>
            <w:r>
              <w:rPr>
                <w:rFonts w:ascii="Arial" w:hAnsi="Arial"/>
                <w:b/>
                <w:bCs/>
                <w:sz w:val="20"/>
                <w:szCs w:val="20"/>
                <w:lang w:eastAsia="ja-JP"/>
              </w:rPr>
              <w:tab/>
              <w:t>In our view, the overall initial identification of specification impacts on a per agreement basis can be carried out in parallel with the RRC parameter list.</w:t>
            </w:r>
          </w:p>
        </w:tc>
      </w:tr>
    </w:tbl>
    <w:p w14:paraId="4DAADD24" w14:textId="77777777" w:rsidR="00B66E0C" w:rsidRDefault="00B66E0C"/>
    <w:p w14:paraId="2EF27EED" w14:textId="77777777" w:rsidR="00B66E0C" w:rsidRDefault="00557DA3">
      <w:r>
        <w:t>Please input any issue that can be considered for discussion in this meeting:</w:t>
      </w:r>
    </w:p>
    <w:tbl>
      <w:tblPr>
        <w:tblStyle w:val="af1"/>
        <w:tblW w:w="0" w:type="auto"/>
        <w:tblLook w:val="04A0" w:firstRow="1" w:lastRow="0" w:firstColumn="1" w:lastColumn="0" w:noHBand="0" w:noVBand="1"/>
      </w:tblPr>
      <w:tblGrid>
        <w:gridCol w:w="1838"/>
        <w:gridCol w:w="7469"/>
      </w:tblGrid>
      <w:tr w:rsidR="00B66E0C" w14:paraId="3A04E2DC" w14:textId="77777777">
        <w:tc>
          <w:tcPr>
            <w:tcW w:w="1838" w:type="dxa"/>
          </w:tcPr>
          <w:p w14:paraId="27FC2390" w14:textId="77777777" w:rsidR="00B66E0C" w:rsidRDefault="00557DA3">
            <w:pPr>
              <w:rPr>
                <w:szCs w:val="20"/>
              </w:rPr>
            </w:pPr>
            <w:r>
              <w:rPr>
                <w:rFonts w:hint="eastAsia"/>
                <w:szCs w:val="20"/>
              </w:rPr>
              <w:t>Comp</w:t>
            </w:r>
            <w:r>
              <w:rPr>
                <w:szCs w:val="20"/>
              </w:rPr>
              <w:t>anies</w:t>
            </w:r>
          </w:p>
        </w:tc>
        <w:tc>
          <w:tcPr>
            <w:tcW w:w="7469" w:type="dxa"/>
          </w:tcPr>
          <w:p w14:paraId="0EED2082" w14:textId="77777777" w:rsidR="00B66E0C" w:rsidRDefault="00557DA3">
            <w:pPr>
              <w:rPr>
                <w:szCs w:val="20"/>
              </w:rPr>
            </w:pPr>
            <w:r>
              <w:rPr>
                <w:rFonts w:hint="eastAsia"/>
                <w:szCs w:val="20"/>
              </w:rPr>
              <w:t>Comments</w:t>
            </w:r>
          </w:p>
        </w:tc>
      </w:tr>
      <w:tr w:rsidR="00B66E0C" w14:paraId="7F4E2BA8" w14:textId="77777777">
        <w:tc>
          <w:tcPr>
            <w:tcW w:w="1838" w:type="dxa"/>
          </w:tcPr>
          <w:p w14:paraId="687FDE46" w14:textId="77777777" w:rsidR="00B66E0C" w:rsidRDefault="00557DA3">
            <w:pPr>
              <w:rPr>
                <w:szCs w:val="20"/>
              </w:rPr>
            </w:pPr>
            <w:r>
              <w:rPr>
                <w:szCs w:val="20"/>
              </w:rPr>
              <w:t>Ericsson</w:t>
            </w:r>
          </w:p>
        </w:tc>
        <w:tc>
          <w:tcPr>
            <w:tcW w:w="7469" w:type="dxa"/>
          </w:tcPr>
          <w:p w14:paraId="0C7F00CB" w14:textId="77777777" w:rsidR="00B66E0C" w:rsidRDefault="00557DA3">
            <w:pPr>
              <w:rPr>
                <w:szCs w:val="20"/>
              </w:rPr>
            </w:pPr>
            <w:r>
              <w:rPr>
                <w:szCs w:val="20"/>
              </w:rPr>
              <w:t>From other topics, we believe the following proposal in [3] is important to discuss: “Proposal 4: Define CSI reference resource to be used for 16-QAM CQI measurement.”</w:t>
            </w:r>
          </w:p>
        </w:tc>
      </w:tr>
      <w:tr w:rsidR="00B66E0C" w14:paraId="668F6172" w14:textId="77777777">
        <w:tc>
          <w:tcPr>
            <w:tcW w:w="1838" w:type="dxa"/>
          </w:tcPr>
          <w:p w14:paraId="74EDC9E8" w14:textId="77777777" w:rsidR="00B66E0C" w:rsidRDefault="00557DA3">
            <w:pPr>
              <w:rPr>
                <w:szCs w:val="20"/>
                <w:lang w:eastAsia="zh-CN"/>
              </w:rPr>
            </w:pPr>
            <w:r>
              <w:rPr>
                <w:rFonts w:hint="eastAsia"/>
                <w:szCs w:val="20"/>
                <w:lang w:eastAsia="zh-CN"/>
              </w:rPr>
              <w:t>ZTE, Sanechips</w:t>
            </w:r>
          </w:p>
        </w:tc>
        <w:tc>
          <w:tcPr>
            <w:tcW w:w="7469" w:type="dxa"/>
          </w:tcPr>
          <w:p w14:paraId="6167CF7A" w14:textId="77777777" w:rsidR="00B66E0C" w:rsidRDefault="00557DA3">
            <w:pPr>
              <w:pStyle w:val="a6"/>
              <w:jc w:val="left"/>
              <w:rPr>
                <w:rFonts w:eastAsia="宋体"/>
                <w:szCs w:val="20"/>
              </w:rPr>
            </w:pPr>
            <w:r>
              <w:rPr>
                <w:rFonts w:eastAsia="宋体" w:hint="eastAsia"/>
                <w:b w:val="0"/>
                <w:bCs w:val="0"/>
                <w:szCs w:val="20"/>
              </w:rPr>
              <w:t>It is worth to mention that for the large TBS case with QPSK, increasing the mapping RU number while keeping the repetition number reduced half improve performance more than 2 dB. Therefore, for NB-IoT UE with 16QAM, double RU number should be considered to improve the performance for some QPSK entries with the repetition number reduced half.</w:t>
            </w:r>
          </w:p>
        </w:tc>
      </w:tr>
      <w:tr w:rsidR="00B66E0C" w14:paraId="0B304EA8" w14:textId="77777777">
        <w:tc>
          <w:tcPr>
            <w:tcW w:w="1838" w:type="dxa"/>
          </w:tcPr>
          <w:p w14:paraId="259A425C" w14:textId="77777777" w:rsidR="00B66E0C" w:rsidRDefault="00557DA3">
            <w:pPr>
              <w:rPr>
                <w:szCs w:val="20"/>
                <w:lang w:eastAsia="zh-CN"/>
              </w:rPr>
            </w:pPr>
            <w:r>
              <w:rPr>
                <w:szCs w:val="20"/>
                <w:lang w:eastAsia="zh-CN"/>
              </w:rPr>
              <w:t>Nokia, NSB</w:t>
            </w:r>
          </w:p>
        </w:tc>
        <w:tc>
          <w:tcPr>
            <w:tcW w:w="7469" w:type="dxa"/>
          </w:tcPr>
          <w:p w14:paraId="29F08523" w14:textId="77777777" w:rsidR="00B66E0C" w:rsidRDefault="00557DA3">
            <w:pPr>
              <w:rPr>
                <w:szCs w:val="20"/>
                <w:lang w:eastAsia="zh-CN"/>
              </w:rPr>
            </w:pPr>
            <w:r>
              <w:rPr>
                <w:szCs w:val="20"/>
                <w:lang w:eastAsia="zh-CN"/>
              </w:rPr>
              <w:t>We agree with Ericsson that we should discuss the issue of CSI reference resource.</w:t>
            </w:r>
          </w:p>
        </w:tc>
      </w:tr>
    </w:tbl>
    <w:p w14:paraId="57464CAF" w14:textId="77777777" w:rsidR="00B66E0C" w:rsidRDefault="00B66E0C"/>
    <w:p w14:paraId="3EF8C49E" w14:textId="77777777" w:rsidR="00B66E0C" w:rsidRDefault="00557DA3">
      <w:pPr>
        <w:pStyle w:val="1"/>
      </w:pPr>
      <w:r>
        <w:rPr>
          <w:rFonts w:hint="eastAsia"/>
          <w:lang w:eastAsia="zh-CN"/>
        </w:rPr>
        <w:t>Summary</w:t>
      </w:r>
    </w:p>
    <w:p w14:paraId="689BC294" w14:textId="77777777" w:rsidR="00B66E0C" w:rsidRDefault="00B66E0C"/>
    <w:p w14:paraId="3A849829" w14:textId="77777777" w:rsidR="00B66E0C" w:rsidRDefault="00557DA3">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0BCE220F" w14:textId="77777777" w:rsidR="00B66E0C" w:rsidRDefault="00557DA3">
      <w:pPr>
        <w:pStyle w:val="af7"/>
        <w:numPr>
          <w:ilvl w:val="0"/>
          <w:numId w:val="27"/>
        </w:numPr>
        <w:spacing w:after="60"/>
        <w:rPr>
          <w:rFonts w:ascii="Times New Roman" w:hAnsi="Times New Roman" w:cs="Times New Roman"/>
          <w:sz w:val="22"/>
        </w:rPr>
      </w:pPr>
      <w:bookmarkStart w:id="9" w:name="_Ref520312828"/>
      <w:r>
        <w:rPr>
          <w:rFonts w:ascii="Times New Roman" w:hAnsi="Times New Roman" w:cs="Times New Roman"/>
          <w:sz w:val="22"/>
        </w:rPr>
        <w:t xml:space="preserve">RP-211340, “WID revision: Additional enhancements for NB-IoT and LTE-MTC”, </w:t>
      </w:r>
      <w:bookmarkEnd w:id="9"/>
      <w:r>
        <w:rPr>
          <w:rFonts w:ascii="Times New Roman" w:hAnsi="Times New Roman" w:cs="Times New Roman"/>
          <w:sz w:val="22"/>
        </w:rPr>
        <w:t>Huawei, HiSilicon, RAN#92e, E-meeting, June 2021.</w:t>
      </w:r>
    </w:p>
    <w:p w14:paraId="7DFD3FA9" w14:textId="77777777" w:rsidR="00B66E0C" w:rsidRDefault="00557DA3">
      <w:pPr>
        <w:pStyle w:val="af7"/>
        <w:numPr>
          <w:ilvl w:val="0"/>
          <w:numId w:val="27"/>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78028A8" w14:textId="77777777" w:rsidR="00B66E0C" w:rsidRDefault="00557DA3">
      <w:pPr>
        <w:pStyle w:val="af7"/>
        <w:numPr>
          <w:ilvl w:val="0"/>
          <w:numId w:val="27"/>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0AA4B563" w14:textId="77777777" w:rsidR="00B66E0C" w:rsidRDefault="00557DA3">
      <w:pPr>
        <w:pStyle w:val="af7"/>
        <w:numPr>
          <w:ilvl w:val="0"/>
          <w:numId w:val="27"/>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BCF5048" w14:textId="77777777" w:rsidR="00B66E0C" w:rsidRDefault="00557DA3">
      <w:pPr>
        <w:pStyle w:val="af7"/>
        <w:numPr>
          <w:ilvl w:val="0"/>
          <w:numId w:val="27"/>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0B47D8A4" w14:textId="77777777" w:rsidR="00B66E0C" w:rsidRDefault="00557DA3">
      <w:pPr>
        <w:pStyle w:val="af7"/>
        <w:numPr>
          <w:ilvl w:val="0"/>
          <w:numId w:val="27"/>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t>Support 16QAM in NB-IOT</w:t>
      </w:r>
      <w:r>
        <w:rPr>
          <w:rFonts w:ascii="Times New Roman" w:hAnsi="Times New Roman" w:cs="Times New Roman"/>
          <w:sz w:val="22"/>
        </w:rPr>
        <w:tab/>
        <w:t>MediaTek Inc.</w:t>
      </w:r>
    </w:p>
    <w:p w14:paraId="5E4EB011" w14:textId="77777777" w:rsidR="00B66E0C" w:rsidRDefault="00557DA3">
      <w:pPr>
        <w:pStyle w:val="af7"/>
        <w:numPr>
          <w:ilvl w:val="0"/>
          <w:numId w:val="27"/>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0BC567A0" w14:textId="77777777" w:rsidR="00B66E0C" w:rsidRDefault="00557DA3">
      <w:pPr>
        <w:pStyle w:val="af7"/>
        <w:numPr>
          <w:ilvl w:val="0"/>
          <w:numId w:val="27"/>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F252ABC" w14:textId="77777777" w:rsidR="00B66E0C" w:rsidRDefault="00557DA3">
      <w:pPr>
        <w:pStyle w:val="af7"/>
        <w:numPr>
          <w:ilvl w:val="0"/>
          <w:numId w:val="27"/>
        </w:numPr>
        <w:spacing w:after="60"/>
        <w:rPr>
          <w:rFonts w:ascii="Times New Roman" w:hAnsi="Times New Roman" w:cs="Times New Roman"/>
          <w:sz w:val="22"/>
        </w:rPr>
      </w:pPr>
      <w:r>
        <w:rPr>
          <w:rFonts w:ascii="Times New Roman" w:hAnsi="Times New Roman" w:cs="Times New Roman"/>
          <w:sz w:val="22"/>
        </w:rPr>
        <w:lastRenderedPageBreak/>
        <w:t>R1-2107684</w:t>
      </w:r>
      <w:r>
        <w:rPr>
          <w:rFonts w:ascii="Times New Roman" w:hAnsi="Times New Roman" w:cs="Times New Roman"/>
          <w:sz w:val="22"/>
        </w:rPr>
        <w:tab/>
        <w:t>Discussion on DL PAPR for 16-QAM of NB-IoT</w:t>
      </w:r>
      <w:r>
        <w:rPr>
          <w:rFonts w:ascii="Times New Roman" w:hAnsi="Times New Roman" w:cs="Times New Roman"/>
          <w:sz w:val="22"/>
        </w:rPr>
        <w:tab/>
        <w:t>Huawei, HiSilicon</w:t>
      </w:r>
    </w:p>
    <w:p w14:paraId="3FE53E52" w14:textId="77777777" w:rsidR="00B66E0C" w:rsidRDefault="00557DA3">
      <w:pPr>
        <w:pStyle w:val="af7"/>
        <w:numPr>
          <w:ilvl w:val="0"/>
          <w:numId w:val="27"/>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t>On Rel-17 RRC parameters and specification impacts for LTE-M and NB-IoT</w:t>
      </w:r>
      <w:r>
        <w:rPr>
          <w:rFonts w:ascii="Times New Roman" w:hAnsi="Times New Roman" w:cs="Times New Roman"/>
          <w:sz w:val="22"/>
        </w:rPr>
        <w:tab/>
        <w:t>Ericsson</w:t>
      </w:r>
    </w:p>
    <w:p w14:paraId="5894A954" w14:textId="77777777" w:rsidR="00B66E0C" w:rsidRDefault="00B66E0C">
      <w:pPr>
        <w:spacing w:after="60"/>
      </w:pPr>
    </w:p>
    <w:sectPr w:rsidR="00B66E0C">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csson" w:date="2021-08-18T14:58:00Z" w:initials="Ericsson">
    <w:p w14:paraId="34B16B27" w14:textId="77777777" w:rsidR="00557DA3" w:rsidRDefault="00557DA3">
      <w:pPr>
        <w:pStyle w:val="TAL"/>
        <w:rPr>
          <w:sz w:val="16"/>
          <w:szCs w:val="16"/>
        </w:rPr>
      </w:pPr>
      <w:r>
        <w:rPr>
          <w:rStyle w:val="af5"/>
        </w:rPr>
        <w:t xml:space="preserve">I now realized we missed that </w:t>
      </w:r>
      <w:r>
        <w:rPr>
          <w:rStyle w:val="af5"/>
          <w:i/>
          <w:iCs/>
        </w:rPr>
        <w:t>inbandCarrierInfo</w:t>
      </w:r>
      <w:r>
        <w:rPr>
          <w:rStyle w:val="af5"/>
        </w:rPr>
        <w:t xml:space="preserve"> can be in msg4 (See TS 36.331), thus we should have written “SIB/msg4”.</w:t>
      </w:r>
    </w:p>
    <w:p w14:paraId="6BE111A0" w14:textId="77777777" w:rsidR="00557DA3" w:rsidRDefault="00557DA3">
      <w:pPr>
        <w:pStyle w:val="a8"/>
        <w:rPr>
          <w:rFonts w:ascii="Arial" w:eastAsiaTheme="minorHAnsi" w:hAnsi="Arial" w:cstheme="minorBidi"/>
          <w:b/>
          <w:bCs/>
          <w:i/>
          <w:iCs/>
          <w:sz w:val="18"/>
          <w:szCs w:val="18"/>
          <w:lang w:eastAsia="ja-JP"/>
        </w:rPr>
      </w:pPr>
    </w:p>
    <w:p w14:paraId="31AC70E6" w14:textId="77777777" w:rsidR="00557DA3" w:rsidRDefault="00557DA3">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AC70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710BE" w14:textId="77777777" w:rsidR="004F4EBE" w:rsidRDefault="004F4EBE"/>
  </w:endnote>
  <w:endnote w:type="continuationSeparator" w:id="0">
    <w:p w14:paraId="0EFB59AB" w14:textId="77777777" w:rsidR="004F4EBE" w:rsidRDefault="004F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8BE40" w14:textId="77777777" w:rsidR="004F4EBE" w:rsidRDefault="004F4EBE"/>
  </w:footnote>
  <w:footnote w:type="continuationSeparator" w:id="0">
    <w:p w14:paraId="45C44D41" w14:textId="77777777" w:rsidR="004F4EBE" w:rsidRDefault="004F4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AC0077"/>
    <w:multiLevelType w:val="multilevel"/>
    <w:tmpl w:val="12AC007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30CD75A2"/>
    <w:multiLevelType w:val="multilevel"/>
    <w:tmpl w:val="30CD75A2"/>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48FFD6"/>
    <w:multiLevelType w:val="multilevel"/>
    <w:tmpl w:val="5348F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Yu Gothi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Yu Gothi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Yu Gothic"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1"/>
  </w:num>
  <w:num w:numId="4">
    <w:abstractNumId w:val="24"/>
  </w:num>
  <w:num w:numId="5">
    <w:abstractNumId w:val="12"/>
  </w:num>
  <w:num w:numId="6">
    <w:abstractNumId w:va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14"/>
  </w:num>
  <w:num w:numId="11">
    <w:abstractNumId w:val="7"/>
  </w:num>
  <w:num w:numId="12">
    <w:abstractNumId w:val="6"/>
  </w:num>
  <w:num w:numId="13">
    <w:abstractNumId w:val="1"/>
  </w:num>
  <w:num w:numId="14">
    <w:abstractNumId w:val="9"/>
  </w:num>
  <w:num w:numId="15">
    <w:abstractNumId w:val="18"/>
  </w:num>
  <w:num w:numId="16">
    <w:abstractNumId w:val="5"/>
  </w:num>
  <w:num w:numId="17">
    <w:abstractNumId w:val="26"/>
  </w:num>
  <w:num w:numId="18">
    <w:abstractNumId w:val="2"/>
  </w:num>
  <w:num w:numId="19">
    <w:abstractNumId w:val="13"/>
  </w:num>
  <w:num w:numId="20">
    <w:abstractNumId w:val="23"/>
  </w:num>
  <w:num w:numId="21">
    <w:abstractNumId w:val="19"/>
  </w:num>
  <w:num w:numId="22">
    <w:abstractNumId w:val="21"/>
  </w:num>
  <w:num w:numId="23">
    <w:abstractNumId w:val="3"/>
  </w:num>
  <w:num w:numId="24">
    <w:abstractNumId w:val="4"/>
  </w:num>
  <w:num w:numId="25">
    <w:abstractNumId w:val="20"/>
  </w:num>
  <w:num w:numId="26">
    <w:abstractNumId w:val="16"/>
  </w:num>
  <w:num w:numId="2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89F"/>
    <w:rsid w:val="002B2993"/>
    <w:rsid w:val="002B2E89"/>
    <w:rsid w:val="002B321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FD3"/>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771"/>
    <w:rsid w:val="003F7E43"/>
    <w:rsid w:val="00400F56"/>
    <w:rsid w:val="00401385"/>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A9F"/>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D45"/>
    <w:rsid w:val="00C07FAC"/>
    <w:rsid w:val="00C10700"/>
    <w:rsid w:val="00C108C9"/>
    <w:rsid w:val="00C10D05"/>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90"/>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3C6D"/>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21103EE7"/>
    <w:rsid w:val="212D389C"/>
    <w:rsid w:val="2A7F2358"/>
    <w:rsid w:val="2BC92DEE"/>
    <w:rsid w:val="2EBD2946"/>
    <w:rsid w:val="31282766"/>
    <w:rsid w:val="31512AF8"/>
    <w:rsid w:val="350222C3"/>
    <w:rsid w:val="3AB85A52"/>
    <w:rsid w:val="3B837B26"/>
    <w:rsid w:val="3FDE3726"/>
    <w:rsid w:val="3FE27A61"/>
    <w:rsid w:val="41A5551C"/>
    <w:rsid w:val="447454CF"/>
    <w:rsid w:val="44B636D1"/>
    <w:rsid w:val="4736265F"/>
    <w:rsid w:val="4E6F71D9"/>
    <w:rsid w:val="50012C3F"/>
    <w:rsid w:val="548E3195"/>
    <w:rsid w:val="553158EE"/>
    <w:rsid w:val="605D2841"/>
    <w:rsid w:val="607E5ACC"/>
    <w:rsid w:val="624B1CB6"/>
    <w:rsid w:val="67474B6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2D84D5A-7745-4FD6-93E6-EF8903DF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ascii="Times New Roman" w:eastAsia="宋体" w:hAnsi="Times New Roman" w:cs="Times New Roman"/>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99"/>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rFonts w:ascii="Times New Roman" w:eastAsia="宋体" w:hAnsi="Times New Roman" w:cs="Times New Roman"/>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cs="Times New Roman"/>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hAnsi="Arial" w:cs="Times New Roman"/>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rPr>
      <w:rFonts w:ascii="Times New Roman" w:eastAsia="宋体"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61D8C-7D67-43B6-A288-7CB06552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8176</Words>
  <Characters>46606</Characters>
  <Application>Microsoft Office Word</Application>
  <DocSecurity>0</DocSecurity>
  <Lines>388</Lines>
  <Paragraphs>109</Paragraphs>
  <ScaleCrop>false</ScaleCrop>
  <Company>Huawei Technologies Co.,Ltd.</Company>
  <LinksUpToDate>false</LinksUpToDate>
  <CharactersWithSpaces>54673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cp:lastModifiedBy>
  <cp:revision>16</cp:revision>
  <dcterms:created xsi:type="dcterms:W3CDTF">2021-08-20T01:15:00Z</dcterms:created>
  <dcterms:modified xsi:type="dcterms:W3CDTF">2021-08-20T13:32:00Z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