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R1-21xxxxx</w:t>
      </w:r>
    </w:p>
    <w:p>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rPr>
          <w:lang w:eastAsia="zh-CN"/>
        </w:rPr>
      </w:pPr>
      <w:r>
        <w:rPr>
          <w:highlight w:val="cyan"/>
          <w:lang w:eastAsia="zh-CN"/>
        </w:rPr>
        <w:t xml:space="preserve">[106-e-LTE-Rel17_NB_IoT_eMTC-01] Email discussion on support of 16-QAM for unicast in UL and DL for NB-IoT </w:t>
      </w:r>
      <w:r>
        <w:rPr>
          <w:highlight w:val="cyan"/>
        </w:rPr>
        <w:t>– Yubo (Huawei)</w:t>
      </w:r>
    </w:p>
    <w:p>
      <w:pPr>
        <w:pStyle w:val="2"/>
        <w:rPr>
          <w:lang w:eastAsia="zh-CN"/>
        </w:rPr>
      </w:pP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pPr>
        <w:spacing w:line="240" w:lineRule="auto"/>
      </w:pPr>
      <w:r>
        <w:rPr>
          <w:rFonts w:hint="eastAsia"/>
        </w:rPr>
        <w:t>The following has been achieved in online discussion:</w:t>
      </w:r>
    </w:p>
    <w:p>
      <w:pPr>
        <w:ind w:left="440" w:leftChars="200"/>
        <w:rPr>
          <w:highlight w:val="green"/>
        </w:rPr>
      </w:pPr>
      <w:r>
        <w:rPr>
          <w:rFonts w:hint="eastAsia"/>
          <w:highlight w:val="green"/>
          <w:lang w:eastAsia="zh-CN"/>
        </w:rPr>
        <w:t>Agreement</w:t>
      </w:r>
      <w:r>
        <w:rPr>
          <w:highlight w:val="green"/>
        </w:rPr>
        <w:t>:</w:t>
      </w:r>
    </w:p>
    <w:p>
      <w:pPr>
        <w:ind w:left="440" w:leftChars="200"/>
        <w:rPr>
          <w:highlight w:val="cyan"/>
          <w:lang w:eastAsia="zh-CN"/>
        </w:rPr>
      </w:pPr>
      <w:r>
        <w:t>Confirm the following working assumption:</w:t>
      </w:r>
    </w:p>
    <w:p>
      <w:pPr>
        <w:numPr>
          <w:ilvl w:val="0"/>
          <w:numId w:val="12"/>
        </w:numPr>
        <w:autoSpaceDE/>
        <w:autoSpaceDN/>
        <w:adjustRightInd/>
        <w:snapToGrid/>
        <w:spacing w:after="0" w:line="240" w:lineRule="auto"/>
        <w:ind w:left="801" w:leftChars="364"/>
        <w:jc w:val="left"/>
      </w:pPr>
      <w:r>
        <w:t>Working Assumption</w:t>
      </w:r>
    </w:p>
    <w:p>
      <w:pPr>
        <w:numPr>
          <w:ilvl w:val="1"/>
          <w:numId w:val="12"/>
        </w:numPr>
        <w:autoSpaceDE/>
        <w:autoSpaceDN/>
        <w:adjustRightInd/>
        <w:snapToGrid/>
        <w:spacing w:after="0" w:line="240" w:lineRule="auto"/>
        <w:ind w:left="1520" w:leftChars="691"/>
        <w:jc w:val="left"/>
        <w:rPr>
          <w:rFonts w:eastAsia="Batang" w:cs="Times"/>
        </w:rPr>
      </w:pPr>
      <w:r>
        <w:rPr>
          <w:rFonts w:eastAsia="Batang" w:cs="Times"/>
        </w:rPr>
        <w:t>Support 16-QAM for NPUSCH in PUR procedure.</w:t>
      </w:r>
    </w:p>
    <w:p>
      <w:pPr>
        <w:spacing w:line="240" w:lineRule="auto"/>
      </w:pPr>
    </w:p>
    <w:p>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pPr>
        <w:pStyle w:val="28"/>
        <w:jc w:val="left"/>
        <w:rPr>
          <w:sz w:val="22"/>
        </w:rPr>
      </w:pPr>
      <w:r>
        <w:rPr>
          <w:sz w:val="22"/>
        </w:rPr>
        <w:t>Proposal</w:t>
      </w:r>
      <w:r>
        <w:t xml:space="preserve"> </w:t>
      </w:r>
      <w:r>
        <w:fldChar w:fldCharType="begin"/>
      </w:r>
      <w:r>
        <w:instrText xml:space="preserve"> SEQ proposal \* ARABIC </w:instrText>
      </w:r>
      <w:r>
        <w:fldChar w:fldCharType="separate"/>
      </w:r>
      <w:r>
        <w:t>1</w:t>
      </w:r>
      <w:r>
        <w:fldChar w:fldCharType="end"/>
      </w:r>
      <w:r>
        <w:rPr>
          <w:sz w:val="22"/>
        </w:rPr>
        <w:t>: Support 16-QAM for NPDSCH in PUR procedure</w:t>
      </w:r>
    </w:p>
    <w:p>
      <w:pPr>
        <w:pStyle w:val="28"/>
        <w:numPr>
          <w:ilvl w:val="0"/>
          <w:numId w:val="13"/>
        </w:numPr>
        <w:jc w:val="left"/>
        <w:rPr>
          <w:sz w:val="22"/>
        </w:rPr>
      </w:pPr>
      <w:r>
        <w:rPr>
          <w:sz w:val="22"/>
        </w:rPr>
        <w:t>CSI report is not supported/expected during PUR procedure</w:t>
      </w:r>
    </w:p>
    <w:p>
      <w:pPr>
        <w:spacing w:line="240" w:lineRule="auto"/>
      </w:pPr>
      <w:r>
        <w:rPr>
          <w:rFonts w:hint="eastAsia"/>
        </w:rPr>
        <w:t>With the support of 16-QAM for P</w:t>
      </w:r>
      <w:r>
        <w:t>UR NPUSCH, companies (Nokia, NSB, QC) proposed the corresponding enhancement on the configuration of PUR, therefore, the following is proposed:</w:t>
      </w:r>
    </w:p>
    <w:p>
      <w:pPr>
        <w:spacing w:after="0" w:line="240" w:lineRule="auto"/>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16-QAM for NPUSCH in PUR procedure,</w:t>
      </w:r>
    </w:p>
    <w:p>
      <w:pPr>
        <w:pStyle w:val="66"/>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pPr>
        <w:pStyle w:val="66"/>
        <w:numPr>
          <w:ilvl w:val="0"/>
          <w:numId w:val="14"/>
        </w:numPr>
        <w:spacing w:after="120" w:line="240" w:lineRule="auto"/>
        <w:ind w:left="777" w:hanging="357"/>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v010</w:t>
            </w:r>
          </w:p>
        </w:tc>
        <w:tc>
          <w:tcPr>
            <w:tcW w:w="7469" w:type="dxa"/>
          </w:tcPr>
          <w:p>
            <w:pPr>
              <w:pStyle w:val="66"/>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pPr>
              <w:pStyle w:val="66"/>
              <w:rPr>
                <w:rFonts w:ascii="Times New Roman" w:hAnsi="Times New Roman" w:cs="Times New Roman"/>
                <w:sz w:val="20"/>
                <w:szCs w:val="20"/>
              </w:rPr>
            </w:pPr>
            <w:r>
              <w:rPr>
                <w:rFonts w:ascii="Times New Roman" w:hAnsi="Times New Roman" w:cs="Times New Roman"/>
                <w:sz w:val="20"/>
                <w:szCs w:val="20"/>
              </w:rPr>
              <w:t xml:space="preserve"> </w:t>
            </w:r>
          </w:p>
          <w:p>
            <w:pPr>
              <w:pStyle w:val="66"/>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r>
              <w:rPr>
                <w:rFonts w:ascii="Times New Roman" w:hAnsi="Times New Roman" w:cs="Times New Roman"/>
                <w:i/>
                <w:iCs/>
                <w:sz w:val="20"/>
                <w:szCs w:val="20"/>
              </w:rPr>
              <w:t>multiTone</w:t>
            </w:r>
            <w:r>
              <w:rPr>
                <w:rFonts w:ascii="Times New Roman" w:hAnsi="Times New Roman" w:cs="Times New Roman"/>
                <w:sz w:val="20"/>
                <w:szCs w:val="20"/>
              </w:rPr>
              <w:t xml:space="preserve"> is not needed, since the following approach will allow to save bits.</w:t>
            </w:r>
          </w:p>
          <w:p>
            <w:pPr>
              <w:pStyle w:val="66"/>
              <w:rPr>
                <w:rFonts w:ascii="Times New Roman" w:hAnsi="Times New Roman" w:cs="Times New Roman"/>
                <w:sz w:val="20"/>
                <w:szCs w:val="20"/>
              </w:rPr>
            </w:pPr>
          </w:p>
          <w:p>
            <w:pPr>
              <w:ind w:left="720"/>
              <w:rPr>
                <w:rFonts w:eastAsiaTheme="minorHAnsi"/>
                <w:b/>
                <w:bCs/>
                <w:sz w:val="20"/>
                <w:szCs w:val="20"/>
                <w:lang w:eastAsia="ar-SA"/>
              </w:rPr>
            </w:pPr>
            <w:r>
              <w:rPr>
                <w:b/>
                <w:bCs/>
                <w:sz w:val="20"/>
                <w:szCs w:val="20"/>
                <w:lang w:eastAsia="ar-SA"/>
              </w:rPr>
              <w:t>To support 16-QAM for NPUSCH in PUR procedure,</w:t>
            </w:r>
          </w:p>
          <w:p>
            <w:pPr>
              <w:numPr>
                <w:ilvl w:val="0"/>
                <w:numId w:val="12"/>
              </w:numPr>
              <w:autoSpaceDE/>
              <w:autoSpaceDN/>
              <w:adjustRightInd/>
              <w:snapToGrid/>
              <w:spacing w:after="0" w:line="240" w:lineRule="auto"/>
              <w:ind w:left="1440"/>
              <w:jc w:val="left"/>
              <w:rPr>
                <w:rFonts w:ascii="Calibri" w:hAnsi="Calibri" w:eastAsia="Times New Roman" w:cs="Calibri"/>
                <w:sz w:val="20"/>
                <w:szCs w:val="20"/>
                <w:lang w:eastAsia="zh-CN"/>
              </w:rPr>
            </w:pPr>
            <w:r>
              <w:rPr>
                <w:rFonts w:eastAsia="Times New Roman"/>
                <w:sz w:val="20"/>
                <w:szCs w:val="20"/>
                <w:lang w:eastAsia="zh-CN"/>
              </w:rPr>
              <w:t xml:space="preserve">One RRC IE is introduced in </w:t>
            </w:r>
            <w:r>
              <w:rPr>
                <w:rFonts w:eastAsia="Times New Roman"/>
                <w:i/>
                <w:iCs/>
                <w:sz w:val="20"/>
                <w:szCs w:val="20"/>
                <w:lang w:eastAsia="zh-CN"/>
              </w:rPr>
              <w:t>pur-PhysicalConfig</w:t>
            </w:r>
            <w:r>
              <w:rPr>
                <w:rFonts w:eastAsia="Times New Roman"/>
                <w:sz w:val="20"/>
                <w:szCs w:val="20"/>
                <w:lang w:eastAsia="zh-CN"/>
              </w:rPr>
              <w:t xml:space="preserve"> to enable the use of 16-QAM.</w:t>
            </w:r>
          </w:p>
          <w:p>
            <w:pPr>
              <w:numPr>
                <w:ilvl w:val="1"/>
                <w:numId w:val="12"/>
              </w:numPr>
              <w:autoSpaceDE/>
              <w:autoSpaceDN/>
              <w:adjustRightInd/>
              <w:snapToGrid/>
              <w:spacing w:after="0" w:line="240" w:lineRule="auto"/>
              <w:ind w:left="2160"/>
              <w:jc w:val="left"/>
              <w:rPr>
                <w:rFonts w:ascii="Times" w:hAnsi="Times" w:eastAsia="Times New Roman"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r>
              <w:rPr>
                <w:rFonts w:eastAsia="Times New Roman"/>
                <w:i/>
                <w:iCs/>
                <w:sz w:val="20"/>
                <w:szCs w:val="20"/>
                <w:lang w:eastAsia="zh-CN"/>
              </w:rPr>
              <w:t>multiTone</w:t>
            </w:r>
            <w:r>
              <w:rPr>
                <w:rFonts w:eastAsia="Times New Roman"/>
                <w:sz w:val="20"/>
                <w:szCs w:val="20"/>
                <w:lang w:eastAsia="zh-CN"/>
              </w:rPr>
              <w:t xml:space="preserve"> in npusch-MCS in</w:t>
            </w:r>
            <w:r>
              <w:rPr>
                <w:rFonts w:eastAsia="Times New Roman"/>
                <w:i/>
                <w:iCs/>
                <w:sz w:val="20"/>
                <w:szCs w:val="20"/>
                <w:lang w:eastAsia="zh-CN"/>
              </w:rPr>
              <w:t xml:space="preserve"> pur-PhysicalConfig</w:t>
            </w:r>
            <w:r>
              <w:rPr>
                <w:rFonts w:eastAsia="Times New Roman"/>
                <w:sz w:val="20"/>
                <w:szCs w:val="20"/>
                <w:lang w:eastAsia="zh-CN"/>
              </w:rPr>
              <w:t xml:space="preserve"> </w:t>
            </w:r>
            <w:r>
              <w:rPr>
                <w:rFonts w:eastAsia="Times New Roman"/>
                <w:color w:val="ED7D31"/>
                <w:sz w:val="20"/>
                <w:szCs w:val="20"/>
                <w:lang w:eastAsia="zh-CN"/>
              </w:rPr>
              <w:t>indicates MCS from 14 to 21.</w:t>
            </w:r>
          </w:p>
          <w:p>
            <w:pPr>
              <w:pStyle w:val="66"/>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469" w:type="dxa"/>
          </w:tcPr>
          <w:p>
            <w:r>
              <w:t>We support Proposal 1.</w:t>
            </w:r>
          </w:p>
          <w:p>
            <w:r>
              <w:t>On Proposal 2, our original proposal was to only extend the multiTone field for UE capable of 16-QAM (i.e. no need to enable the use of 16-QAM separately). However, we have no strong view and can also accept Ericsson’s proposal to introduce two optional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with Proposa1 and prefer the modified proposal2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eastAsia"/>
                <w:szCs w:val="20"/>
                <w:lang w:val="en-US" w:eastAsia="zh-CN"/>
              </w:rPr>
            </w:pPr>
            <w:r>
              <w:rPr>
                <w:rFonts w:hint="eastAsia"/>
                <w:szCs w:val="20"/>
                <w:lang w:val="en-US" w:eastAsia="zh-CN"/>
              </w:rPr>
              <w:t>For proposal1, we can compromise to accept this proposal unless there is no any further optimization.</w:t>
            </w:r>
          </w:p>
          <w:p>
            <w:pPr>
              <w:rPr>
                <w:rFonts w:hint="default"/>
                <w:szCs w:val="20"/>
                <w:lang w:val="en-US" w:eastAsia="zh-CN"/>
              </w:rPr>
            </w:pPr>
            <w:r>
              <w:rPr>
                <w:rFonts w:hint="eastAsia"/>
                <w:szCs w:val="20"/>
                <w:lang w:val="en-US" w:eastAsia="zh-CN"/>
              </w:rPr>
              <w:t xml:space="preserve">For proposal2, alternatively, a new 5bits field, e.g., </w:t>
            </w:r>
            <w:r>
              <w:rPr>
                <w:rFonts w:ascii="Times New Roman" w:hAnsi="Times New Roman" w:cs="Times New Roman"/>
                <w:b/>
                <w:i/>
                <w:sz w:val="22"/>
                <w:szCs w:val="22"/>
              </w:rPr>
              <w:t>multiTone</w:t>
            </w:r>
            <w:r>
              <w:rPr>
                <w:rFonts w:hint="eastAsia" w:cs="Times New Roman"/>
                <w:b/>
                <w:i/>
                <w:sz w:val="22"/>
                <w:szCs w:val="22"/>
                <w:lang w:val="en-US" w:eastAsia="zh-CN"/>
              </w:rPr>
              <w:t>-r17</w:t>
            </w:r>
            <w:r>
              <w:rPr>
                <w:rFonts w:hint="eastAsia" w:cs="Times New Roman"/>
                <w:b w:val="0"/>
                <w:bCs/>
                <w:i w:val="0"/>
                <w:iCs/>
                <w:sz w:val="22"/>
                <w:szCs w:val="22"/>
                <w:lang w:val="en-US" w:eastAsia="zh-CN"/>
              </w:rPr>
              <w:t xml:space="preserve">, can also be used for enabling 16-QAM and corresponding MCS value. We think it is up to RAN2 decision. </w:t>
            </w:r>
            <w:r>
              <w:rPr>
                <w:rFonts w:ascii="Times New Roman" w:hAnsi="Times New Roman" w:cs="Times New Roman"/>
                <w:b/>
                <w:sz w:val="22"/>
                <w:szCs w:val="22"/>
              </w:rPr>
              <w:t xml:space="preserve"> </w:t>
            </w:r>
            <w:r>
              <w:rPr>
                <w:rFonts w:hint="eastAsia"/>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The following have been achieved:</w:t>
      </w:r>
    </w:p>
    <w:p>
      <w:pPr>
        <w:ind w:left="440" w:leftChars="200"/>
        <w:rPr>
          <w:highlight w:val="green"/>
          <w:lang w:eastAsia="zh-CN"/>
        </w:rPr>
      </w:pPr>
      <w:r>
        <w:rPr>
          <w:highlight w:val="green"/>
          <w:lang w:eastAsia="zh-CN"/>
        </w:rPr>
        <w:t>Confirm the working assumption:</w:t>
      </w:r>
    </w:p>
    <w:p>
      <w:pPr>
        <w:ind w:left="440" w:leftChars="200"/>
        <w:rPr>
          <w:rFonts w:eastAsia="Batang"/>
        </w:rPr>
      </w:pPr>
      <w:r>
        <w:rPr>
          <w:rFonts w:eastAsia="Batang"/>
        </w:rPr>
        <w:t>Working Assumption</w:t>
      </w:r>
    </w:p>
    <w:p>
      <w:pPr>
        <w:ind w:left="880" w:leftChars="400"/>
        <w:rPr>
          <w:rFonts w:eastAsia="Batang"/>
          <w:lang w:eastAsia="zh-CN"/>
        </w:rPr>
      </w:pPr>
      <w:r>
        <w:rPr>
          <w:rFonts w:eastAsia="Batang"/>
        </w:rPr>
        <w:t>For the indication of 16-QAM in uplink</w:t>
      </w:r>
    </w:p>
    <w:p>
      <w:pPr>
        <w:numPr>
          <w:ilvl w:val="0"/>
          <w:numId w:val="16"/>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The “Modulation and coding scheme” field in DCI Format N0 is utilized as in legacy for scheduling QPSK.</w:t>
      </w:r>
    </w:p>
    <w:p>
      <w:pPr>
        <w:numPr>
          <w:ilvl w:val="0"/>
          <w:numId w:val="16"/>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pPr>
        <w:numPr>
          <w:ilvl w:val="0"/>
          <w:numId w:val="16"/>
        </w:numPr>
        <w:overflowPunct w:val="0"/>
        <w:autoSpaceDE/>
        <w:autoSpaceDN/>
        <w:adjustRightInd/>
        <w:snapToGrid/>
        <w:spacing w:after="180" w:line="240" w:lineRule="auto"/>
        <w:ind w:left="1241" w:leftChars="564"/>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pPr>
        <w:ind w:left="440" w:leftChars="200"/>
        <w:rPr>
          <w:highlight w:val="green"/>
          <w:lang w:eastAsia="zh-CN"/>
        </w:rPr>
      </w:pPr>
      <w:r>
        <w:rPr>
          <w:highlight w:val="green"/>
          <w:lang w:eastAsia="zh-CN"/>
        </w:rPr>
        <w:t>Agreement</w:t>
      </w:r>
    </w:p>
    <w:p>
      <w:pPr>
        <w:ind w:left="440" w:leftChars="20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w:t>
      </w:r>
      <w:commentRangeStart w:id="0"/>
      <w:r>
        <w:rPr>
          <w:b/>
        </w:rPr>
        <w:t>SIB</w:t>
      </w:r>
      <w:commentRangeEnd w:id="0"/>
      <w:r>
        <w:rPr>
          <w:rStyle w:val="53"/>
        </w:rPr>
        <w:commentReference w:id="0"/>
      </w:r>
      <w:r>
        <w:rPr>
          <w:b/>
        </w:rPr>
        <w:t>.</w:t>
      </w:r>
    </w:p>
    <w:p/>
    <w:p>
      <w:pPr>
        <w:pStyle w:val="3"/>
        <w:rPr>
          <w:lang w:eastAsia="zh-CN"/>
        </w:rPr>
      </w:pPr>
      <w:r>
        <w:rPr>
          <w:lang w:eastAsia="zh-CN"/>
        </w:rPr>
        <w:t>Power allocation and power control</w:t>
      </w:r>
    </w:p>
    <w:p>
      <w:pPr>
        <w:pStyle w:val="4"/>
      </w:pPr>
      <w:r>
        <w:rPr>
          <w:lang w:eastAsia="zh-CN"/>
        </w:rPr>
        <w:t>Issue 3: downlink power allocation</w:t>
      </w:r>
    </w:p>
    <w:p>
      <w:pPr>
        <w:spacing w:line="240" w:lineRule="auto"/>
      </w:pPr>
      <w:r>
        <w:t>The following has been achieved:</w:t>
      </w:r>
    </w:p>
    <w:p>
      <w:pPr>
        <w:autoSpaceDE/>
        <w:autoSpaceDN/>
        <w:adjustRightInd/>
        <w:snapToGrid/>
        <w:spacing w:after="0" w:line="240" w:lineRule="auto"/>
        <w:ind w:left="440" w:leftChars="200"/>
        <w:jc w:val="left"/>
        <w:rPr>
          <w:rFonts w:ascii="Times" w:hAnsi="Times"/>
          <w:b/>
          <w:sz w:val="20"/>
          <w:szCs w:val="24"/>
          <w:highlight w:val="green"/>
          <w:lang w:val="en-GB"/>
        </w:rPr>
      </w:pPr>
      <w:r>
        <w:rPr>
          <w:rFonts w:ascii="Times" w:hAnsi="Times"/>
          <w:b/>
          <w:sz w:val="20"/>
          <w:szCs w:val="24"/>
          <w:highlight w:val="green"/>
          <w:lang w:val="en-GB"/>
        </w:rPr>
        <w:t>Confirm working assumption:</w:t>
      </w:r>
    </w:p>
    <w:p>
      <w:pPr>
        <w:overflowPunct w:val="0"/>
        <w:autoSpaceDE/>
        <w:autoSpaceDN/>
        <w:adjustRightInd/>
        <w:snapToGrid/>
        <w:spacing w:after="0" w:line="240" w:lineRule="auto"/>
        <w:ind w:left="440" w:leftChars="2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Working Assumption</w:t>
      </w:r>
    </w:p>
    <w:p>
      <w:pPr>
        <w:overflowPunct w:val="0"/>
        <w:autoSpaceDE/>
        <w:autoSpaceDN/>
        <w:adjustRightInd/>
        <w:snapToGrid/>
        <w:spacing w:after="0" w:line="240" w:lineRule="auto"/>
        <w:ind w:left="880" w:leftChars="4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For downlink power allocation to support 16QAM:</w:t>
      </w:r>
    </w:p>
    <w:p>
      <w:pPr>
        <w:numPr>
          <w:ilvl w:val="0"/>
          <w:numId w:val="17"/>
        </w:numPr>
        <w:autoSpaceDE/>
        <w:autoSpaceDN/>
        <w:adjustRightInd/>
        <w:snapToGrid/>
        <w:spacing w:after="0" w:line="240" w:lineRule="auto"/>
        <w:ind w:left="1241" w:leftChars="564"/>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pPr>
        <w:numPr>
          <w:ilvl w:val="1"/>
          <w:numId w:val="17"/>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One power ratio is signaled optionally</w:t>
      </w:r>
    </w:p>
    <w:p>
      <w:pPr>
        <w:numPr>
          <w:ilvl w:val="2"/>
          <w:numId w:val="17"/>
        </w:numPr>
        <w:autoSpaceDE/>
        <w:autoSpaceDN/>
        <w:adjustRightInd/>
        <w:snapToGrid/>
        <w:spacing w:after="0" w:line="240" w:lineRule="auto"/>
        <w:ind w:left="2680" w:leftChars="1218"/>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pPr>
        <w:numPr>
          <w:ilvl w:val="1"/>
          <w:numId w:val="17"/>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pPr>
        <w:numPr>
          <w:ilvl w:val="1"/>
          <w:numId w:val="17"/>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pPr>
        <w:numPr>
          <w:ilvl w:val="2"/>
          <w:numId w:val="17"/>
        </w:numPr>
        <w:autoSpaceDE/>
        <w:autoSpaceDN/>
        <w:adjustRightInd/>
        <w:snapToGrid/>
        <w:spacing w:after="0" w:line="240" w:lineRule="auto"/>
        <w:ind w:left="2680" w:leftChars="1218"/>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pPr>
        <w:numPr>
          <w:ilvl w:val="0"/>
          <w:numId w:val="17"/>
        </w:numPr>
        <w:autoSpaceDE/>
        <w:autoSpaceDN/>
        <w:adjustRightInd/>
        <w:snapToGrid/>
        <w:spacing w:after="0" w:line="240" w:lineRule="auto"/>
        <w:ind w:left="1241" w:leftChars="564"/>
        <w:jc w:val="left"/>
        <w:rPr>
          <w:rFonts w:ascii="Times" w:hAnsi="Times" w:cs="Times"/>
          <w:sz w:val="20"/>
          <w:szCs w:val="20"/>
          <w:lang w:val="en-GB" w:eastAsia="ja-JP"/>
        </w:rPr>
      </w:pPr>
      <w:r>
        <w:rPr>
          <w:rFonts w:ascii="Times" w:hAnsi="Times" w:cs="Times"/>
          <w:sz w:val="20"/>
          <w:szCs w:val="20"/>
          <w:lang w:val="en-GB" w:eastAsia="ja-JP"/>
        </w:rPr>
        <w:t>UE specific signalling is used</w:t>
      </w:r>
    </w:p>
    <w:p>
      <w:pPr>
        <w:spacing w:line="240" w:lineRule="auto"/>
      </w:pPr>
    </w:p>
    <w:p>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53" w:type="dxa"/>
          </w:tcPr>
          <w:p>
            <w:pPr>
              <w:keepNext/>
              <w:overflowPunct w:val="0"/>
              <w:snapToGrid/>
              <w:spacing w:before="120" w:line="240" w:lineRule="auto"/>
              <w:jc w:val="center"/>
              <w:textAlignment w:val="baseline"/>
              <w:rPr>
                <w:b/>
                <w:bCs/>
                <w:sz w:val="20"/>
                <w:szCs w:val="20"/>
              </w:rPr>
            </w:pPr>
            <w:r>
              <w:rPr>
                <w:b/>
                <w:bCs/>
                <w:sz w:val="20"/>
                <w:szCs w:val="20"/>
              </w:rPr>
              <w:t>Figure 1 Power allocation under Alt.1 (red: CRS, yellow: NPDSCH, green: NRS) – showing only a single symbol of each type</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bl>
          <w:p>
            <w:pPr>
              <w:spacing w:line="240" w:lineRule="auto"/>
            </w:pPr>
          </w:p>
        </w:tc>
        <w:tc>
          <w:tcPr>
            <w:tcW w:w="4654" w:type="dxa"/>
            <w:vMerge w:val="restart"/>
          </w:tcPr>
          <w:p>
            <w:pPr>
              <w:pStyle w:val="28"/>
              <w:keepNext/>
            </w:pPr>
            <w:r>
              <w:t>Figure 3 Correct power allocation over 2 PRBs, where the PDSCH in LTE PRB is “blanked” and the corresponding power is allocated to NB-IoT NPDSCH/NRS</w:t>
            </w: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0006"/>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bl>
          <w:p>
            <w:pPr>
              <w:spacing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pStyle w:val="28"/>
              <w:keepNext/>
            </w:pPr>
            <w:r>
              <w:t>Figure 2 Nominal power allocation for an RB with PDSCH (red: CRS, orange: PDSCH)</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bl>
          <w:p>
            <w:pPr>
              <w:spacing w:line="240" w:lineRule="auto"/>
            </w:pPr>
          </w:p>
        </w:tc>
        <w:tc>
          <w:tcPr>
            <w:tcW w:w="4654" w:type="dxa"/>
            <w:vMerge w:val="continue"/>
          </w:tcPr>
          <w:p>
            <w:pPr>
              <w:spacing w:line="240" w:lineRule="auto"/>
            </w:pPr>
          </w:p>
        </w:tc>
      </w:tr>
    </w:tbl>
    <w:p>
      <w:pPr>
        <w:autoSpaceDE/>
        <w:autoSpaceDN/>
        <w:adjustRightInd/>
        <w:snapToGrid/>
        <w:spacing w:after="0"/>
        <w:rPr>
          <w:b/>
          <w:szCs w:val="21"/>
          <w:lang w:eastAsia="zh-CN"/>
        </w:rPr>
      </w:pPr>
    </w:p>
    <w:p>
      <w:r>
        <w:rPr>
          <w:rFonts w:hint="eastAsia"/>
        </w:rPr>
        <w:t>P</w:t>
      </w:r>
      <w:r>
        <w:t>lease input your comments to the concern over Alt-1: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t>Huawei, HiSilicon</w:t>
            </w:r>
          </w:p>
        </w:tc>
        <w:tc>
          <w:tcPr>
            <w:tcW w:w="7469" w:type="dxa"/>
          </w:tcPr>
          <w:p>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pPr>
              <w:pStyle w:val="140"/>
              <w:numPr>
                <w:ilvl w:val="0"/>
                <w:numId w:val="0"/>
              </w:numPr>
              <w:spacing w:line="240" w:lineRule="auto"/>
              <w:rPr>
                <w:b w:val="0"/>
                <w:bCs w:val="0"/>
              </w:rPr>
            </w:pPr>
            <w:r>
              <w:rPr>
                <w:b w:val="0"/>
                <w:bCs w:val="0"/>
              </w:rPr>
              <w:t>For the downlink power allocation to support 16-QAM in “In-band deployments”, Alt-2 is selected:</w:t>
            </w:r>
          </w:p>
          <w:p>
            <w:pPr>
              <w:pStyle w:val="140"/>
              <w:numPr>
                <w:ilvl w:val="0"/>
                <w:numId w:val="18"/>
              </w:numPr>
              <w:spacing w:line="240" w:lineRule="auto"/>
              <w:ind w:left="720"/>
              <w:rPr>
                <w:b w:val="0"/>
                <w:bCs w:val="0"/>
              </w:rPr>
            </w:pPr>
            <w:r>
              <w:rPr>
                <w:b w:val="0"/>
                <w:bCs w:val="0"/>
              </w:rPr>
              <w:t>The power ratio between NPDSCH EPRE and NRS EPRE in symbols with CRS is signaled.</w:t>
            </w:r>
          </w:p>
          <w:p>
            <w:pPr>
              <w:pStyle w:val="140"/>
              <w:numPr>
                <w:ilvl w:val="0"/>
                <w:numId w:val="18"/>
              </w:numPr>
              <w:spacing w:line="240" w:lineRule="auto"/>
              <w:ind w:left="720"/>
              <w:rPr>
                <w:b w:val="0"/>
                <w:bCs w:val="0"/>
              </w:rPr>
            </w:pPr>
            <w:r>
              <w:rPr>
                <w:b w:val="0"/>
                <w:bCs w:val="0"/>
              </w:rPr>
              <w:t>UE specific signaling is used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szCs w:val="20"/>
                <w:lang w:eastAsia="zh-CN"/>
              </w:rPr>
              <w:t>W</w:t>
            </w:r>
            <w:r>
              <w:rPr>
                <w:szCs w:val="20"/>
                <w:lang w:eastAsia="zh-CN"/>
              </w:rPr>
              <w:t>e still prefer Alt-1</w:t>
            </w:r>
          </w:p>
          <w:p>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pPr>
              <w:rPr>
                <w:szCs w:val="20"/>
                <w:lang w:eastAsia="zh-CN"/>
              </w:rPr>
            </w:pP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center"/>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p>
              </w:tc>
              <w:tc>
                <w:tcPr>
                  <w:tcW w:w="960" w:type="dxa"/>
                  <w:shd w:val="clear" w:color="000000" w:fill="FFEB9C"/>
                  <w:noWrap/>
                  <w:vAlign w:val="bottom"/>
                </w:tcPr>
                <w:p>
                  <w:pPr>
                    <w:spacing w:after="0"/>
                    <w:jc w:val="right"/>
                    <w:rPr>
                      <w:rFonts w:ascii="Calibri" w:hAnsi="Calibri" w:cs="Calibri"/>
                      <w:color w:val="9C5700"/>
                    </w:rPr>
                  </w:pPr>
                </w:p>
              </w:tc>
              <w:tc>
                <w:tcPr>
                  <w:tcW w:w="960" w:type="dxa"/>
                  <w:shd w:val="clear" w:color="000000" w:fill="C6EFCE"/>
                  <w:noWrap/>
                  <w:vAlign w:val="bottom"/>
                </w:tcPr>
                <w:p>
                  <w:pPr>
                    <w:spacing w:after="0"/>
                    <w:jc w:val="right"/>
                    <w:rPr>
                      <w:rFonts w:ascii="Calibri" w:hAnsi="Calibri" w:cs="Calibri"/>
                      <w:color w:val="006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bl>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hint="eastAsia" w:cs="Times"/>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Proposal 6 is OK.</w:t>
            </w:r>
          </w:p>
          <w:p>
            <w:pPr>
              <w:rPr>
                <w:szCs w:val="20"/>
                <w:lang w:eastAsia="zh-CN"/>
              </w:rPr>
            </w:pPr>
            <w:r>
              <w:rPr>
                <w:szCs w:val="20"/>
                <w:lang w:eastAsia="zh-CN"/>
              </w:rPr>
              <w:t>For in-band, let us reply to some of the comments:</w:t>
            </w:r>
          </w:p>
          <w:p>
            <w:pPr>
              <w:rPr>
                <w:lang w:val="en-GB"/>
              </w:rPr>
            </w:pPr>
            <w:r>
              <w:rPr>
                <w:szCs w:val="20"/>
                <w:lang w:eastAsia="zh-CN"/>
              </w:rPr>
              <w:t>“</w:t>
            </w:r>
            <w:r>
              <w:rPr>
                <w:lang w:eastAsia="zh-CN"/>
              </w:rPr>
              <w:t>However, there will be different transmit power for symbol 1 and 2. It seems the design is not aligned.”</w:t>
            </w:r>
          </w:p>
          <w:p>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pPr>
        <w:autoSpaceDE/>
        <w:autoSpaceDN/>
        <w:adjustRightInd/>
        <w:snapToGrid/>
        <w:spacing w:after="0"/>
        <w:rPr>
          <w:b/>
          <w:szCs w:val="21"/>
          <w:lang w:eastAsia="zh-CN"/>
        </w:rPr>
      </w:pPr>
    </w:p>
    <w:p>
      <w:pPr>
        <w:pStyle w:val="4"/>
      </w:pPr>
      <w:r>
        <w:rPr>
          <w:lang w:eastAsia="zh-CN"/>
        </w:rPr>
        <w:t>Issue 4: uplink power control</w:t>
      </w:r>
    </w:p>
    <w:p>
      <w:r>
        <w:rPr>
          <w:rFonts w:hint="eastAsia"/>
        </w:rPr>
        <w:t>Re</w:t>
      </w:r>
      <w:r>
        <w:t>garding the options proposed for uplink power control,</w:t>
      </w:r>
    </w:p>
    <w:p>
      <w:pPr>
        <w:pStyle w:val="66"/>
        <w:numPr>
          <w:ilvl w:val="0"/>
          <w:numId w:val="19"/>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19"/>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19"/>
        </w:numPr>
      </w:pPr>
      <w:r>
        <w:rPr>
          <w:rFonts w:ascii="Times New Roman" w:hAnsi="Times New Roman" w:cs="Times New Roman"/>
          <w:sz w:val="22"/>
        </w:rPr>
        <w:t>Option 3: A TPC command is introduce to indicate the power offset for NPUSCH with 16-QAM.</w:t>
      </w:r>
    </w:p>
    <w:p>
      <w:pPr>
        <w:pStyle w:val="66"/>
        <w:numPr>
          <w:ilvl w:val="0"/>
          <w:numId w:val="19"/>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19"/>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7"/>
        </w:numPr>
        <w:autoSpaceDE/>
        <w:autoSpaceDN/>
        <w:adjustRightInd/>
        <w:snapToGrid/>
        <w:spacing w:after="0" w:line="240" w:lineRule="auto"/>
        <w:ind w:left="1241" w:leftChars="564"/>
        <w:jc w:val="left"/>
        <w:rPr>
          <w:rFonts w:cs="Times"/>
          <w:szCs w:val="20"/>
          <w:lang w:eastAsia="ja-JP"/>
        </w:rPr>
      </w:pPr>
      <w:r>
        <w:rPr>
          <w:rFonts w:cs="Times"/>
          <w:szCs w:val="20"/>
          <w:lang w:eastAsia="ja-JP"/>
        </w:rPr>
        <w:t>Cat 1: Option 1, Option 2/Option 4, Option 5</w:t>
      </w:r>
    </w:p>
    <w:p>
      <w:pPr>
        <w:ind w:left="440" w:leftChars="200"/>
        <w:rPr>
          <w:rFonts w:cs="Times"/>
          <w:szCs w:val="20"/>
          <w:lang w:eastAsia="ja-JP"/>
        </w:rPr>
      </w:pPr>
      <w:r>
        <w:rPr>
          <w:rFonts w:cs="Times"/>
          <w:szCs w:val="20"/>
          <w:lang w:eastAsia="ja-JP"/>
        </w:rPr>
        <w:t xml:space="preserve">FFS </w:t>
      </w:r>
      <w:r>
        <w:rPr>
          <w:rFonts w:hint="cs" w:cs="Times"/>
          <w:szCs w:val="20"/>
          <w:lang w:eastAsia="ja-JP"/>
        </w:rPr>
        <w:t>C</w:t>
      </w:r>
      <w:r>
        <w:rPr>
          <w:rFonts w:cs="Times"/>
          <w:szCs w:val="20"/>
          <w:lang w:eastAsia="ja-JP"/>
        </w:rPr>
        <w:t>at 2: Option 3, for close-loop power control</w:t>
      </w:r>
    </w:p>
    <w:p>
      <w:pPr>
        <w:autoSpaceDE/>
        <w:autoSpaceDN/>
        <w:adjustRightInd/>
        <w:snapToGrid/>
        <w:spacing w:line="240" w:lineRule="auto"/>
        <w:rPr>
          <w:szCs w:val="21"/>
          <w:lang w:eastAsia="zh-CN"/>
        </w:rPr>
      </w:pPr>
    </w:p>
    <w:p>
      <w:r>
        <w:rPr>
          <w:rFonts w:hint="eastAsia"/>
        </w:rPr>
        <w:t>P</w:t>
      </w:r>
      <w:r>
        <w:t>lease input your preference and reasons on the down-selection, and your comments on the FFS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7. Our preference is option 2, which is a simplified version of option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think Option 3 should be removed. The other options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lang w:eastAsia="zh-CN"/>
              </w:rPr>
            </w:pPr>
            <w:r>
              <w:rPr>
                <w:sz w:val="20"/>
                <w:szCs w:val="20"/>
                <w:lang w:eastAsia="zh-CN"/>
              </w:rPr>
              <w:t>Ericsson v010</w:t>
            </w:r>
          </w:p>
        </w:tc>
        <w:tc>
          <w:tcPr>
            <w:tcW w:w="7469" w:type="dxa"/>
          </w:tcPr>
          <w:p>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pPr>
              <w:pStyle w:val="66"/>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pPr>
              <w:pStyle w:val="66"/>
              <w:numPr>
                <w:ilvl w:val="0"/>
                <w:numId w:val="20"/>
              </w:numPr>
              <w:rPr>
                <w:rFonts w:ascii="Times New Roman" w:hAnsi="Times New Roman" w:cs="Times New Roman"/>
                <w:sz w:val="20"/>
                <w:szCs w:val="20"/>
              </w:rPr>
            </w:pPr>
            <w:r>
              <w:rPr>
                <w:rFonts w:ascii="Times New Roman" w:hAnsi="Times New Roman" w:cs="Times New Roman"/>
                <w:sz w:val="20"/>
                <w:szCs w:val="20"/>
              </w:rPr>
              <w:t>FFS: A, B, C, D.</w:t>
            </w:r>
          </w:p>
          <w:p>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t>Huawei, HiSilicon</w:t>
            </w:r>
          </w:p>
        </w:tc>
        <w:tc>
          <w:tcPr>
            <w:tcW w:w="7469" w:type="dxa"/>
          </w:tcPr>
          <w:p>
            <w:pPr>
              <w:rPr>
                <w:rFonts w:hint="eastAsia"/>
              </w:rPr>
            </w:pPr>
            <w:r>
              <w:t xml:space="preserve">The specific value is calculated based on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t xml:space="preserve"> 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t xml:space="preserve"> where K is the code block size.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rPr>
                <w:rFonts w:hint="eastAsia"/>
                <w:lang w:eastAsia="zh-CN"/>
              </w:rPr>
              <w:t xml:space="preserve"> </w:t>
            </w:r>
            <w:r>
              <w:rPr>
                <w:lang w:eastAsia="zh-CN"/>
              </w:rPr>
              <w:t>is the number of REs for NPUSCH.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lang w:val="en-US" w:eastAsia="zh-CN"/>
              </w:rPr>
            </w:pPr>
            <w:r>
              <w:rPr>
                <w:rFonts w:hint="eastAsia"/>
                <w:lang w:val="en-US" w:eastAsia="zh-CN"/>
              </w:rPr>
              <w:t>ZTE, Sanechips</w:t>
            </w:r>
          </w:p>
        </w:tc>
        <w:tc>
          <w:tcPr>
            <w:tcW w:w="7469" w:type="dxa"/>
          </w:tcPr>
          <w:p>
            <w:pPr>
              <w:rPr>
                <w:rFonts w:hint="default"/>
                <w:lang w:val="en-US" w:eastAsia="zh-CN"/>
              </w:rPr>
            </w:pPr>
            <w:r>
              <w:rPr>
                <w:rFonts w:hint="eastAsia"/>
                <w:lang w:val="en-US" w:eastAsia="zh-CN"/>
              </w:rPr>
              <w:t xml:space="preserve">A repurposed field with 4 bits can be used for TPC command. There are enough states to include all </w:t>
            </w:r>
            <w:r>
              <w:rPr>
                <w:rFonts w:ascii="Times New Roman" w:hAnsi="Times New Roman" w:cs="Times New Roman"/>
                <w:sz w:val="22"/>
              </w:rPr>
              <w:t>power offset</w:t>
            </w:r>
            <w:r>
              <w:rPr>
                <w:rFonts w:hint="eastAsia"/>
                <w:lang w:val="en-US" w:eastAsia="zh-CN"/>
              </w:rPr>
              <w:t xml:space="preserve"> determined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i w:val="0"/>
                <w:lang w:val="en-US" w:eastAsia="zh-CN"/>
              </w:rPr>
              <w:t xml:space="preserve">. </w:t>
            </w:r>
            <w:r>
              <w:rPr>
                <w:rFonts w:hint="eastAsia"/>
                <w:lang w:val="en-US" w:eastAsia="zh-CN"/>
              </w:rPr>
              <w:t xml:space="preserve">We do not see any benefits to adopt the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lang w:val="en-US" w:eastAsia="zh-CN"/>
              </w:rPr>
              <w:t>, instead of dynamic TPC control.</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pPr>
        <w:spacing w:line="240" w:lineRule="auto"/>
      </w:pPr>
      <w:r>
        <w:rPr>
          <w:rFonts w:hint="eastAsia"/>
        </w:rPr>
        <w:t>As most companies propose to not support channel quality report in Msg3 in connected mode, the following is pr</w:t>
      </w:r>
      <w:r>
        <w:t>oposed:</w:t>
      </w:r>
    </w:p>
    <w:p>
      <w:pPr>
        <w:spacing w:line="240" w:lineRule="auto"/>
      </w:pPr>
      <w:r>
        <w:rPr>
          <w:b/>
        </w:rPr>
        <w:t>Proposal 8 (conclusion): 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pPr>
        <w:spacing w:line="240" w:lineRule="auto"/>
      </w:pPr>
      <w:r>
        <w:t>For the majority view (option 3), the concerns can be easily addressed by a Rel-17 RRC parameter. If it can be resolved, the following is proposed to move forward based on majority view:</w:t>
      </w:r>
    </w:p>
    <w:p>
      <w:pPr>
        <w:spacing w:line="240" w:lineRule="auto"/>
      </w:pPr>
      <w:r>
        <w:rPr>
          <w:b/>
        </w:rPr>
        <w:t>Proposal 9: For downlink 16-QAM, a new CQI table is defined based on the table 7.2.3-3 in TS 36.213 as a starting point.</w:t>
      </w:r>
    </w:p>
    <w:p>
      <w:pPr>
        <w:spacing w:line="240" w:lineRule="auto"/>
      </w:pPr>
      <w:r>
        <w:rPr>
          <w:rFonts w:hint="eastAsia"/>
        </w:rPr>
        <w:t>P</w:t>
      </w:r>
      <w:r>
        <w:t>lease input your comments for the above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 xml:space="preserve">e are OK with proposal 8 and proposal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5"/>
              </w:numPr>
            </w:pPr>
            <w:r>
              <w:t>Proposal 8: Ok.</w:t>
            </w:r>
          </w:p>
          <w:p>
            <w:pPr>
              <w:pStyle w:val="66"/>
              <w:numPr>
                <w:ilvl w:val="0"/>
                <w:numId w:val="15"/>
              </w:numPr>
            </w:pPr>
            <w:r>
              <w:t>Proposal 9: We are not ok with it, mainly because of the no backward compatibility from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We are OK with proposal 8</w:t>
            </w:r>
          </w:p>
          <w:p>
            <w:pPr>
              <w:rPr>
                <w:szCs w:val="20"/>
                <w:lang w:eastAsia="zh-CN"/>
              </w:rPr>
            </w:pPr>
            <w:r>
              <w:rPr>
                <w:rFonts w:hint="eastAsia"/>
                <w:szCs w:val="20"/>
                <w:lang w:eastAsia="zh-CN"/>
              </w:rPr>
              <w:t>F</w:t>
            </w:r>
            <w:r>
              <w:rPr>
                <w:szCs w:val="20"/>
                <w:lang w:eastAsia="zh-CN"/>
              </w:rPr>
              <w:t>or proposal 9, we have some concern because it is not aligned with the WID</w:t>
            </w:r>
          </w:p>
          <w:p>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pPr>
              <w:pStyle w:val="66"/>
              <w:numPr>
                <w:ilvl w:val="0"/>
                <w:numId w:val="11"/>
              </w:numPr>
              <w:snapToGrid w:val="0"/>
              <w:spacing w:line="240" w:lineRule="auto"/>
              <w:ind w:left="79" w:leftChars="36"/>
              <w:jc w:val="left"/>
              <w:rPr>
                <w:rFonts w:ascii="Times New Roman" w:hAnsi="Times New Roman"/>
                <w:bCs/>
                <w:sz w:val="20"/>
                <w:szCs w:val="20"/>
              </w:rPr>
            </w:pPr>
            <w:r>
              <w:rPr>
                <w:rFonts w:ascii="Times New Roman" w:hAnsi="Times New Roman" w:eastAsia="等线"/>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hAnsi="Times New Roman" w:eastAsia="等线"/>
                <w:sz w:val="20"/>
                <w:szCs w:val="20"/>
              </w:rPr>
              <w:t xml:space="preserve"> [NB-IoT] [RAN1, RAN4]</w:t>
            </w:r>
          </w:p>
          <w:p>
            <w:pPr>
              <w:pStyle w:val="66"/>
              <w:numPr>
                <w:ilvl w:val="1"/>
                <w:numId w:val="11"/>
              </w:numPr>
              <w:snapToGrid w:val="0"/>
              <w:spacing w:line="240" w:lineRule="auto"/>
              <w:ind w:left="785"/>
              <w:jc w:val="left"/>
              <w:rPr>
                <w:rFonts w:ascii="Times New Roman" w:hAnsi="Times New Roman"/>
                <w:bCs/>
                <w:sz w:val="20"/>
                <w:szCs w:val="20"/>
              </w:rPr>
            </w:pPr>
            <w:r>
              <w:rPr>
                <w:rFonts w:ascii="Times New Roman" w:hAnsi="Times New Roman" w:eastAsia="等线"/>
                <w:sz w:val="20"/>
                <w:szCs w:val="20"/>
              </w:rPr>
              <w:t xml:space="preserve">Extend the NB-IoT channel quality reporting </w:t>
            </w:r>
            <w:r>
              <w:rPr>
                <w:rFonts w:ascii="Times New Roman" w:hAnsi="Times New Roman" w:eastAsia="等线"/>
                <w:sz w:val="20"/>
                <w:szCs w:val="20"/>
                <w:highlight w:val="yellow"/>
              </w:rPr>
              <w:t>based on the framework of Rel-14—16</w:t>
            </w:r>
            <w:r>
              <w:rPr>
                <w:rFonts w:ascii="Times New Roman" w:hAnsi="Times New Roman" w:eastAsia="等线"/>
                <w:sz w:val="20"/>
                <w:szCs w:val="20"/>
              </w:rPr>
              <w:t xml:space="preserve">, to support 16-QAM in DL. [NB-IoT] [RAN2, RAN1, RAN4] </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tabs>
                <w:tab w:val="left" w:pos="3130"/>
              </w:tabs>
              <w:rPr>
                <w:szCs w:val="20"/>
                <w:lang w:eastAsia="zh-CN"/>
              </w:rPr>
            </w:pPr>
            <w:r>
              <w:rPr>
                <w:rFonts w:hint="eastAsia"/>
                <w:szCs w:val="20"/>
                <w:lang w:eastAsia="zh-CN"/>
              </w:rPr>
              <w:t>Agree with Proposal 8 and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8" w:type="dxa"/>
          </w:tcPr>
          <w:p>
            <w:pPr>
              <w:rPr>
                <w:szCs w:val="20"/>
                <w:lang w:eastAsia="zh-CN"/>
              </w:rPr>
            </w:pPr>
            <w:r>
              <w:rPr>
                <w:szCs w:val="20"/>
                <w:lang w:eastAsia="zh-CN"/>
              </w:rPr>
              <w:t>Nokia, NSB</w:t>
            </w:r>
          </w:p>
        </w:tc>
        <w:tc>
          <w:tcPr>
            <w:tcW w:w="7469" w:type="dxa"/>
          </w:tcPr>
          <w:p>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bl>
    <w:p/>
    <w:p>
      <w:pPr>
        <w:pStyle w:val="3"/>
        <w:rPr>
          <w:lang w:eastAsia="zh-CN"/>
        </w:rPr>
      </w:pPr>
      <w:r>
        <w:rPr>
          <w:lang w:eastAsia="zh-CN"/>
        </w:rPr>
        <w:t>Others</w:t>
      </w:r>
    </w:p>
    <w:p>
      <w:pPr>
        <w:outlineLvl w:val="2"/>
        <w:rPr>
          <w:b/>
          <w:u w:val="single"/>
        </w:rPr>
      </w:pPr>
      <w:bookmarkStart w:id="8" w:name="_GoBack"/>
      <w:bookmarkEnd w:id="8"/>
      <w:r>
        <w:rPr>
          <w:b/>
          <w:u w:val="single"/>
          <w:lang w:eastAsia="zh-CN"/>
        </w:rPr>
        <w:t xml:space="preserve">Issue 6: </w:t>
      </w:r>
      <w:r>
        <w:rPr>
          <w:rFonts w:hint="eastAsia"/>
          <w:b/>
          <w:u w:val="single"/>
        </w:rPr>
        <w:t>Others</w:t>
      </w:r>
    </w:p>
    <w:p>
      <w:r>
        <w:t>Based on previous comments, there are two companies proposing to discuss the CSI reference. Therefore, the following is proposed for discussion:</w:t>
      </w:r>
    </w:p>
    <w:p>
      <w:pPr>
        <w:rPr>
          <w:b/>
        </w:rPr>
      </w:pPr>
      <w:r>
        <w:rPr>
          <w:rFonts w:hint="eastAsia"/>
          <w:b/>
        </w:rPr>
        <w:t xml:space="preserve">Proposal 10: </w:t>
      </w:r>
      <w:r>
        <w:rPr>
          <w:b/>
          <w:szCs w:val="20"/>
        </w:rPr>
        <w:t>Define CSI reference resource to be used for 16-QAM CQI measurement.</w:t>
      </w:r>
    </w:p>
    <w:p>
      <w:r>
        <w:t xml:space="preserve">Please input your comments to the above proposal or any other issue that can be considered for discussion in this meeting: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 v010</w:t>
            </w:r>
          </w:p>
        </w:tc>
        <w:tc>
          <w:tcPr>
            <w:tcW w:w="7469" w:type="dxa"/>
          </w:tcPr>
          <w:p>
            <w:pPr>
              <w:rPr>
                <w:sz w:val="20"/>
                <w:szCs w:val="18"/>
              </w:rPr>
            </w:pPr>
            <w:r>
              <w:rPr>
                <w:sz w:val="20"/>
                <w:szCs w:val="18"/>
              </w:rPr>
              <w:t>We need to define reference symbols to estimate CQI, NRS seems to be suitable for this purpose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pStyle w:val="28"/>
              <w:jc w:val="left"/>
              <w:rPr>
                <w:rFonts w:eastAsia="宋体"/>
                <w:b w:val="0"/>
                <w:bCs w:val="0"/>
                <w:szCs w:val="20"/>
              </w:rPr>
            </w:pPr>
            <w:r>
              <w:rPr>
                <w:rFonts w:eastAsia="宋体"/>
                <w:b w:val="0"/>
                <w:bCs w:val="0"/>
                <w:szCs w:val="20"/>
              </w:rPr>
              <w:t>We support this proposal. It can be based on NRS with similar definition as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spacing w:before="120" w:beforeLines="50" w:line="276" w:lineRule="auto"/>
              <w:rPr>
                <w:szCs w:val="20"/>
                <w:lang w:eastAsia="zh-CN"/>
              </w:rPr>
            </w:pPr>
            <w:r>
              <w:rPr>
                <w:rFonts w:hint="eastAsia"/>
                <w:szCs w:val="20"/>
                <w:lang w:val="en-US"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bl>
    <w:p>
      <w:pPr>
        <w:rPr>
          <w:lang w:eastAsia="zh-CN"/>
        </w:rPr>
      </w:pPr>
    </w:p>
    <w:p>
      <w:pPr>
        <w:pStyle w:val="2"/>
        <w:rPr>
          <w:lang w:eastAsia="zh-CN"/>
        </w:rPr>
      </w:pPr>
      <w:r>
        <w:rPr>
          <w:lang w:eastAsia="zh-CN"/>
        </w:rPr>
        <w:t>Previous discussions</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2]</w:t>
            </w:r>
          </w:p>
        </w:tc>
        <w:tc>
          <w:tcPr>
            <w:tcW w:w="7752" w:type="dxa"/>
          </w:tcPr>
          <w:p>
            <w:pPr>
              <w:rPr>
                <w:b/>
              </w:rPr>
            </w:pPr>
            <w:r>
              <w:rPr>
                <w:b/>
              </w:rPr>
              <w:t>Proposal 8: Support 16-QAM for NPDSCH in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3]</w:t>
            </w:r>
          </w:p>
        </w:tc>
        <w:tc>
          <w:tcPr>
            <w:tcW w:w="7752" w:type="dxa"/>
          </w:tcPr>
          <w:p>
            <w:pPr>
              <w:rPr>
                <w:b/>
                <w:bCs/>
                <w:lang w:eastAsia="en-GB"/>
              </w:rPr>
            </w:pPr>
            <w:r>
              <w:rPr>
                <w:b/>
                <w:bCs/>
                <w:lang w:eastAsia="en-GB"/>
              </w:rPr>
              <w:t>Proposal 9: Confirm the working assumption to support 16-QAM for NPUSCH in PUR procedure.</w:t>
            </w:r>
          </w:p>
          <w:p>
            <w:pPr>
              <w:rPr>
                <w:b/>
                <w:bCs/>
                <w:lang w:eastAsia="en-GB"/>
              </w:rPr>
            </w:pPr>
            <w:r>
              <w:rPr>
                <w:b/>
                <w:bCs/>
                <w:lang w:eastAsia="en-GB"/>
              </w:rPr>
              <w:t>Proposal 10: For supporting 16-QAM in NPUSCH in PUR procedure, the field multiTone in npusch-MCS in PUR NPUSCH configuration is modified to include MCS 0-21.</w:t>
            </w:r>
          </w:p>
          <w:p>
            <w:pPr>
              <w:rPr>
                <w:b/>
                <w:bCs/>
                <w:lang w:eastAsia="en-GB"/>
              </w:rPr>
            </w:pPr>
            <w:r>
              <w:rPr>
                <w:b/>
                <w:bCs/>
                <w:lang w:eastAsia="en-GB"/>
              </w:rPr>
              <w:t>Proposal 11: Support 16-QAM for NPDSCH in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p>
        </w:tc>
        <w:tc>
          <w:tcPr>
            <w:tcW w:w="7752" w:type="dxa"/>
          </w:tcPr>
          <w:p>
            <w:pPr>
              <w:rPr>
                <w:b/>
                <w:bCs/>
              </w:rPr>
            </w:pPr>
            <w:r>
              <w:rPr>
                <w:b/>
                <w:bCs/>
                <w:u w:val="single"/>
              </w:rPr>
              <w:t>Proposal 1:</w:t>
            </w:r>
            <w:r>
              <w:rPr>
                <w:b/>
                <w:bCs/>
              </w:rPr>
              <w:t xml:space="preserve"> Do not support DL 16-QAM during PUR procedure.</w:t>
            </w:r>
          </w:p>
          <w:p>
            <w:pPr>
              <w:rPr>
                <w:b/>
                <w:bCs/>
              </w:rPr>
            </w:pPr>
            <w:r>
              <w:rPr>
                <w:b/>
                <w:bCs/>
                <w:u w:val="single"/>
              </w:rPr>
              <w:t>Proposal 6:</w:t>
            </w:r>
            <w:r>
              <w:rPr>
                <w:b/>
                <w:bCs/>
              </w:rPr>
              <w:t xml:space="preserve"> Confirm the following working assumption: </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pPr>
              <w:rPr>
                <w:b/>
                <w:bCs/>
              </w:rPr>
            </w:pPr>
            <w:r>
              <w:rPr>
                <w:b/>
                <w:bCs/>
                <w:u w:val="single"/>
              </w:rPr>
              <w:t>Proposal 7:</w:t>
            </w:r>
            <w:r>
              <w:rPr>
                <w:b/>
                <w:bCs/>
              </w:rPr>
              <w:t xml:space="preserve"> Include a configuration flag in </w:t>
            </w:r>
            <w:r>
              <w:rPr>
                <w:b/>
                <w:bCs/>
                <w:i/>
                <w:iCs/>
              </w:rPr>
              <w:t>PUR-Config</w:t>
            </w:r>
            <w:r>
              <w:rPr>
                <w:b/>
                <w:bCs/>
              </w:rPr>
              <w:t xml:space="preserve"> to enable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5]</w:t>
            </w:r>
          </w:p>
        </w:tc>
        <w:tc>
          <w:tcPr>
            <w:tcW w:w="7752" w:type="dxa"/>
          </w:tcPr>
          <w:p>
            <w:pPr>
              <w:spacing w:before="120" w:beforeLines="50" w:line="276" w:lineRule="auto"/>
              <w:rPr>
                <w:b/>
                <w:bCs/>
                <w:i/>
                <w:iCs/>
                <w:sz w:val="20"/>
                <w:szCs w:val="20"/>
              </w:rPr>
            </w:pPr>
            <w:r>
              <w:rPr>
                <w:rFonts w:hint="eastAsia"/>
                <w:b/>
                <w:bCs/>
                <w:i/>
                <w:iCs/>
                <w:sz w:val="20"/>
                <w:szCs w:val="20"/>
              </w:rPr>
              <w:t>Proposal 8: 16QAM could not be supported for NPDSCH in PUR procedure.</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6]</w:t>
            </w:r>
          </w:p>
        </w:tc>
        <w:tc>
          <w:tcPr>
            <w:tcW w:w="7752" w:type="dxa"/>
          </w:tcPr>
          <w:p>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r>
              <w:rPr>
                <w:rFonts w:eastAsia="Times New Roman"/>
                <w:b/>
                <w:i/>
                <w:sz w:val="20"/>
                <w:szCs w:val="20"/>
              </w:rPr>
              <w:t>PURConfigurationRequest.</w:t>
            </w:r>
            <w:r>
              <w:rPr>
                <w:b/>
                <w:sz w:val="20"/>
                <w:szCs w:val="20"/>
              </w:rPr>
              <w:t xml:space="preserve">  </w:t>
            </w:r>
          </w:p>
          <w:p>
            <w:pPr>
              <w:rPr>
                <w:b/>
                <w:sz w:val="20"/>
                <w:szCs w:val="20"/>
              </w:rPr>
            </w:pPr>
            <w:r>
              <w:rPr>
                <w:b/>
                <w:sz w:val="20"/>
                <w:szCs w:val="20"/>
              </w:rPr>
              <w:t>Proposal 2: The details of related RRC IEs need FFS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7]</w:t>
            </w:r>
          </w:p>
        </w:tc>
        <w:tc>
          <w:tcPr>
            <w:tcW w:w="7752" w:type="dxa"/>
          </w:tcPr>
          <w:p>
            <w:pPr>
              <w:spacing w:before="120" w:beforeLines="5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spacing w:before="120" w:beforeLines="50" w:afterLines="50"/>
              <w:rPr>
                <w:b/>
                <w:bCs/>
                <w:iCs/>
                <w:sz w:val="20"/>
                <w:szCs w:val="20"/>
              </w:rPr>
            </w:pPr>
            <w:r>
              <w:rPr>
                <w:b/>
                <w:bCs/>
                <w:iCs/>
                <w:sz w:val="20"/>
                <w:szCs w:val="20"/>
              </w:rPr>
              <w:t>Observation 11</w:t>
            </w:r>
            <w:r>
              <w:rPr>
                <w:b/>
                <w:bCs/>
                <w:iCs/>
                <w:sz w:val="20"/>
                <w:szCs w:val="20"/>
              </w:rPr>
              <w:tab/>
            </w:r>
            <w:r>
              <w:rPr>
                <w:b/>
                <w:bCs/>
                <w:iCs/>
                <w:sz w:val="20"/>
                <w:szCs w:val="20"/>
              </w:rPr>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pPr>
              <w:spacing w:before="120" w:beforeLines="50" w:afterLines="50"/>
              <w:rPr>
                <w:b/>
                <w:bCs/>
                <w:i/>
                <w:iCs/>
                <w:sz w:val="20"/>
                <w:szCs w:val="20"/>
              </w:rPr>
            </w:pPr>
            <w:r>
              <w:rPr>
                <w:b/>
                <w:bCs/>
                <w:iCs/>
                <w:sz w:val="20"/>
                <w:szCs w:val="20"/>
              </w:rPr>
              <w:t>Proposal 8</w:t>
            </w:r>
            <w:r>
              <w:rPr>
                <w:b/>
                <w:bCs/>
                <w:iCs/>
                <w:sz w:val="20"/>
                <w:szCs w:val="20"/>
              </w:rPr>
              <w:tab/>
            </w:r>
            <w:r>
              <w:rPr>
                <w:b/>
                <w:bCs/>
                <w:iCs/>
                <w:sz w:val="20"/>
                <w:szCs w:val="20"/>
              </w:rPr>
              <w:t>Confirm the Working Assumption on the “Support 16-QAM for NPUSCH in PUR procedure”.</w:t>
            </w:r>
          </w:p>
        </w:tc>
      </w:tr>
    </w:tbl>
    <w:p>
      <w:pPr>
        <w:spacing w:line="240" w:lineRule="auto"/>
      </w:pPr>
    </w:p>
    <w:p>
      <w:pPr>
        <w:spacing w:line="240" w:lineRule="auto"/>
      </w:pPr>
      <w:r>
        <w:rPr>
          <w:rFonts w:hint="eastAsia"/>
        </w:rPr>
        <w:t xml:space="preserve">For the working assumption on support of 16-QAM for NPUSCH in PUR procedure, </w:t>
      </w:r>
      <w:r>
        <w:t>most companies support to confirm it, therefore, the following is proposed:</w:t>
      </w:r>
    </w:p>
    <w:p>
      <w:pPr>
        <w:pStyle w:val="28"/>
        <w:jc w:val="left"/>
        <w:rPr>
          <w:sz w:val="22"/>
        </w:rPr>
      </w:pPr>
      <w:r>
        <w:rPr>
          <w:sz w:val="22"/>
        </w:rPr>
        <w:t>Proposal</w:t>
      </w:r>
      <w:r>
        <w:t xml:space="preserve"> 1</w:t>
      </w:r>
      <w:r>
        <w:rPr>
          <w:sz w:val="22"/>
        </w:rPr>
        <w:t>: Confirm the following working assumption:</w:t>
      </w:r>
    </w:p>
    <w:p>
      <w:pPr>
        <w:autoSpaceDE/>
        <w:autoSpaceDN/>
        <w:adjustRightInd/>
        <w:snapToGrid/>
        <w:spacing w:after="0" w:line="240" w:lineRule="auto"/>
        <w:ind w:left="440" w:leftChars="200"/>
        <w:jc w:val="left"/>
        <w:rPr>
          <w:rFonts w:ascii="Times" w:hAnsi="Times" w:eastAsia="Batang" w:cs="Times"/>
          <w:highlight w:val="darkYellow"/>
          <w:lang w:val="en-GB"/>
        </w:rPr>
      </w:pPr>
      <w:r>
        <w:rPr>
          <w:rFonts w:ascii="Times" w:hAnsi="Times" w:eastAsia="Batang" w:cs="Times"/>
          <w:highlight w:val="darkYellow"/>
          <w:lang w:val="en-GB"/>
        </w:rPr>
        <w:t>Working Assumption</w:t>
      </w:r>
    </w:p>
    <w:p>
      <w:pPr>
        <w:autoSpaceDE/>
        <w:autoSpaceDN/>
        <w:adjustRightInd/>
        <w:snapToGrid/>
        <w:spacing w:after="0" w:line="240" w:lineRule="auto"/>
        <w:ind w:left="440" w:leftChars="200"/>
        <w:jc w:val="left"/>
        <w:rPr>
          <w:rFonts w:ascii="Times" w:hAnsi="Times" w:eastAsia="Batang" w:cs="Times"/>
          <w:lang w:val="en-GB"/>
        </w:rPr>
      </w:pPr>
      <w:r>
        <w:rPr>
          <w:rFonts w:ascii="Times" w:hAnsi="Times" w:eastAsia="Batang" w:cs="Times"/>
          <w:lang w:val="en-GB"/>
        </w:rPr>
        <w:t>Support 16-QAM for NPUSCH in PUR procedure.</w:t>
      </w:r>
    </w:p>
    <w:p>
      <w:pPr>
        <w:spacing w:before="120" w:line="240" w:lineRule="auto"/>
        <w:rPr>
          <w:lang w:val="en-GB"/>
        </w:rPr>
      </w:pPr>
      <w:r>
        <w:rPr>
          <w:rFonts w:hint="eastAsia"/>
          <w:lang w:val="en-GB"/>
        </w:rPr>
        <w:t xml:space="preserve">On the </w:t>
      </w:r>
      <w:r>
        <w:rPr>
          <w:lang w:val="en-GB"/>
        </w:rPr>
        <w:t>support of 16-QAM for NPDSCH in PUR procedure, companies (Huawei, HiSilicon, Nokia, NSB, MTK) propose to support 16-QAM for NPDSCH in PUR, and companies (QC, ZTE, Sanechips, Lenovo, Moto, Ericsson) propose to not support. As this has been discussed for several meeting, the following is proposed to close this topic:</w:t>
      </w:r>
    </w:p>
    <w:p>
      <w:pPr>
        <w:pStyle w:val="28"/>
        <w:jc w:val="left"/>
        <w:rPr>
          <w:sz w:val="22"/>
        </w:rPr>
      </w:pPr>
      <w:r>
        <w:rPr>
          <w:sz w:val="22"/>
        </w:rPr>
        <w:t>Proposal</w:t>
      </w:r>
      <w:r>
        <w:t xml:space="preserve"> 2 (conclusion)</w:t>
      </w:r>
      <w:r>
        <w:rPr>
          <w:sz w:val="22"/>
        </w:rPr>
        <w:t>: There’s no consensus to support 16-QAM for NPDSCH in PUR procedure.</w:t>
      </w:r>
    </w:p>
    <w:p>
      <w:pPr>
        <w:spacing w:line="240" w:lineRule="auto"/>
      </w:pPr>
      <w:r>
        <w:rPr>
          <w:rFonts w:hint="eastAsia"/>
        </w:rPr>
        <w:t>With the support of 16-QAM for P</w:t>
      </w:r>
      <w:r>
        <w:t>UR NPUSCH, companies (Nokia, NSB, ) proposed the corresponding enhancement on the configuration of PUR, therefore, the following is proposed:</w:t>
      </w:r>
    </w:p>
    <w:p>
      <w:pPr>
        <w:spacing w:after="0" w:line="240" w:lineRule="auto"/>
        <w:rPr>
          <w:b/>
        </w:rPr>
      </w:pPr>
      <w:r>
        <w:rPr>
          <w:b/>
        </w:rPr>
        <w:t>Proposal 3: To support 16-QAM for NPUSCH in PUR procedure,</w:t>
      </w:r>
    </w:p>
    <w:p>
      <w:pPr>
        <w:pStyle w:val="66"/>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pPr>
        <w:pStyle w:val="66"/>
        <w:numPr>
          <w:ilvl w:val="0"/>
          <w:numId w:val="14"/>
        </w:numPr>
        <w:spacing w:after="120" w:line="240" w:lineRule="auto"/>
        <w:ind w:left="777" w:hanging="357"/>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t>Ericsson</w:t>
            </w:r>
          </w:p>
        </w:tc>
        <w:tc>
          <w:tcPr>
            <w:tcW w:w="7469" w:type="dxa"/>
          </w:tcPr>
          <w:p>
            <w:pPr>
              <w:pStyle w:val="66"/>
              <w:numPr>
                <w:ilvl w:val="0"/>
                <w:numId w:val="15"/>
              </w:numPr>
            </w:pPr>
            <w:r>
              <w:t>Proposal 1: Ok with confirming the WA.</w:t>
            </w:r>
          </w:p>
          <w:p>
            <w:pPr>
              <w:pStyle w:val="66"/>
              <w:numPr>
                <w:ilvl w:val="0"/>
                <w:numId w:val="15"/>
              </w:numPr>
            </w:pPr>
            <w:r>
              <w:t>Proposal 2: OK.</w:t>
            </w:r>
          </w:p>
          <w:p>
            <w:pPr>
              <w:pStyle w:val="66"/>
              <w:numPr>
                <w:ilvl w:val="0"/>
                <w:numId w:val="15"/>
              </w:numPr>
            </w:pPr>
            <w:r>
              <w:t>Proposal 3: In our view, we can come back to it in a future session in case the WA in proposal 1 becomes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,MotoM</w:t>
            </w:r>
          </w:p>
        </w:tc>
        <w:tc>
          <w:tcPr>
            <w:tcW w:w="7469" w:type="dxa"/>
          </w:tcPr>
          <w:p>
            <w:pPr>
              <w:rPr>
                <w:szCs w:val="20"/>
                <w:lang w:eastAsia="zh-CN"/>
              </w:rPr>
            </w:pPr>
            <w:r>
              <w:rPr>
                <w:szCs w:val="20"/>
                <w:lang w:eastAsia="zh-CN"/>
              </w:rPr>
              <w:t>We are fine with the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Ok for proposal 1~2.proposal3 should leave to RAN2 to make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Agree with proposal 1 and 2.</w:t>
            </w:r>
          </w:p>
          <w:p>
            <w:pPr>
              <w:rPr>
                <w:szCs w:val="20"/>
                <w:lang w:eastAsia="zh-CN"/>
              </w:rPr>
            </w:pPr>
            <w:r>
              <w:rPr>
                <w:rFonts w:hint="eastAsia"/>
                <w:szCs w:val="20"/>
                <w:lang w:eastAsia="zh-CN"/>
              </w:rPr>
              <w:t>For proposal3, we think there is no need to define the parameter details. It can be up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Agree with proposal 1 and 3</w:t>
            </w:r>
          </w:p>
          <w:p>
            <w:pPr>
              <w:rPr>
                <w:szCs w:val="20"/>
                <w:lang w:eastAsia="zh-CN"/>
              </w:rPr>
            </w:pPr>
            <w:r>
              <w:rPr>
                <w:szCs w:val="20"/>
                <w:lang w:eastAsia="zh-CN"/>
              </w:rPr>
              <w:t>For proposal 2, we feel PUR on NPDSCH can be supported without significant specification impact. Therefore, we would like to also support PUR on NPDSCH.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Agree with proposals 1 and 3. For proposal 2, if CQI is not supported, we would also be OK with supporting 16QAM for DL during PUR.</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w:t>
            </w:r>
            <w:r>
              <w:rPr>
                <w:szCs w:val="20"/>
              </w:rPr>
              <w:t>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rFonts w:hint="eastAsia"/>
                <w:b/>
                <w:lang w:eastAsia="zh-CN"/>
              </w:rPr>
              <w:t>P</w:t>
            </w:r>
            <w:r>
              <w:rPr>
                <w:b/>
                <w:lang w:eastAsia="zh-CN"/>
              </w:rPr>
              <w:t xml:space="preserve">roposal 1: The deployment is indicated by the legacy signaling </w:t>
            </w:r>
            <w:r>
              <w:rPr>
                <w:b/>
                <w:i/>
              </w:rPr>
              <w:t xml:space="preserve">operationmodeInfo, i.e., </w:t>
            </w:r>
            <w:r>
              <w:rPr>
                <w:b/>
              </w:rPr>
              <w:t>no enhancement is needed on distinguishing the deployment.</w:t>
            </w:r>
          </w:p>
          <w:p>
            <w:pPr>
              <w:rPr>
                <w:b/>
                <w:lang w:eastAsia="zh-CN"/>
              </w:rPr>
            </w:pPr>
            <w:r>
              <w:rPr>
                <w:b/>
                <w:lang w:eastAsia="zh-CN"/>
              </w:rPr>
              <w:t>Proposal 2: Confirm the working assumption for the indication of 16-QAM in uplink.</w:t>
            </w:r>
          </w:p>
          <w:p>
            <w:pPr>
              <w:rPr>
                <w:b/>
                <w:highlight w:val="darkYellow"/>
              </w:rPr>
            </w:pPr>
            <w:r>
              <w:rPr>
                <w:b/>
                <w:highlight w:val="darkYellow"/>
              </w:rPr>
              <w:t>Working Assumption</w:t>
            </w:r>
          </w:p>
          <w:p>
            <w:pPr>
              <w:rPr>
                <w:bCs/>
                <w:sz w:val="20"/>
                <w:lang w:eastAsia="zh-CN"/>
              </w:rPr>
            </w:pPr>
            <w:r>
              <w:rPr>
                <w:sz w:val="20"/>
              </w:rPr>
              <w:t>For the indication of 16-QAM in uplink</w:t>
            </w:r>
          </w:p>
          <w:p>
            <w:pPr>
              <w:numPr>
                <w:ilvl w:val="0"/>
                <w:numId w:val="22"/>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pPr>
              <w:numPr>
                <w:ilvl w:val="0"/>
                <w:numId w:val="22"/>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pPr>
              <w:numPr>
                <w:ilvl w:val="0"/>
                <w:numId w:val="22"/>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pPr>
              <w:rPr>
                <w:b/>
                <w:lang w:eastAsia="zh-CN"/>
              </w:rPr>
            </w:pPr>
            <w:r>
              <w:rPr>
                <w:b/>
                <w:lang w:eastAsia="zh-CN"/>
              </w:rPr>
              <w:t>Proposal 3: The reserved state to indicate the use of 16QAM in DCI format N0 and DCI format N1 should be “1111”.</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lang w:eastAsia="en-GB"/>
              </w:rPr>
            </w:pPr>
            <w:r>
              <w:rPr>
                <w:b/>
                <w:bCs/>
                <w:lang w:eastAsia="en-GB"/>
              </w:rPr>
              <w:t>Proposal 1: UE can determine the deployment mode from the MasterInformationBlock-NB or DL-CarrierConfigDedicated-NB field.</w:t>
            </w:r>
          </w:p>
          <w:p>
            <w:pPr>
              <w:rPr>
                <w:lang w:eastAsia="en-GB"/>
              </w:rPr>
            </w:pPr>
            <w:r>
              <w:rPr>
                <w:b/>
                <w:bCs/>
                <w:lang w:eastAsia="en-GB"/>
              </w:rPr>
              <w:t>Proposal 2: Confirm the working assumption on indication of 16-QAM in uplink from RAN1#105-e.</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before="120" w:beforeLines="5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pPr>
              <w:spacing w:line="276" w:lineRule="auto"/>
              <w:rPr>
                <w:b/>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6]</w:t>
            </w:r>
          </w:p>
        </w:tc>
        <w:tc>
          <w:tcPr>
            <w:tcW w:w="7469" w:type="dxa"/>
          </w:tcPr>
          <w:p>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spacing w:before="120" w:beforeLines="5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rPr>
                <w:b/>
                <w:sz w:val="20"/>
                <w:szCs w:val="20"/>
                <w:lang w:val="en-GB"/>
              </w:rPr>
            </w:pPr>
            <w:r>
              <w:rPr>
                <w:b/>
                <w:sz w:val="20"/>
                <w:szCs w:val="20"/>
                <w:lang w:val="en-GB"/>
              </w:rPr>
              <w:t>Observation 1</w:t>
            </w:r>
            <w:r>
              <w:rPr>
                <w:b/>
                <w:sz w:val="20"/>
                <w:szCs w:val="20"/>
                <w:lang w:val="en-GB"/>
              </w:rPr>
              <w:tab/>
            </w:r>
            <w:r>
              <w:rPr>
                <w:b/>
                <w:sz w:val="20"/>
                <w:szCs w:val="20"/>
                <w:lang w:val="en-GB"/>
              </w:rPr>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pPr>
              <w:rPr>
                <w:b/>
                <w:sz w:val="20"/>
                <w:szCs w:val="20"/>
                <w:lang w:val="en-GB"/>
              </w:rPr>
            </w:pPr>
            <w:r>
              <w:rPr>
                <w:b/>
                <w:sz w:val="20"/>
                <w:szCs w:val="20"/>
                <w:lang w:val="en-GB"/>
              </w:rPr>
              <w:t>Proposal 1</w:t>
            </w:r>
            <w:r>
              <w:rPr>
                <w:b/>
                <w:sz w:val="20"/>
                <w:szCs w:val="20"/>
                <w:lang w:val="en-GB"/>
              </w:rPr>
              <w:tab/>
            </w:r>
            <w:r>
              <w:rPr>
                <w:b/>
                <w:sz w:val="20"/>
                <w:szCs w:val="20"/>
                <w:lang w:val="en-GB"/>
              </w:rPr>
              <w:t>The UE distinguishes the different ranges of TBS indices for “Stand-alone/Guard-band” and “In-band” deployments by re-using the legacy higher layer parameters “operationModeInfo” and “inbandCarrierInfo”.</w:t>
            </w:r>
          </w:p>
          <w:p>
            <w:pPr>
              <w:rPr>
                <w:b/>
                <w:sz w:val="20"/>
                <w:szCs w:val="20"/>
                <w:lang w:val="en-GB"/>
              </w:rPr>
            </w:pPr>
          </w:p>
          <w:p>
            <w:pPr>
              <w:rPr>
                <w:b/>
                <w:sz w:val="20"/>
                <w:szCs w:val="20"/>
                <w:lang w:val="en-GB"/>
              </w:rPr>
            </w:pPr>
            <w:r>
              <w:rPr>
                <w:b/>
                <w:sz w:val="20"/>
                <w:szCs w:val="20"/>
                <w:lang w:val="en-GB"/>
              </w:rPr>
              <w:t>Observation 8</w:t>
            </w:r>
            <w:r>
              <w:rPr>
                <w:b/>
                <w:sz w:val="20"/>
                <w:szCs w:val="20"/>
                <w:lang w:val="en-GB"/>
              </w:rPr>
              <w:tab/>
            </w:r>
            <w:r>
              <w:rPr>
                <w:b/>
                <w:sz w:val="20"/>
                <w:szCs w:val="20"/>
                <w:lang w:val="en-GB"/>
              </w:rPr>
              <w:t>The DCI design agreed for DL can be equally applied for UL, confirming the Working Assumption will allow to have symmetry between UL and DL in terms of DCI design principles.</w:t>
            </w:r>
          </w:p>
          <w:p>
            <w:pPr>
              <w:rPr>
                <w:b/>
                <w:sz w:val="20"/>
                <w:szCs w:val="20"/>
                <w:lang w:val="en-GB"/>
              </w:rPr>
            </w:pPr>
            <w:r>
              <w:rPr>
                <w:b/>
                <w:sz w:val="20"/>
                <w:szCs w:val="20"/>
                <w:lang w:val="en-GB"/>
              </w:rPr>
              <w:t>Proposal 6</w:t>
            </w:r>
            <w:r>
              <w:rPr>
                <w:b/>
                <w:sz w:val="20"/>
                <w:szCs w:val="20"/>
                <w:lang w:val="en-GB"/>
              </w:rPr>
              <w:tab/>
            </w:r>
            <w:r>
              <w:rPr>
                <w:b/>
                <w:sz w:val="20"/>
                <w:szCs w:val="20"/>
                <w:lang w:val="en-GB"/>
              </w:rPr>
              <w:t>Confirm the Working Assumption on the DCI design for 16-QAM in UL:</w:t>
            </w:r>
          </w:p>
          <w:p>
            <w:pPr>
              <w:rPr>
                <w:b/>
                <w:sz w:val="20"/>
                <w:szCs w:val="20"/>
                <w:lang w:val="en-GB"/>
              </w:rPr>
            </w:pPr>
            <w:r>
              <w:rPr>
                <w:b/>
                <w:sz w:val="20"/>
                <w:szCs w:val="20"/>
                <w:lang w:val="en-GB"/>
              </w:rPr>
              <w:t>For the indication of 16-QAM in uplink</w:t>
            </w:r>
          </w:p>
          <w:p>
            <w:pPr>
              <w:rPr>
                <w:b/>
                <w:sz w:val="20"/>
                <w:szCs w:val="20"/>
                <w:lang w:val="en-GB"/>
              </w:rPr>
            </w:pPr>
            <w:r>
              <w:rPr>
                <w:b/>
                <w:sz w:val="20"/>
                <w:szCs w:val="20"/>
                <w:lang w:val="en-GB"/>
              </w:rPr>
              <w:t>-</w:t>
            </w:r>
            <w:r>
              <w:rPr>
                <w:b/>
                <w:sz w:val="20"/>
                <w:szCs w:val="20"/>
                <w:lang w:val="en-GB"/>
              </w:rPr>
              <w:tab/>
            </w:r>
            <w:r>
              <w:rPr>
                <w:b/>
                <w:sz w:val="20"/>
                <w:szCs w:val="20"/>
                <w:lang w:val="en-GB"/>
              </w:rPr>
              <w:t>The “Modulation and coding scheme” field in DCI Format N0 is utilized as in legacy for scheduling QPSK.</w:t>
            </w:r>
          </w:p>
          <w:p>
            <w:pPr>
              <w:rPr>
                <w:b/>
                <w:sz w:val="20"/>
                <w:szCs w:val="20"/>
                <w:lang w:val="en-GB"/>
              </w:rPr>
            </w:pPr>
            <w:r>
              <w:rPr>
                <w:b/>
                <w:sz w:val="20"/>
                <w:szCs w:val="20"/>
                <w:lang w:val="en-GB"/>
              </w:rPr>
              <w:t>-</w:t>
            </w:r>
            <w:r>
              <w:rPr>
                <w:b/>
                <w:sz w:val="20"/>
                <w:szCs w:val="20"/>
                <w:lang w:val="en-GB"/>
              </w:rPr>
              <w:tab/>
            </w:r>
            <w:r>
              <w:rPr>
                <w:b/>
                <w:sz w:val="20"/>
                <w:szCs w:val="20"/>
                <w:lang w:val="en-GB"/>
              </w:rPr>
              <w:t>One reserved state in the “Modulation and coding scheme” field in DCI Format N0 is utilized to indicate the use of 16QAM.</w:t>
            </w:r>
          </w:p>
          <w:p>
            <w:pPr>
              <w:rPr>
                <w:b/>
                <w:sz w:val="20"/>
                <w:szCs w:val="20"/>
                <w:lang w:val="en-GB"/>
              </w:rPr>
            </w:pPr>
            <w:r>
              <w:rPr>
                <w:b/>
                <w:sz w:val="20"/>
                <w:szCs w:val="20"/>
                <w:lang w:val="en-GB"/>
              </w:rPr>
              <w:t>-</w:t>
            </w:r>
            <w:r>
              <w:rPr>
                <w:b/>
                <w:sz w:val="20"/>
                <w:szCs w:val="20"/>
                <w:lang w:val="en-GB"/>
              </w:rPr>
              <w:tab/>
            </w:r>
            <w:r>
              <w:rPr>
                <w:b/>
                <w:sz w:val="20"/>
                <w:szCs w:val="20"/>
                <w:lang w:val="en-GB"/>
              </w:rPr>
              <w:t>The “Repetition number” field in DCI Format N0 is utilized to indicate the TBS indices (i.e., I_TBS indices from 14 to 21) for 16-QAM in UL.</w:t>
            </w:r>
          </w:p>
        </w:tc>
      </w:tr>
    </w:tbl>
    <w:p/>
    <w:p>
      <w:pPr>
        <w:spacing w:line="240" w:lineRule="auto"/>
      </w:pPr>
      <w:r>
        <w:t>Most companies support to confirm the working assumption on indication of 16-QAM in uplink, therefore, the following is proposed:</w:t>
      </w:r>
    </w:p>
    <w:p>
      <w:pPr>
        <w:spacing w:line="240" w:lineRule="auto"/>
      </w:pPr>
      <w:r>
        <w:rPr>
          <w:b/>
        </w:rPr>
        <w:t>Proposal 4: Confirm the working assumption:</w:t>
      </w:r>
    </w:p>
    <w:p>
      <w:pPr>
        <w:autoSpaceDE/>
        <w:autoSpaceDN/>
        <w:adjustRightInd/>
        <w:snapToGrid/>
        <w:spacing w:after="0" w:line="240" w:lineRule="auto"/>
        <w:ind w:left="440" w:leftChars="200"/>
        <w:jc w:val="left"/>
        <w:rPr>
          <w:rFonts w:ascii="Times" w:hAnsi="Times" w:eastAsia="Batang"/>
          <w:sz w:val="20"/>
          <w:szCs w:val="24"/>
          <w:highlight w:val="darkYellow"/>
          <w:lang w:val="en-GB"/>
        </w:rPr>
      </w:pPr>
      <w:r>
        <w:rPr>
          <w:rFonts w:ascii="Times" w:hAnsi="Times" w:eastAsia="Batang"/>
          <w:sz w:val="20"/>
          <w:szCs w:val="24"/>
          <w:highlight w:val="darkYellow"/>
          <w:lang w:val="en-GB"/>
        </w:rPr>
        <w:t>Working Assumption</w:t>
      </w:r>
    </w:p>
    <w:p>
      <w:pPr>
        <w:autoSpaceDE/>
        <w:autoSpaceDN/>
        <w:adjustRightInd/>
        <w:snapToGrid/>
        <w:spacing w:after="0" w:line="240" w:lineRule="auto"/>
        <w:ind w:left="440" w:leftChars="200"/>
        <w:jc w:val="left"/>
        <w:rPr>
          <w:rFonts w:ascii="Times" w:hAnsi="Times" w:eastAsia="Batang"/>
          <w:sz w:val="20"/>
          <w:szCs w:val="24"/>
          <w:lang w:val="en-GB" w:eastAsia="zh-CN"/>
        </w:rPr>
      </w:pPr>
      <w:r>
        <w:rPr>
          <w:rFonts w:ascii="Times" w:hAnsi="Times" w:eastAsia="Batang"/>
          <w:sz w:val="20"/>
          <w:szCs w:val="24"/>
          <w:lang w:val="en-GB"/>
        </w:rPr>
        <w:t>For the indication of 16-QAM in uplink</w:t>
      </w:r>
    </w:p>
    <w:p>
      <w:pPr>
        <w:numPr>
          <w:ilvl w:val="0"/>
          <w:numId w:val="16"/>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pPr>
        <w:numPr>
          <w:ilvl w:val="0"/>
          <w:numId w:val="16"/>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pPr>
        <w:numPr>
          <w:ilvl w:val="0"/>
          <w:numId w:val="16"/>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rFonts w:ascii="Times" w:hAnsi="Times" w:eastAsia="Batang"/>
          <w:sz w:val="20"/>
          <w:szCs w:val="24"/>
          <w:lang w:val="en-GB"/>
        </w:rPr>
        <w:t>The “Repetition number” field in DCI Format N0 is utilized to indicate the TBS indices (i.e., I_TBS indices from 14 to 21) for 16-QAM in UL.</w:t>
      </w:r>
    </w:p>
    <w:p>
      <w:pPr>
        <w:spacing w:line="240" w:lineRule="auto"/>
      </w:pPr>
    </w:p>
    <w:p>
      <w:pPr>
        <w:spacing w:line="240" w:lineRule="auto"/>
      </w:pPr>
      <w:r>
        <w:t>On the FFS relating to distinguishing of deployments, companies proposed to reuse legacy signaling operationModeInfo in MIB and inbandCarrierInfo in SIB for the UE to distinguish the deployments. Therefore, the following is proposed:</w:t>
      </w:r>
    </w:p>
    <w:p>
      <w:pPr>
        <w:spacing w:line="240" w:lineRule="auto"/>
        <w:rPr>
          <w:b/>
        </w:rPr>
      </w:pPr>
      <w:r>
        <w:rPr>
          <w:b/>
        </w:rPr>
        <w:t xml:space="preserve">Proposal 5: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pPr>
        <w:spacing w:line="240" w:lineRule="auto"/>
      </w:pPr>
    </w:p>
    <w:p>
      <w:pPr>
        <w:spacing w:line="240" w:lineRule="auto"/>
      </w:pPr>
      <w:r>
        <w:rPr>
          <w:rFonts w:hint="eastAsia"/>
        </w:rPr>
        <w:t>P</w:t>
      </w:r>
      <w:r>
        <w:t>lease input your preference and comments to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fine with proposal 4 and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5"/>
              </w:numPr>
            </w:pPr>
            <w:r>
              <w:t>Proposal 4: Ok with confirming the WA.</w:t>
            </w:r>
          </w:p>
          <w:p>
            <w:pPr>
              <w:pStyle w:val="66"/>
              <w:numPr>
                <w:ilvl w:val="0"/>
                <w:numId w:val="15"/>
              </w:numPr>
            </w:pPr>
            <w:r>
              <w:t>Proposal 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r>
              <w:rPr>
                <w:b/>
                <w:i/>
              </w:rPr>
              <w:t>operationModeInfo</w:t>
            </w:r>
            <w:r>
              <w:rPr>
                <w:b/>
              </w:rPr>
              <w:t xml:space="preserve"> in MIB or </w:t>
            </w:r>
            <w:r>
              <w:rPr>
                <w:b/>
                <w:i/>
              </w:rPr>
              <w:t>inbandCarrierInfo</w:t>
            </w:r>
            <w:r>
              <w:rPr>
                <w:b/>
              </w:rPr>
              <w:t xml:space="preserve"> in SIB</w:t>
            </w:r>
            <w:r>
              <w:rPr>
                <w:szCs w:val="20"/>
                <w:lang w:eastAsia="zh-CN"/>
              </w:rPr>
              <w:t xml:space="preserve"> from Rel.13, why do we need the new proposal?</w:t>
            </w:r>
          </w:p>
          <w:p>
            <w:pPr>
              <w:rPr>
                <w:szCs w:val="20"/>
                <w:lang w:eastAsia="zh-CN"/>
              </w:rPr>
            </w:pPr>
            <w:r>
              <w:rPr>
                <w:szCs w:val="20"/>
                <w:lang w:eastAsia="zh-CN"/>
              </w:rPr>
              <w:t xml:space="preserve">Do we want to clarify the </w:t>
            </w:r>
            <w:r>
              <w:rPr>
                <w:b/>
              </w:rPr>
              <w:t>16-QAM for NPDSCH is supported in non-anchor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Ok with proposal4.for proposal5, might be modified like this: </w:t>
            </w:r>
          </w:p>
          <w:p>
            <w:pPr>
              <w:rPr>
                <w:b/>
                <w:sz w:val="20"/>
                <w:szCs w:val="20"/>
              </w:rPr>
            </w:pPr>
            <w:r>
              <w:rPr>
                <w:b/>
              </w:rPr>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r>
              <w:rPr>
                <w:b/>
                <w:i/>
              </w:rPr>
              <w:t>operationModeInfo</w:t>
            </w:r>
            <w:r>
              <w:rPr>
                <w:b/>
              </w:rPr>
              <w:t xml:space="preserve"> in MIB or </w:t>
            </w:r>
            <w:r>
              <w:rPr>
                <w:b/>
                <w:i/>
              </w:rPr>
              <w:t>inbandCarrierInfo</w:t>
            </w:r>
            <w:r>
              <w:rPr>
                <w:b/>
              </w:rPr>
              <w:t xml:space="preserve"> in SIB.</w:t>
            </w:r>
            <w:r>
              <w:rPr>
                <w:b/>
                <w:sz w:val="20"/>
                <w:szCs w:val="20"/>
              </w:rPr>
              <w:t xml:space="preserve"> </w:t>
            </w:r>
          </w:p>
          <w:p>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pPr>
              <w:rPr>
                <w:szCs w:val="20"/>
                <w:lang w:eastAsia="zh-CN"/>
              </w:rPr>
            </w:pP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For Proposal 4, we should wait for the conclusion of uplink power control, since the reserved DCI bits under this work assumption would be not enough if dynamic TPC command is supported.</w:t>
            </w:r>
          </w:p>
          <w:p>
            <w:pPr>
              <w:rPr>
                <w:b/>
              </w:rPr>
            </w:pPr>
            <w:r>
              <w:rPr>
                <w:rFonts w:hint="eastAsia"/>
                <w:szCs w:val="20"/>
                <w:lang w:eastAsia="zh-CN"/>
              </w:rPr>
              <w:t xml:space="preserve">Agree with Proposal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agree with proposal 4. Proposal 5 seems unnecessary (it should be clear by now how the operation mode is signaled).</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bCs/>
                <w:lang w:eastAsia="zh-CN"/>
              </w:rPr>
            </w:pPr>
            <w:r>
              <w:rPr>
                <w:b/>
                <w:bCs/>
                <w:lang w:eastAsia="zh-CN"/>
              </w:rPr>
              <w:t>Proposal 6: The working assumption for DL power allocation to support 16QAM for guard-band and standalone deployments should be confirmed.</w:t>
            </w:r>
          </w:p>
          <w:p>
            <w:pPr>
              <w:rPr>
                <w:b/>
                <w:highlight w:val="darkYellow"/>
              </w:rPr>
            </w:pPr>
            <w:r>
              <w:rPr>
                <w:b/>
                <w:highlight w:val="darkYellow"/>
              </w:rPr>
              <w:t>Working Assumption</w:t>
            </w:r>
          </w:p>
          <w:p>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pPr>
              <w:numPr>
                <w:ilvl w:val="0"/>
                <w:numId w:val="22"/>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pPr>
              <w:numPr>
                <w:ilvl w:val="1"/>
                <w:numId w:val="22"/>
              </w:numPr>
              <w:autoSpaceDE/>
              <w:autoSpaceDN/>
              <w:adjustRightInd/>
              <w:snapToGrid/>
              <w:spacing w:after="0"/>
              <w:jc w:val="left"/>
              <w:rPr>
                <w:rFonts w:eastAsia="Batang"/>
                <w:bCs/>
                <w:lang w:val="en-GB" w:eastAsia="zh-CN"/>
              </w:rPr>
            </w:pPr>
            <w:r>
              <w:rPr>
                <w:rFonts w:eastAsia="Batang"/>
                <w:bCs/>
                <w:lang w:val="en-GB" w:eastAsia="zh-CN"/>
              </w:rPr>
              <w:t>One power ratio is signaled optionally</w:t>
            </w:r>
          </w:p>
          <w:p>
            <w:pPr>
              <w:numPr>
                <w:ilvl w:val="2"/>
                <w:numId w:val="22"/>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pPr>
              <w:numPr>
                <w:ilvl w:val="1"/>
                <w:numId w:val="22"/>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pPr>
              <w:numPr>
                <w:ilvl w:val="1"/>
                <w:numId w:val="22"/>
              </w:numPr>
              <w:autoSpaceDE/>
              <w:autoSpaceDN/>
              <w:adjustRightInd/>
              <w:snapToGrid/>
              <w:spacing w:after="0"/>
              <w:jc w:val="left"/>
              <w:rPr>
                <w:rFonts w:eastAsia="Batang"/>
                <w:bCs/>
                <w:lang w:val="en-GB" w:eastAsia="zh-CN"/>
              </w:rPr>
            </w:pPr>
            <w:r>
              <w:rPr>
                <w:rFonts w:eastAsia="Batang"/>
                <w:bCs/>
                <w:lang w:val="en-GB" w:eastAsia="zh-CN"/>
              </w:rPr>
              <w:t>If the signaling is not indicated, the legacy power allocation is used.</w:t>
            </w:r>
          </w:p>
          <w:p>
            <w:pPr>
              <w:numPr>
                <w:ilvl w:val="2"/>
                <w:numId w:val="22"/>
              </w:numPr>
              <w:autoSpaceDE/>
              <w:autoSpaceDN/>
              <w:adjustRightInd/>
              <w:snapToGrid/>
              <w:spacing w:after="0"/>
              <w:jc w:val="left"/>
              <w:rPr>
                <w:rFonts w:eastAsia="Batang"/>
                <w:bCs/>
                <w:lang w:val="en-GB" w:eastAsia="zh-CN"/>
              </w:rPr>
            </w:pPr>
            <w:r>
              <w:rPr>
                <w:rFonts w:eastAsia="Batang"/>
                <w:bCs/>
                <w:lang w:val="en-GB" w:eastAsia="zh-CN"/>
              </w:rPr>
              <w:t>i.e., the ratio of NPDSCH EPRE to NRS EPRE is 0dB for one NRS antenna port, and -3dB for two NRS antenna ports</w:t>
            </w:r>
          </w:p>
          <w:p>
            <w:pPr>
              <w:numPr>
                <w:ilvl w:val="0"/>
                <w:numId w:val="22"/>
              </w:numPr>
              <w:autoSpaceDE/>
              <w:autoSpaceDN/>
              <w:adjustRightInd/>
              <w:snapToGrid/>
              <w:spacing w:after="0"/>
              <w:jc w:val="left"/>
              <w:rPr>
                <w:rFonts w:eastAsia="Batang"/>
                <w:bCs/>
                <w:lang w:val="en-GB" w:eastAsia="zh-CN"/>
              </w:rPr>
            </w:pPr>
            <w:r>
              <w:rPr>
                <w:rFonts w:eastAsia="Batang"/>
                <w:bCs/>
                <w:lang w:val="en-GB" w:eastAsia="zh-CN"/>
              </w:rPr>
              <w:t>UE specific signaling is used</w:t>
            </w:r>
          </w:p>
          <w:p>
            <w:pPr>
              <w:rPr>
                <w:b/>
                <w:bCs/>
                <w:szCs w:val="21"/>
                <w:lang w:eastAsia="zh-CN"/>
              </w:rPr>
            </w:pPr>
            <w:r>
              <w:rPr>
                <w:b/>
                <w:bCs/>
                <w:szCs w:val="21"/>
                <w:lang w:eastAsia="zh-CN"/>
              </w:rPr>
              <w:t>Proposal 7: Support Alt-2 for in-band deployments in the DL power allocation signaling.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rPr>
            </w:pPr>
            <w:r>
              <w:rPr>
                <w:b/>
                <w:bCs/>
              </w:rPr>
              <w:t xml:space="preserve">Proposal 6: Confirm the working assumption on DL power allocation for stand-alone and guard-band deployments from RAN1#105-e. </w:t>
            </w:r>
          </w:p>
          <w:p>
            <w:pPr>
              <w:rPr>
                <w:b/>
                <w:bCs/>
              </w:rPr>
            </w:pPr>
            <w:r>
              <w:rPr>
                <w:b/>
                <w:bCs/>
              </w:rPr>
              <w:t xml:space="preserve">Proposal 7: For in-band deployment, select Alt 1 - the existing parameter nrs-CRS-PowerOffset is reused for same PCI case, and is signaled for different PCI case. </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4]</w:t>
            </w:r>
          </w:p>
        </w:tc>
        <w:tc>
          <w:tcPr>
            <w:tcW w:w="7469" w:type="dxa"/>
          </w:tcPr>
          <w:p>
            <w:pPr>
              <w:rPr>
                <w:b/>
                <w:bCs/>
              </w:rPr>
            </w:pPr>
            <w:r>
              <w:rPr>
                <w:b/>
                <w:bCs/>
                <w:u w:val="single"/>
              </w:rPr>
              <w:t>Proposal 2:</w:t>
            </w:r>
            <w:r>
              <w:t xml:space="preserve"> </w:t>
            </w:r>
            <w:r>
              <w:rPr>
                <w:b/>
                <w:bCs/>
              </w:rPr>
              <w:t>Confirm the following working assumption:</w:t>
            </w:r>
          </w:p>
          <w:p>
            <w:pPr>
              <w:pStyle w:val="28"/>
              <w:spacing w:after="0"/>
              <w:ind w:left="360"/>
              <w:rPr>
                <w:rFonts w:ascii="Times" w:hAnsi="Times" w:cs="Times"/>
              </w:rPr>
            </w:pPr>
            <w:r>
              <w:rPr>
                <w:rFonts w:ascii="Times" w:hAnsi="Times" w:cs="Times"/>
              </w:rPr>
              <w:t>For downlink power allocation to support 16QAM:</w:t>
            </w:r>
          </w:p>
          <w:p>
            <w:pPr>
              <w:pStyle w:val="66"/>
              <w:numPr>
                <w:ilvl w:val="0"/>
                <w:numId w:val="17"/>
              </w:numPr>
              <w:spacing w:line="240" w:lineRule="auto"/>
              <w:ind w:left="1080"/>
              <w:rPr>
                <w:rFonts w:cs="Times"/>
                <w:b/>
                <w:bCs/>
              </w:rPr>
            </w:pPr>
            <w:r>
              <w:rPr>
                <w:rFonts w:cs="Times"/>
                <w:b/>
                <w:bCs/>
              </w:rPr>
              <w:t>For standalone and guard-band deployments:</w:t>
            </w:r>
          </w:p>
          <w:p>
            <w:pPr>
              <w:pStyle w:val="66"/>
              <w:numPr>
                <w:ilvl w:val="1"/>
                <w:numId w:val="17"/>
              </w:numPr>
              <w:spacing w:line="240" w:lineRule="auto"/>
              <w:ind w:left="1800"/>
              <w:rPr>
                <w:rFonts w:cs="Times"/>
                <w:b/>
                <w:bCs/>
              </w:rPr>
            </w:pPr>
            <w:r>
              <w:rPr>
                <w:rFonts w:cs="Times"/>
                <w:b/>
                <w:bCs/>
              </w:rPr>
              <w:t>One power ratio is signaled optionally</w:t>
            </w:r>
          </w:p>
          <w:p>
            <w:pPr>
              <w:pStyle w:val="66"/>
              <w:numPr>
                <w:ilvl w:val="2"/>
                <w:numId w:val="17"/>
              </w:numPr>
              <w:spacing w:line="240" w:lineRule="auto"/>
              <w:ind w:left="2520"/>
              <w:rPr>
                <w:rFonts w:cs="Times"/>
                <w:b/>
                <w:bCs/>
              </w:rPr>
            </w:pPr>
            <w:r>
              <w:rPr>
                <w:rFonts w:cs="Times"/>
                <w:b/>
                <w:bCs/>
              </w:rPr>
              <w:t>NPDSCH EPRE to NRS EPRE in symbols without NRS</w:t>
            </w:r>
          </w:p>
          <w:p>
            <w:pPr>
              <w:pStyle w:val="66"/>
              <w:numPr>
                <w:ilvl w:val="1"/>
                <w:numId w:val="17"/>
              </w:numPr>
              <w:spacing w:line="240" w:lineRule="auto"/>
              <w:ind w:left="1800"/>
              <w:rPr>
                <w:rFonts w:cs="Times"/>
                <w:b/>
                <w:bCs/>
              </w:rPr>
            </w:pPr>
            <w:r>
              <w:rPr>
                <w:rFonts w:cs="Times"/>
                <w:b/>
                <w:bCs/>
              </w:rPr>
              <w:t>The same transmit power is assumed across different symbols.</w:t>
            </w:r>
          </w:p>
          <w:p>
            <w:pPr>
              <w:pStyle w:val="66"/>
              <w:numPr>
                <w:ilvl w:val="1"/>
                <w:numId w:val="17"/>
              </w:numPr>
              <w:spacing w:line="240" w:lineRule="auto"/>
              <w:ind w:left="1800"/>
              <w:rPr>
                <w:rFonts w:cs="Times"/>
                <w:b/>
                <w:bCs/>
              </w:rPr>
            </w:pPr>
            <w:r>
              <w:rPr>
                <w:rFonts w:cs="Times"/>
                <w:b/>
                <w:bCs/>
              </w:rPr>
              <w:t>If the signalling is not indicated, the legacy power allocation is used.</w:t>
            </w:r>
          </w:p>
          <w:p>
            <w:pPr>
              <w:pStyle w:val="66"/>
              <w:numPr>
                <w:ilvl w:val="2"/>
                <w:numId w:val="17"/>
              </w:numPr>
              <w:spacing w:line="240" w:lineRule="auto"/>
              <w:ind w:left="2520"/>
              <w:rPr>
                <w:rFonts w:cs="Times"/>
                <w:b/>
                <w:bCs/>
              </w:rPr>
            </w:pPr>
            <w:r>
              <w:rPr>
                <w:rFonts w:cs="Times"/>
                <w:b/>
                <w:bCs/>
              </w:rPr>
              <w:t>i.e., the ratio of NPDSCH EPRE to NRS EPRE is 0dB for one NRS antenna port, and -3dB for two NRS antenna ports</w:t>
            </w:r>
          </w:p>
          <w:p>
            <w:pPr>
              <w:pStyle w:val="66"/>
              <w:numPr>
                <w:ilvl w:val="0"/>
                <w:numId w:val="17"/>
              </w:numPr>
              <w:spacing w:line="240" w:lineRule="auto"/>
              <w:ind w:left="1080"/>
              <w:rPr>
                <w:rFonts w:cs="Times"/>
                <w:b/>
                <w:bCs/>
              </w:rPr>
            </w:pPr>
            <w:r>
              <w:rPr>
                <w:rFonts w:cs="Times"/>
                <w:b/>
                <w:bCs/>
              </w:rPr>
              <w:t>UE specific signalling is used</w:t>
            </w:r>
          </w:p>
          <w:p>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pPr>
              <w:numPr>
                <w:ilvl w:val="1"/>
                <w:numId w:val="23"/>
              </w:numPr>
              <w:autoSpaceDE/>
              <w:autoSpaceDN/>
              <w:adjustRightInd/>
              <w:snapToGrid/>
              <w:spacing w:after="0" w:line="240" w:lineRule="auto"/>
              <w:jc w:val="left"/>
              <w:rPr>
                <w:rFonts w:cs="Times"/>
                <w:b/>
                <w:bCs/>
                <w:lang w:eastAsia="zh-CN"/>
              </w:rPr>
            </w:pPr>
            <w:r>
              <w:rPr>
                <w:rFonts w:cs="Times"/>
                <w:b/>
                <w:bCs/>
                <w:lang w:eastAsia="zh-CN"/>
              </w:rPr>
              <w:t xml:space="preserve">Alt 2: </w:t>
            </w:r>
          </w:p>
          <w:p>
            <w:pPr>
              <w:numPr>
                <w:ilvl w:val="2"/>
                <w:numId w:val="23"/>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pPr>
              <w:spacing w:after="0"/>
              <w:ind w:left="2160"/>
              <w:rPr>
                <w:b/>
                <w:bCs/>
                <w:lang w:eastAsia="zh-CN"/>
              </w:rPr>
            </w:pPr>
          </w:p>
          <w:p>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pPr>
              <w:rPr>
                <w:b/>
                <w:bCs/>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before="120" w:beforeLines="5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pPr>
              <w:spacing w:before="120" w:beforeLines="5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inband deployment. </w:t>
            </w:r>
            <w:r>
              <w:rPr>
                <w:b/>
                <w:bCs/>
                <w:i/>
                <w:sz w:val="20"/>
                <w:szCs w:val="20"/>
              </w:rPr>
              <w:t xml:space="preserve"> </w:t>
            </w:r>
          </w:p>
          <w:p>
            <w:pPr>
              <w:spacing w:after="0"/>
              <w:jc w:val="left"/>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spacing w:before="120" w:beforeLines="50" w:afterLines="50"/>
              <w:rPr>
                <w:b/>
                <w:i/>
                <w:sz w:val="20"/>
                <w:szCs w:val="20"/>
                <w:lang w:eastAsia="zh-CN"/>
              </w:rPr>
            </w:pPr>
            <w:r>
              <w:rPr>
                <w:b/>
                <w:i/>
                <w:sz w:val="20"/>
                <w:szCs w:val="20"/>
                <w:lang w:eastAsia="zh-CN"/>
              </w:rPr>
              <w:t>Proposal 3: Confirm the working assumption for DL power allocation for standalone/guardband case.</w:t>
            </w:r>
          </w:p>
          <w:p>
            <w:pPr>
              <w:spacing w:before="120" w:beforeLines="50" w:afterLines="50"/>
              <w:rPr>
                <w:b/>
                <w:i/>
                <w:sz w:val="20"/>
                <w:szCs w:val="20"/>
                <w:lang w:eastAsia="zh-CN"/>
              </w:rPr>
            </w:pPr>
            <w:r>
              <w:rPr>
                <w:b/>
                <w:i/>
                <w:sz w:val="20"/>
                <w:szCs w:val="20"/>
                <w:lang w:eastAsia="zh-CN"/>
              </w:rPr>
              <w:t>Proposal 4: To indicate the DL power allocation for inband case, the existing parameter nrs-CRS-PowerOffset is reused for same PCI case, and is signaled for different PCI case.</w:t>
            </w:r>
          </w:p>
          <w:p>
            <w:pPr>
              <w:overflowPunct w:val="0"/>
              <w:spacing w:after="180"/>
              <w:contextualSpacing/>
              <w:jc w:val="left"/>
              <w:textAlignment w:val="baseline"/>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overflowPunct w:val="0"/>
              <w:spacing w:after="180"/>
              <w:contextualSpacing/>
              <w:jc w:val="left"/>
              <w:textAlignment w:val="baseline"/>
              <w:rPr>
                <w:b/>
                <w:bCs/>
                <w:lang w:val="en-GB"/>
              </w:rPr>
            </w:pPr>
            <w:r>
              <w:rPr>
                <w:b/>
                <w:bCs/>
                <w:lang w:val="en-GB"/>
              </w:rPr>
              <w:t>Proposal 4</w:t>
            </w:r>
            <w:r>
              <w:rPr>
                <w:b/>
                <w:bCs/>
                <w:lang w:val="en-GB"/>
              </w:rPr>
              <w:tab/>
            </w:r>
            <w:r>
              <w:rPr>
                <w:b/>
                <w:bCs/>
                <w:lang w:val="en-GB"/>
              </w:rPr>
              <w:t>Confirm the Working Assumption for the downlink power allocation to support 16-QAM in Stand-alone and Guard-band deployments.</w:t>
            </w:r>
          </w:p>
          <w:p>
            <w:pPr>
              <w:overflowPunct w:val="0"/>
              <w:spacing w:after="180"/>
              <w:contextualSpacing/>
              <w:jc w:val="left"/>
              <w:textAlignment w:val="baseline"/>
              <w:rPr>
                <w:b/>
                <w:bCs/>
                <w:lang w:val="en-GB"/>
              </w:rPr>
            </w:pPr>
            <w:r>
              <w:rPr>
                <w:b/>
                <w:bCs/>
                <w:lang w:val="en-GB"/>
              </w:rPr>
              <w:t>Observation 6</w:t>
            </w:r>
            <w:r>
              <w:rPr>
                <w:b/>
                <w:bCs/>
                <w:lang w:val="en-GB"/>
              </w:rPr>
              <w:tab/>
            </w:r>
            <w:r>
              <w:rPr>
                <w:b/>
                <w:bCs/>
                <w:lang w:val="en-GB"/>
              </w:rPr>
              <w:t>For the downlink power allocation to support 16-QAM in “In-band deployments”, Alt-2 is not different in terms of complexity, specification impact and nature than what is under Working Assumption for Stand-alone and Guard-band deployments.</w:t>
            </w:r>
          </w:p>
          <w:p>
            <w:pPr>
              <w:overflowPunct w:val="0"/>
              <w:spacing w:after="180"/>
              <w:contextualSpacing/>
              <w:jc w:val="left"/>
              <w:textAlignment w:val="baseline"/>
              <w:rPr>
                <w:b/>
                <w:bCs/>
                <w:lang w:val="en-GB"/>
              </w:rPr>
            </w:pPr>
            <w:r>
              <w:rPr>
                <w:b/>
                <w:bCs/>
                <w:lang w:val="en-GB"/>
              </w:rPr>
              <w:t>Observation 7</w:t>
            </w:r>
            <w:r>
              <w:rPr>
                <w:b/>
                <w:bCs/>
                <w:lang w:val="en-GB"/>
              </w:rPr>
              <w:tab/>
            </w:r>
            <w:r>
              <w:rPr>
                <w:b/>
                <w:bCs/>
                <w:lang w:val="en-GB"/>
              </w:rPr>
              <w:t>For the downlink power allocation to support 16-QAM in “In-band deployments”, Alt-2 is usable regardless of the PCI case. With Alt-2, all deployment modes will all use the same DL power allocation framework based on signalling power ratios.</w:t>
            </w:r>
          </w:p>
          <w:p>
            <w:pPr>
              <w:overflowPunct w:val="0"/>
              <w:spacing w:after="180"/>
              <w:contextualSpacing/>
              <w:jc w:val="left"/>
              <w:textAlignment w:val="baseline"/>
              <w:rPr>
                <w:b/>
                <w:bCs/>
                <w:lang w:val="en-GB"/>
              </w:rPr>
            </w:pPr>
            <w:r>
              <w:rPr>
                <w:b/>
                <w:bCs/>
                <w:lang w:val="en-GB"/>
              </w:rPr>
              <w:t>Proposal 5</w:t>
            </w:r>
            <w:r>
              <w:rPr>
                <w:b/>
                <w:bCs/>
                <w:lang w:val="en-GB"/>
              </w:rPr>
              <w:tab/>
            </w:r>
            <w:r>
              <w:rPr>
                <w:b/>
                <w:bCs/>
                <w:lang w:val="en-GB"/>
              </w:rPr>
              <w:t>For the downlink power allocation to support 16-QAM in “In-band deployments”, Alt-2 is selected:</w:t>
            </w:r>
          </w:p>
          <w:p>
            <w:pPr>
              <w:overflowPunct w:val="0"/>
              <w:spacing w:after="180"/>
              <w:ind w:left="440" w:leftChars="200"/>
              <w:contextualSpacing/>
              <w:jc w:val="left"/>
              <w:textAlignment w:val="baseline"/>
              <w:rPr>
                <w:b/>
                <w:bCs/>
                <w:lang w:val="en-GB"/>
              </w:rPr>
            </w:pPr>
            <w:r>
              <w:rPr>
                <w:rFonts w:hint="eastAsia"/>
                <w:b/>
                <w:bCs/>
                <w:lang w:val="en-GB"/>
              </w:rPr>
              <w:t>•</w:t>
            </w:r>
            <w:r>
              <w:rPr>
                <w:b/>
                <w:bCs/>
                <w:lang w:val="en-GB"/>
              </w:rPr>
              <w:tab/>
            </w:r>
            <w:r>
              <w:rPr>
                <w:b/>
                <w:bCs/>
                <w:lang w:val="en-GB"/>
              </w:rPr>
              <w:t>The power ratio between NPDSCH EPRE and NRS EPRE in symbols with CRS is signaled.</w:t>
            </w:r>
          </w:p>
          <w:p>
            <w:pPr>
              <w:overflowPunct w:val="0"/>
              <w:spacing w:after="180"/>
              <w:ind w:left="440" w:leftChars="200"/>
              <w:contextualSpacing/>
              <w:jc w:val="left"/>
              <w:textAlignment w:val="baseline"/>
              <w:rPr>
                <w:b/>
                <w:bCs/>
                <w:u w:val="single"/>
                <w:lang w:val="en-GB"/>
              </w:rPr>
            </w:pPr>
            <w:r>
              <w:rPr>
                <w:rFonts w:hint="eastAsia"/>
                <w:b/>
                <w:bCs/>
                <w:lang w:val="en-GB"/>
              </w:rPr>
              <w:t>•</w:t>
            </w:r>
            <w:r>
              <w:rPr>
                <w:b/>
                <w:bCs/>
                <w:lang w:val="en-GB"/>
              </w:rPr>
              <w:tab/>
            </w:r>
            <w:r>
              <w:rPr>
                <w:b/>
                <w:bCs/>
                <w:lang w:val="en-GB"/>
              </w:rPr>
              <w:t>UE specific signaling is used</w:t>
            </w:r>
          </w:p>
        </w:tc>
      </w:tr>
    </w:tbl>
    <w:p/>
    <w:p>
      <w:r>
        <w:t>On the working assumption of power allocation for standalone and guardband deployments, most companies propose to confirm it. Therefore, the following is proposed:</w:t>
      </w:r>
    </w:p>
    <w:p>
      <w:pPr>
        <w:rPr>
          <w:b/>
        </w:rPr>
      </w:pPr>
      <w:r>
        <w:rPr>
          <w:b/>
        </w:rPr>
        <w:t>Proposal 6: Confirm the following working assumption:</w:t>
      </w:r>
    </w:p>
    <w:p>
      <w:pPr>
        <w:overflowPunct w:val="0"/>
        <w:snapToGrid/>
        <w:spacing w:after="0" w:line="240" w:lineRule="auto"/>
        <w:ind w:left="440" w:leftChars="200"/>
        <w:jc w:val="left"/>
        <w:textAlignment w:val="baseline"/>
        <w:rPr>
          <w:rFonts w:ascii="Times" w:hAnsi="Times" w:eastAsia="Times New Roman" w:cs="Times"/>
          <w:sz w:val="20"/>
          <w:szCs w:val="20"/>
          <w:highlight w:val="darkYellow"/>
          <w:lang w:val="en-GB" w:eastAsia="en-GB"/>
        </w:rPr>
      </w:pPr>
      <w:r>
        <w:rPr>
          <w:rFonts w:ascii="Times" w:hAnsi="Times" w:eastAsia="Times New Roman" w:cs="Times"/>
          <w:sz w:val="20"/>
          <w:szCs w:val="20"/>
          <w:highlight w:val="darkYellow"/>
          <w:lang w:val="en-GB" w:eastAsia="en-GB"/>
        </w:rPr>
        <w:t>Working Assumption</w:t>
      </w:r>
    </w:p>
    <w:p>
      <w:pPr>
        <w:overflowPunct w:val="0"/>
        <w:snapToGrid/>
        <w:spacing w:after="0" w:line="240" w:lineRule="auto"/>
        <w:ind w:left="440" w:leftChars="2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For downlink power allocation to support 16QAM:</w:t>
      </w:r>
    </w:p>
    <w:p>
      <w:pPr>
        <w:numPr>
          <w:ilvl w:val="0"/>
          <w:numId w:val="17"/>
        </w:numPr>
        <w:autoSpaceDE/>
        <w:autoSpaceDN/>
        <w:adjustRightInd/>
        <w:snapToGrid/>
        <w:spacing w:after="0" w:line="240" w:lineRule="auto"/>
        <w:ind w:left="801" w:leftChars="364"/>
        <w:jc w:val="left"/>
        <w:rPr>
          <w:rFonts w:cs="Times"/>
          <w:sz w:val="20"/>
          <w:szCs w:val="20"/>
          <w:lang w:val="en-GB" w:eastAsia="ja-JP"/>
        </w:rPr>
      </w:pPr>
      <w:r>
        <w:rPr>
          <w:rFonts w:cs="Times"/>
          <w:sz w:val="20"/>
          <w:szCs w:val="20"/>
          <w:lang w:val="en-GB" w:eastAsia="ja-JP"/>
        </w:rPr>
        <w:t>For standalone and guard-band deployments:</w:t>
      </w:r>
    </w:p>
    <w:p>
      <w:pPr>
        <w:numPr>
          <w:ilvl w:val="1"/>
          <w:numId w:val="17"/>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One power ratio is signaled optionally</w:t>
      </w:r>
    </w:p>
    <w:p>
      <w:pPr>
        <w:numPr>
          <w:ilvl w:val="2"/>
          <w:numId w:val="17"/>
        </w:numPr>
        <w:autoSpaceDE/>
        <w:autoSpaceDN/>
        <w:adjustRightInd/>
        <w:snapToGrid/>
        <w:spacing w:after="0" w:line="240" w:lineRule="auto"/>
        <w:ind w:left="2240" w:leftChars="1018"/>
        <w:jc w:val="left"/>
        <w:rPr>
          <w:rFonts w:cs="Times"/>
          <w:sz w:val="20"/>
          <w:szCs w:val="20"/>
          <w:lang w:val="en-GB" w:eastAsia="ja-JP"/>
        </w:rPr>
      </w:pPr>
      <w:r>
        <w:rPr>
          <w:rFonts w:cs="Times"/>
          <w:sz w:val="20"/>
          <w:szCs w:val="20"/>
          <w:lang w:val="en-GB" w:eastAsia="ja-JP"/>
        </w:rPr>
        <w:t>NPDSCH EPRE to NRS EPRE in symbols without NRS</w:t>
      </w:r>
    </w:p>
    <w:p>
      <w:pPr>
        <w:numPr>
          <w:ilvl w:val="1"/>
          <w:numId w:val="17"/>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The same transmit power is assumed across different symbols.</w:t>
      </w:r>
    </w:p>
    <w:p>
      <w:pPr>
        <w:numPr>
          <w:ilvl w:val="1"/>
          <w:numId w:val="17"/>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If the signalling is not indicated, the legacy power allocation is used.</w:t>
      </w:r>
    </w:p>
    <w:p>
      <w:pPr>
        <w:numPr>
          <w:ilvl w:val="2"/>
          <w:numId w:val="17"/>
        </w:numPr>
        <w:autoSpaceDE/>
        <w:autoSpaceDN/>
        <w:adjustRightInd/>
        <w:snapToGrid/>
        <w:spacing w:after="0" w:line="240" w:lineRule="auto"/>
        <w:ind w:left="2240" w:leftChars="1018"/>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pPr>
        <w:numPr>
          <w:ilvl w:val="0"/>
          <w:numId w:val="17"/>
        </w:numPr>
        <w:autoSpaceDE/>
        <w:autoSpaceDN/>
        <w:adjustRightInd/>
        <w:snapToGrid/>
        <w:spacing w:after="0" w:line="240" w:lineRule="auto"/>
        <w:ind w:left="801" w:leftChars="364"/>
        <w:jc w:val="left"/>
        <w:rPr>
          <w:rFonts w:cs="Times"/>
          <w:sz w:val="20"/>
          <w:szCs w:val="20"/>
          <w:lang w:val="en-GB" w:eastAsia="ja-JP"/>
        </w:rPr>
      </w:pPr>
      <w:r>
        <w:rPr>
          <w:rFonts w:cs="Times"/>
          <w:sz w:val="20"/>
          <w:szCs w:val="20"/>
          <w:lang w:val="en-GB" w:eastAsia="ja-JP"/>
        </w:rPr>
        <w:t>UE specific signalling is used</w:t>
      </w:r>
    </w:p>
    <w:p/>
    <w:p>
      <w:pPr>
        <w:spacing w:line="240" w:lineRule="auto"/>
      </w:pPr>
      <w:r>
        <w:t>F</w:t>
      </w:r>
      <w:r>
        <w:rPr>
          <w:rFonts w:hint="eastAsia"/>
        </w:rPr>
        <w:t xml:space="preserve">or </w:t>
      </w:r>
      <w:r>
        <w:t>the inband deployment, companies (Nokia, NSB, ZTE, Sanechips, Lenovo, Moto) support Alt-1, and companies (Huawei, HiSilicon, QC, Ericsson) support alt-2.</w:t>
      </w:r>
    </w:p>
    <w:p>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keepNext/>
              <w:overflowPunct w:val="0"/>
              <w:snapToGrid/>
              <w:spacing w:before="120" w:line="240" w:lineRule="auto"/>
              <w:jc w:val="center"/>
              <w:textAlignment w:val="baseline"/>
              <w:rPr>
                <w:b/>
                <w:bCs/>
                <w:sz w:val="20"/>
                <w:szCs w:val="20"/>
              </w:rPr>
            </w:pPr>
            <w:r>
              <w:rPr>
                <w:b/>
                <w:bCs/>
                <w:sz w:val="20"/>
                <w:szCs w:val="20"/>
              </w:rPr>
              <w:t>Figure 1 Power allocation under Alt.1 (red: CRS, yellow: NPDSCH, green: NRS) – showing only a single symbol of each type</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bl>
          <w:p>
            <w:pPr>
              <w:spacing w:line="240" w:lineRule="auto"/>
            </w:pPr>
          </w:p>
        </w:tc>
        <w:tc>
          <w:tcPr>
            <w:tcW w:w="4654" w:type="dxa"/>
            <w:vMerge w:val="restart"/>
          </w:tcPr>
          <w:p>
            <w:pPr>
              <w:pStyle w:val="28"/>
              <w:keepNext/>
            </w:pPr>
            <w:r>
              <w:t>Figure 3 Correct power allocation over 2 PRBs, where the PDSCH in LTE PRB is “blanked” and the corresponding power is allocated to NB-IoT NPDSCH/NRS</w:t>
            </w: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0006"/>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bl>
          <w:p>
            <w:pPr>
              <w:spacing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pStyle w:val="28"/>
              <w:keepNext/>
            </w:pPr>
            <w:r>
              <w:t>Figure 2 Nominal power allocation for an RB with PDSCH (red: CRS, orange: PDSCH)</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bl>
          <w:p>
            <w:pPr>
              <w:spacing w:line="240" w:lineRule="auto"/>
            </w:pPr>
          </w:p>
        </w:tc>
        <w:tc>
          <w:tcPr>
            <w:tcW w:w="4654" w:type="dxa"/>
            <w:vMerge w:val="continue"/>
          </w:tcPr>
          <w:p>
            <w:pPr>
              <w:spacing w:line="240" w:lineRule="auto"/>
            </w:pPr>
          </w:p>
        </w:tc>
      </w:tr>
    </w:tbl>
    <w:p>
      <w:pPr>
        <w:autoSpaceDE/>
        <w:autoSpaceDN/>
        <w:adjustRightInd/>
        <w:snapToGrid/>
        <w:spacing w:after="0"/>
        <w:rPr>
          <w:b/>
          <w:szCs w:val="21"/>
          <w:lang w:eastAsia="zh-CN"/>
        </w:rPr>
      </w:pPr>
    </w:p>
    <w:p>
      <w:r>
        <w:rPr>
          <w:rFonts w:hint="eastAsia"/>
        </w:rPr>
        <w:t>P</w:t>
      </w:r>
      <w:r>
        <w:t>lease input your comments to the above proposal and the concern over Alt-1: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t>Huawei, HiSilicon</w:t>
            </w:r>
          </w:p>
        </w:tc>
        <w:tc>
          <w:tcPr>
            <w:tcW w:w="7469" w:type="dxa"/>
          </w:tcPr>
          <w:p>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pPr>
              <w:pStyle w:val="140"/>
              <w:numPr>
                <w:ilvl w:val="0"/>
                <w:numId w:val="0"/>
              </w:numPr>
              <w:spacing w:line="240" w:lineRule="auto"/>
              <w:rPr>
                <w:b w:val="0"/>
                <w:bCs w:val="0"/>
              </w:rPr>
            </w:pPr>
            <w:bookmarkStart w:id="2" w:name="_Toc79006157"/>
            <w:r>
              <w:rPr>
                <w:b w:val="0"/>
                <w:bCs w:val="0"/>
              </w:rPr>
              <w:t>For the downlink power allocation to support 16-QAM in “In-band deployments”, Alt-2 is selected:</w:t>
            </w:r>
            <w:bookmarkEnd w:id="2"/>
          </w:p>
          <w:p>
            <w:pPr>
              <w:pStyle w:val="140"/>
              <w:numPr>
                <w:ilvl w:val="0"/>
                <w:numId w:val="18"/>
              </w:numPr>
              <w:spacing w:line="240" w:lineRule="auto"/>
              <w:ind w:left="720"/>
              <w:rPr>
                <w:b w:val="0"/>
                <w:bCs w:val="0"/>
              </w:rPr>
            </w:pPr>
            <w:bookmarkStart w:id="3" w:name="_Toc79006158"/>
            <w:r>
              <w:rPr>
                <w:b w:val="0"/>
                <w:bCs w:val="0"/>
              </w:rPr>
              <w:t>The power ratio between NPDSCH EPRE and NRS EPRE in symbols with CRS is signaled.</w:t>
            </w:r>
            <w:bookmarkEnd w:id="3"/>
          </w:p>
          <w:p>
            <w:pPr>
              <w:pStyle w:val="140"/>
              <w:numPr>
                <w:ilvl w:val="0"/>
                <w:numId w:val="18"/>
              </w:numPr>
              <w:spacing w:line="240" w:lineRule="auto"/>
              <w:ind w:left="720"/>
              <w:rPr>
                <w:b w:val="0"/>
                <w:bCs w:val="0"/>
              </w:rPr>
            </w:pPr>
            <w:bookmarkStart w:id="4" w:name="_Toc79006159"/>
            <w:r>
              <w:rPr>
                <w:b w:val="0"/>
                <w:bCs w:val="0"/>
              </w:rPr>
              <w:t>UE specific signaling is used</w:t>
            </w:r>
            <w:bookmarkEnd w:id="4"/>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szCs w:val="20"/>
                <w:lang w:eastAsia="zh-CN"/>
              </w:rPr>
              <w:t>W</w:t>
            </w:r>
            <w:r>
              <w:rPr>
                <w:szCs w:val="20"/>
                <w:lang w:eastAsia="zh-CN"/>
              </w:rPr>
              <w:t>e still prefer Alt-1</w:t>
            </w:r>
          </w:p>
          <w:p>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pPr>
              <w:rPr>
                <w:szCs w:val="20"/>
                <w:lang w:eastAsia="zh-CN"/>
              </w:rPr>
            </w:pP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center"/>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p>
              </w:tc>
              <w:tc>
                <w:tcPr>
                  <w:tcW w:w="960" w:type="dxa"/>
                  <w:shd w:val="clear" w:color="000000" w:fill="FFEB9C"/>
                  <w:noWrap/>
                  <w:vAlign w:val="bottom"/>
                </w:tcPr>
                <w:p>
                  <w:pPr>
                    <w:spacing w:after="0"/>
                    <w:jc w:val="right"/>
                    <w:rPr>
                      <w:rFonts w:ascii="Calibri" w:hAnsi="Calibri" w:cs="Calibri"/>
                      <w:color w:val="9C5700"/>
                    </w:rPr>
                  </w:pPr>
                </w:p>
              </w:tc>
              <w:tc>
                <w:tcPr>
                  <w:tcW w:w="960" w:type="dxa"/>
                  <w:shd w:val="clear" w:color="000000" w:fill="C6EFCE"/>
                  <w:noWrap/>
                  <w:vAlign w:val="bottom"/>
                </w:tcPr>
                <w:p>
                  <w:pPr>
                    <w:spacing w:after="0"/>
                    <w:jc w:val="right"/>
                    <w:rPr>
                      <w:rFonts w:ascii="Calibri" w:hAnsi="Calibri" w:cs="Calibri"/>
                      <w:color w:val="006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bl>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hint="eastAsia" w:cs="Times"/>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Proposal 6 is OK.</w:t>
            </w:r>
          </w:p>
          <w:p>
            <w:pPr>
              <w:rPr>
                <w:szCs w:val="20"/>
                <w:lang w:eastAsia="zh-CN"/>
              </w:rPr>
            </w:pPr>
            <w:r>
              <w:rPr>
                <w:szCs w:val="20"/>
                <w:lang w:eastAsia="zh-CN"/>
              </w:rPr>
              <w:t>For in-band, let us reply to some of the comments:</w:t>
            </w:r>
          </w:p>
          <w:p>
            <w:pPr>
              <w:rPr>
                <w:lang w:val="en-GB"/>
              </w:rPr>
            </w:pPr>
            <w:r>
              <w:rPr>
                <w:szCs w:val="20"/>
                <w:lang w:eastAsia="zh-CN"/>
              </w:rPr>
              <w:t>“</w:t>
            </w:r>
            <w:r>
              <w:rPr>
                <w:lang w:eastAsia="zh-CN"/>
              </w:rPr>
              <w:t>However, there will be different transmit power for symbol 1 and 2. It seems the design is not aligned.”</w:t>
            </w:r>
          </w:p>
          <w:p>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There are following proposals on </w:t>
      </w:r>
      <w:r>
        <w:t>uplink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b/>
              </w:rPr>
              <w:t>Proposal 9</w:t>
            </w:r>
            <w:r>
              <w:rPr>
                <w:rFonts w:hint="eastAsia"/>
                <w:b/>
              </w:rPr>
              <w:t xml:space="preserve">：A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is introduce to support </w:t>
            </w:r>
            <w:r>
              <w:rPr>
                <w:b/>
                <w:lang w:eastAsia="zh-CN"/>
              </w:rPr>
              <w:t>16QAM in NPUSCH, which reuses the LTE term.</w:t>
            </w:r>
          </w:p>
          <w:p>
            <w:pPr>
              <w:pStyle w:val="66"/>
              <w:numPr>
                <w:ilvl w:val="0"/>
                <w:numId w:val="24"/>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ctrlPr>
                    <w:rPr>
                      <w:rFonts w:ascii="Cambria Math" w:hAnsi="Cambria Math" w:cs="Times New Roman"/>
                      <w:b/>
                      <w:sz w:val="22"/>
                      <w:szCs w:val="22"/>
                    </w:rPr>
                  </m:ctrlP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ctrlPr>
                    <w:rPr>
                      <w:rFonts w:ascii="Cambria Math" w:hAnsi="Cambria Math" w:cs="Times New Roman"/>
                      <w:b/>
                      <w:sz w:val="22"/>
                      <w:szCs w:val="22"/>
                    </w:rPr>
                  </m:ctrlPr>
                </m:e>
                <m:sub>
                  <m:r>
                    <m:rPr>
                      <m:sty m:val="b"/>
                    </m:rPr>
                    <w:rPr>
                      <w:rFonts w:ascii="Cambria Math" w:hAnsi="Cambria Math" w:cs="Times New Roman"/>
                      <w:sz w:val="22"/>
                      <w:szCs w:val="22"/>
                    </w:rPr>
                    <m:t>10</m:t>
                  </m:r>
                  <m:ctrlPr>
                    <w:rPr>
                      <w:rFonts w:ascii="Cambria Math" w:hAnsi="Cambria Math" w:cs="Times New Roman"/>
                      <w:b/>
                      <w:sz w:val="22"/>
                      <w:szCs w:val="22"/>
                    </w:rPr>
                  </m:ctrlP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ctrlPr>
                            <w:rPr>
                              <w:rFonts w:ascii="Cambria Math" w:hAnsi="Cambria Math" w:cs="Times New Roman"/>
                              <w:b/>
                              <w:sz w:val="22"/>
                              <w:szCs w:val="22"/>
                            </w:rPr>
                          </m:ctrlP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ctrlPr>
                                <w:rPr>
                                  <w:rFonts w:ascii="Cambria Math" w:hAnsi="Cambria Math" w:cs="Times New Roman"/>
                                  <w:b/>
                                  <w:sz w:val="22"/>
                                  <w:szCs w:val="22"/>
                                </w:rPr>
                              </m:ctrlPr>
                            </m:e>
                            <m:sub>
                              <m:r>
                                <m:rPr>
                                  <m:sty m:val="bi"/>
                                </m:rPr>
                                <w:rPr>
                                  <w:rFonts w:ascii="Cambria Math" w:hAnsi="Cambria Math" w:cs="Times New Roman"/>
                                  <w:sz w:val="22"/>
                                  <w:szCs w:val="22"/>
                                </w:rPr>
                                <m:t>s</m:t>
                              </m:r>
                              <m:ctrlPr>
                                <w:rPr>
                                  <w:rFonts w:ascii="Cambria Math" w:hAnsi="Cambria Math" w:cs="Times New Roman"/>
                                  <w:b/>
                                  <w:sz w:val="22"/>
                                  <w:szCs w:val="22"/>
                                </w:rPr>
                              </m:ctrlPr>
                            </m:sub>
                          </m:sSub>
                          <m:ctrlPr>
                            <w:rPr>
                              <w:rFonts w:ascii="Cambria Math" w:hAnsi="Cambria Math" w:cs="Times New Roman"/>
                              <w:b/>
                              <w:sz w:val="22"/>
                              <w:szCs w:val="22"/>
                            </w:rPr>
                          </m:ctrlPr>
                        </m:sup>
                      </m:sSup>
                      <m:r>
                        <m:rPr>
                          <m:sty m:val="b"/>
                        </m:rPr>
                        <w:rPr>
                          <w:rFonts w:ascii="Cambria Math" w:hAnsi="Cambria Math" w:cs="Times New Roman"/>
                          <w:sz w:val="22"/>
                          <w:szCs w:val="22"/>
                        </w:rPr>
                        <m:t>-1</m:t>
                      </m:r>
                      <m:ctrlPr>
                        <w:rPr>
                          <w:rFonts w:ascii="Cambria Math" w:hAnsi="Cambria Math" w:cs="Times New Roman"/>
                          <w:b/>
                          <w:sz w:val="22"/>
                          <w:szCs w:val="22"/>
                        </w:rPr>
                      </m:ctrlPr>
                    </m:e>
                  </m:d>
                  <m:ctrlPr>
                    <w:rPr>
                      <w:rFonts w:ascii="Cambria Math" w:hAnsi="Cambria Math" w:cs="Times New Roman"/>
                      <w:b/>
                      <w:sz w:val="22"/>
                      <w:szCs w:val="22"/>
                    </w:rPr>
                  </m:ctrlPr>
                </m:e>
              </m:d>
            </m:oMath>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m:rPr>
                  <m:sty m:val="bi"/>
                </m:rPr>
                <w:rPr>
                  <w:rFonts w:ascii="Cambria Math" w:hAnsi="Cambria Math"/>
                </w:rPr>
                <m:t>=0</m:t>
              </m:r>
            </m:oMath>
            <w:r>
              <w:rPr>
                <w:b/>
                <w:bCs/>
                <w:iCs/>
              </w:rPr>
              <w:t>.</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4]</w:t>
            </w:r>
          </w:p>
        </w:tc>
        <w:tc>
          <w:tcPr>
            <w:tcW w:w="7469" w:type="dxa"/>
          </w:tcPr>
          <w:p>
            <w:pPr>
              <w:rPr>
                <w:b/>
                <w:bCs/>
              </w:rPr>
            </w:pPr>
            <w:r>
              <w:rPr>
                <w:b/>
                <w:bCs/>
                <w:u w:val="single"/>
              </w:rPr>
              <w:t>Proposal 8:</w:t>
            </w:r>
            <w:r>
              <w:rPr>
                <w:b/>
                <w:bCs/>
              </w:rPr>
              <w:t xml:space="preserve"> For uplink power control, introduce the following specification changes:</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b/>
                <w:bCs/>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5]</w:t>
            </w:r>
          </w:p>
        </w:tc>
        <w:tc>
          <w:tcPr>
            <w:tcW w:w="7469" w:type="dxa"/>
          </w:tcPr>
          <w:p>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pPr>
              <w:numPr>
                <w:ilvl w:val="0"/>
                <w:numId w:val="25"/>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pPr>
              <w:pStyle w:val="140"/>
              <w:numPr>
                <w:ilvl w:val="0"/>
                <w:numId w:val="0"/>
              </w:numPr>
              <w:ind w:left="1701" w:hanging="170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7]</w:t>
            </w:r>
          </w:p>
        </w:tc>
        <w:tc>
          <w:tcPr>
            <w:tcW w:w="7469" w:type="dxa"/>
          </w:tcPr>
          <w:p>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NBIoT.</w:t>
            </w:r>
          </w:p>
          <w:p>
            <w:pPr>
              <w:spacing w:line="276" w:lineRule="auto"/>
              <w:rPr>
                <w:b/>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8]</w:t>
            </w:r>
          </w:p>
        </w:tc>
        <w:tc>
          <w:tcPr>
            <w:tcW w:w="7469" w:type="dxa"/>
          </w:tcPr>
          <w:p>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pPr>
              <w:rPr>
                <w:b/>
                <w:sz w:val="20"/>
                <w:szCs w:val="20"/>
              </w:rPr>
            </w:pPr>
            <w:r>
              <w:rPr>
                <w:b/>
                <w:sz w:val="20"/>
                <w:szCs w:val="20"/>
              </w:rPr>
              <w:t>Observation 10 The LTE’s term ΔTF has some components that won’t apply for NB-IoT; hence its definition can be simplified as to make it meaningful for NB-IoT.</w:t>
            </w:r>
          </w:p>
          <w:p>
            <w:pPr>
              <w:rPr>
                <w:b/>
                <w:sz w:val="20"/>
                <w:szCs w:val="20"/>
              </w:rPr>
            </w:pPr>
            <w:r>
              <w:rPr>
                <w:b/>
                <w:sz w:val="20"/>
                <w:szCs w:val="20"/>
              </w:rPr>
              <w:t>Proposal 7 For the term ΔTF into the uplink power control of NPUSCH using 16-QAM down-select one of the two approaches:</w:t>
            </w:r>
          </w:p>
          <w:p>
            <w:pPr>
              <w:pStyle w:val="140"/>
              <w:numPr>
                <w:ilvl w:val="0"/>
                <w:numId w:val="0"/>
              </w:numPr>
            </w:pPr>
            <w:bookmarkStart w:id="5" w:name="_Toc79006166"/>
            <w:bookmarkStart w:id="6" w:name="_Toc77278447"/>
            <w:r>
              <w:t>Alt-1: For 16-QAM in UL based on a simplified equation of legacy LTE, we define Δ</w:t>
            </w:r>
            <w:r>
              <w:rPr>
                <w:vertAlign w:val="subscript"/>
              </w:rPr>
              <w:t>TF</w:t>
            </w:r>
            <w:bookmarkEnd w:id="5"/>
            <w:bookmarkEnd w:id="6"/>
            <w:r>
              <w:t xml:space="preserve"> as follows:</w:t>
            </w:r>
          </w:p>
          <w:p>
            <w:pPr>
              <w:pStyle w:val="66"/>
              <w:ind w:left="1041" w:leftChars="473"/>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ctrlPr>
                        <w:rPr>
                          <w:rFonts w:ascii="Cambria Math" w:hAnsi="Cambria Math"/>
                          <w:b/>
                          <w:bCs/>
                          <w:sz w:val="20"/>
                          <w:szCs w:val="20"/>
                          <w:lang w:eastAsia="ja-JP"/>
                        </w:rPr>
                      </m:ctrlPr>
                    </m:e>
                    <m:sub>
                      <m:r>
                        <m:rPr>
                          <m:sty m:val="b"/>
                        </m:rPr>
                        <w:rPr>
                          <w:rFonts w:ascii="Cambria Math" w:hAnsi="Cambria Math"/>
                          <w:sz w:val="20"/>
                          <w:szCs w:val="20"/>
                          <w:lang w:eastAsia="ja-JP"/>
                        </w:rPr>
                        <m:t>10</m:t>
                      </m:r>
                      <m:ctrlPr>
                        <w:rPr>
                          <w:rFonts w:ascii="Cambria Math" w:hAnsi="Cambria Math"/>
                          <w:b/>
                          <w:bCs/>
                          <w:sz w:val="20"/>
                          <w:szCs w:val="20"/>
                          <w:lang w:eastAsia="ja-JP"/>
                        </w:rPr>
                      </m:ctrlPr>
                    </m:sub>
                  </m:sSub>
                  <m:ctrlPr>
                    <w:rPr>
                      <w:rFonts w:ascii="Cambria Math" w:hAnsi="Cambria Math"/>
                      <w:b/>
                      <w:bCs/>
                      <w:sz w:val="20"/>
                      <w:szCs w:val="20"/>
                      <w:lang w:eastAsia="ja-JP"/>
                    </w:rPr>
                  </m:ctrlPr>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ctrlPr>
                                <w:rPr>
                                  <w:rFonts w:ascii="Cambria Math" w:hAnsi="Cambria Math"/>
                                  <w:b/>
                                  <w:bCs/>
                                  <w:sz w:val="20"/>
                                  <w:szCs w:val="20"/>
                                  <w:lang w:eastAsia="ja-JP"/>
                                </w:rPr>
                              </m:ctrlP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ctrlPr>
                                        <w:rPr>
                                          <w:rFonts w:ascii="Cambria Math" w:hAnsi="Cambria Math"/>
                                          <w:b/>
                                          <w:bCs/>
                                          <w:sz w:val="20"/>
                                          <w:szCs w:val="20"/>
                                          <w:lang w:eastAsia="ja-JP"/>
                                        </w:rPr>
                                      </m:ctrlPr>
                                    </m:e>
                                    <m:sub>
                                      <m:r>
                                        <m:rPr>
                                          <m:sty m:val="bi"/>
                                        </m:rPr>
                                        <w:rPr>
                                          <w:rFonts w:ascii="Cambria Math" w:hAnsi="Cambria Math"/>
                                          <w:sz w:val="20"/>
                                          <w:szCs w:val="20"/>
                                          <w:lang w:eastAsia="ja-JP"/>
                                        </w:rPr>
                                        <m:t>16QAM</m:t>
                                      </m:r>
                                      <m:ctrlPr>
                                        <w:rPr>
                                          <w:rFonts w:ascii="Cambria Math" w:hAnsi="Cambria Math"/>
                                          <w:b/>
                                          <w:bCs/>
                                          <w:sz w:val="20"/>
                                          <w:szCs w:val="20"/>
                                          <w:lang w:eastAsia="ja-JP"/>
                                        </w:rPr>
                                      </m:ctrlP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ctrlPr>
                                        <w:rPr>
                                          <w:rFonts w:ascii="Cambria Math" w:hAnsi="Cambria Math"/>
                                          <w:b/>
                                          <w:bCs/>
                                          <w:sz w:val="20"/>
                                          <w:szCs w:val="20"/>
                                          <w:lang w:eastAsia="ja-JP"/>
                                        </w:rPr>
                                      </m:ctrlPr>
                                    </m:e>
                                    <m:sub>
                                      <m:r>
                                        <m:rPr>
                                          <m:sty m:val="bi"/>
                                        </m:rPr>
                                        <w:rPr>
                                          <w:rFonts w:ascii="Cambria Math" w:hAnsi="Cambria Math"/>
                                          <w:sz w:val="20"/>
                                          <w:szCs w:val="20"/>
                                          <w:lang w:eastAsia="ja-JP"/>
                                        </w:rPr>
                                        <m:t>s</m:t>
                                      </m:r>
                                      <m:ctrlPr>
                                        <w:rPr>
                                          <w:rFonts w:ascii="Cambria Math" w:hAnsi="Cambria Math"/>
                                          <w:b/>
                                          <w:bCs/>
                                          <w:sz w:val="20"/>
                                          <w:szCs w:val="20"/>
                                          <w:lang w:eastAsia="ja-JP"/>
                                        </w:rPr>
                                      </m:ctrlPr>
                                    </m:sub>
                                  </m:sSub>
                                  <m:ctrlPr>
                                    <w:rPr>
                                      <w:rFonts w:ascii="Cambria Math" w:hAnsi="Cambria Math"/>
                                      <w:b/>
                                      <w:bCs/>
                                      <w:sz w:val="20"/>
                                      <w:szCs w:val="20"/>
                                      <w:lang w:eastAsia="ja-JP"/>
                                    </w:rPr>
                                  </m:ctrlPr>
                                </m:e>
                              </m:d>
                              <m:ctrlPr>
                                <w:rPr>
                                  <w:rFonts w:ascii="Cambria Math" w:hAnsi="Cambria Math"/>
                                  <w:b/>
                                  <w:bCs/>
                                  <w:sz w:val="20"/>
                                  <w:szCs w:val="20"/>
                                  <w:lang w:eastAsia="ja-JP"/>
                                </w:rPr>
                              </m:ctrlPr>
                            </m:sup>
                          </m:sSup>
                          <m:r>
                            <m:rPr>
                              <m:sty m:val="b"/>
                            </m:rPr>
                            <w:rPr>
                              <w:rFonts w:ascii="Cambria Math" w:hAnsi="Cambria Math"/>
                              <w:sz w:val="20"/>
                              <w:szCs w:val="20"/>
                              <w:lang w:eastAsia="ja-JP"/>
                            </w:rPr>
                            <m:t>-1</m:t>
                          </m:r>
                          <m:ctrlPr>
                            <w:rPr>
                              <w:rFonts w:ascii="Cambria Math" w:hAnsi="Cambria Math"/>
                              <w:b/>
                              <w:bCs/>
                              <w:sz w:val="20"/>
                              <w:szCs w:val="20"/>
                              <w:lang w:eastAsia="ja-JP"/>
                            </w:rPr>
                          </m:ctrlP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ctrlPr>
                                <w:rPr>
                                  <w:rFonts w:ascii="Cambria Math" w:hAnsi="Cambria Math"/>
                                  <w:b/>
                                  <w:bCs/>
                                  <w:sz w:val="20"/>
                                  <w:szCs w:val="20"/>
                                  <w:lang w:eastAsia="ja-JP"/>
                                </w:rPr>
                              </m:ctrlP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ctrlPr>
                                        <w:rPr>
                                          <w:rFonts w:ascii="Cambria Math" w:hAnsi="Cambria Math"/>
                                          <w:b/>
                                          <w:bCs/>
                                          <w:sz w:val="20"/>
                                          <w:szCs w:val="20"/>
                                          <w:lang w:eastAsia="ja-JP"/>
                                        </w:rPr>
                                      </m:ctrlPr>
                                    </m:e>
                                    <m:sub>
                                      <m:r>
                                        <m:rPr>
                                          <m:sty m:val="bi"/>
                                        </m:rPr>
                                        <w:rPr>
                                          <w:rFonts w:ascii="Cambria Math" w:hAnsi="Cambria Math"/>
                                          <w:sz w:val="20"/>
                                          <w:szCs w:val="20"/>
                                          <w:lang w:eastAsia="ja-JP"/>
                                        </w:rPr>
                                        <m:t>QPSK</m:t>
                                      </m:r>
                                      <m:ctrlPr>
                                        <w:rPr>
                                          <w:rFonts w:ascii="Cambria Math" w:hAnsi="Cambria Math"/>
                                          <w:b/>
                                          <w:bCs/>
                                          <w:sz w:val="20"/>
                                          <w:szCs w:val="20"/>
                                          <w:lang w:eastAsia="ja-JP"/>
                                        </w:rPr>
                                      </m:ctrlP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ctrlPr>
                                        <w:rPr>
                                          <w:rFonts w:ascii="Cambria Math" w:hAnsi="Cambria Math"/>
                                          <w:b/>
                                          <w:bCs/>
                                          <w:sz w:val="20"/>
                                          <w:szCs w:val="20"/>
                                          <w:lang w:eastAsia="ja-JP"/>
                                        </w:rPr>
                                      </m:ctrlPr>
                                    </m:e>
                                    <m:sub>
                                      <m:r>
                                        <m:rPr>
                                          <m:sty m:val="bi"/>
                                        </m:rPr>
                                        <w:rPr>
                                          <w:rFonts w:ascii="Cambria Math" w:hAnsi="Cambria Math"/>
                                          <w:sz w:val="20"/>
                                          <w:szCs w:val="20"/>
                                          <w:lang w:eastAsia="ja-JP"/>
                                        </w:rPr>
                                        <m:t>s</m:t>
                                      </m:r>
                                      <m:ctrlPr>
                                        <w:rPr>
                                          <w:rFonts w:ascii="Cambria Math" w:hAnsi="Cambria Math"/>
                                          <w:b/>
                                          <w:bCs/>
                                          <w:sz w:val="20"/>
                                          <w:szCs w:val="20"/>
                                          <w:lang w:eastAsia="ja-JP"/>
                                        </w:rPr>
                                      </m:ctrlPr>
                                    </m:sub>
                                  </m:sSub>
                                  <m:ctrlPr>
                                    <w:rPr>
                                      <w:rFonts w:ascii="Cambria Math" w:hAnsi="Cambria Math"/>
                                      <w:b/>
                                      <w:bCs/>
                                      <w:sz w:val="20"/>
                                      <w:szCs w:val="20"/>
                                      <w:lang w:eastAsia="ja-JP"/>
                                    </w:rPr>
                                  </m:ctrlPr>
                                </m:e>
                              </m:d>
                              <m:ctrlPr>
                                <w:rPr>
                                  <w:rFonts w:ascii="Cambria Math" w:hAnsi="Cambria Math"/>
                                  <w:b/>
                                  <w:bCs/>
                                  <w:sz w:val="20"/>
                                  <w:szCs w:val="20"/>
                                  <w:lang w:eastAsia="ja-JP"/>
                                </w:rPr>
                              </m:ctrlPr>
                            </m:sup>
                          </m:sSup>
                          <m:r>
                            <m:rPr>
                              <m:sty m:val="b"/>
                            </m:rPr>
                            <w:rPr>
                              <w:rFonts w:ascii="Cambria Math" w:hAnsi="Cambria Math"/>
                              <w:sz w:val="20"/>
                              <w:szCs w:val="20"/>
                              <w:lang w:eastAsia="ja-JP"/>
                            </w:rPr>
                            <m:t>-1</m:t>
                          </m:r>
                          <m:ctrlPr>
                            <w:rPr>
                              <w:rFonts w:ascii="Cambria Math" w:hAnsi="Cambria Math"/>
                              <w:b/>
                              <w:bCs/>
                              <w:sz w:val="20"/>
                              <w:szCs w:val="20"/>
                              <w:lang w:eastAsia="ja-JP"/>
                            </w:rPr>
                          </m:ctrlPr>
                        </m:den>
                      </m:f>
                      <m:ctrlPr>
                        <w:rPr>
                          <w:rFonts w:ascii="Cambria Math" w:hAnsi="Cambria Math"/>
                          <w:b/>
                          <w:bCs/>
                          <w:sz w:val="20"/>
                          <w:szCs w:val="20"/>
                          <w:lang w:eastAsia="ja-JP"/>
                        </w:rPr>
                      </m:ctrlPr>
                    </m:e>
                  </m:d>
                  <m:ctrlPr>
                    <w:rPr>
                      <w:rFonts w:ascii="Cambria Math" w:hAnsi="Cambria Math"/>
                      <w:b/>
                      <w:bCs/>
                      <w:sz w:val="20"/>
                      <w:szCs w:val="20"/>
                      <w:lang w:eastAsia="ja-JP"/>
                    </w:rPr>
                  </m:ctrlPr>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max</m:t>
                      </m:r>
                      <m:ctrlPr>
                        <w:rPr>
                          <w:rFonts w:ascii="Cambria Math" w:hAnsi="Cambria Math"/>
                          <w:b/>
                          <w:bCs/>
                          <w:sz w:val="20"/>
                          <w:szCs w:val="20"/>
                          <w:lang w:val="en-GB" w:eastAsia="ja-JP"/>
                        </w:rPr>
                      </m:ctrlP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m:t>
                  </m:r>
                  <m:ctrlPr>
                    <w:rPr>
                      <w:rFonts w:ascii="Cambria Math" w:hAnsi="Cambria Math"/>
                      <w:b/>
                      <w:bCs/>
                      <w:sz w:val="20"/>
                      <w:szCs w:val="20"/>
                      <w:lang w:val="en-GB" w:eastAsia="ja-JP"/>
                    </w:rPr>
                  </m:ctrlP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max</m:t>
                  </m:r>
                  <m:ctrlPr>
                    <w:rPr>
                      <w:rFonts w:ascii="Cambria Math" w:hAnsi="Cambria Math"/>
                      <w:b/>
                      <w:bCs/>
                      <w:sz w:val="20"/>
                      <w:szCs w:val="20"/>
                      <w:lang w:val="en-GB" w:eastAsia="ja-JP"/>
                    </w:rPr>
                  </m:ctrlP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m:t>
                  </m:r>
                  <m:ctrlPr>
                    <w:rPr>
                      <w:rFonts w:ascii="Cambria Math" w:hAnsi="Cambria Math"/>
                      <w:b/>
                      <w:bCs/>
                      <w:sz w:val="20"/>
                      <w:szCs w:val="20"/>
                      <w:lang w:val="en-GB" w:eastAsia="ja-JP"/>
                    </w:rPr>
                  </m:ctrlPr>
                </m:sub>
              </m:sSub>
            </m:oMath>
            <w:r>
              <w:rPr>
                <w:b/>
                <w:bCs/>
                <w:sz w:val="20"/>
                <w:szCs w:val="20"/>
                <w:lang w:val="en-GB" w:eastAsia="ja-JP"/>
              </w:rPr>
              <w:t xml:space="preserve"> is the number of bits per </w:t>
            </w:r>
            <w:r>
              <w:rPr>
                <w:b/>
                <w:bCs/>
                <w:i/>
                <w:iCs/>
                <w:sz w:val="20"/>
                <w:szCs w:val="20"/>
                <w:lang w:val="en-GB" w:eastAsia="ja-JP"/>
              </w:rPr>
              <w:t>M-ary</w:t>
            </w:r>
            <w:r>
              <w:rPr>
                <w:b/>
                <w:bCs/>
                <w:sz w:val="20"/>
                <w:szCs w:val="20"/>
                <w:lang w:val="en-GB" w:eastAsia="ja-JP"/>
              </w:rPr>
              <w:t xml:space="preserve"> symbol of the Modulation Scheme.</w:t>
            </w:r>
          </w:p>
          <w:p>
            <w:pPr>
              <w:rPr>
                <w:b/>
                <w:sz w:val="20"/>
                <w:szCs w:val="20"/>
              </w:rPr>
            </w:pPr>
          </w:p>
          <w:p>
            <w:pPr>
              <w:rPr>
                <w:b/>
                <w:sz w:val="20"/>
                <w:szCs w:val="20"/>
              </w:rPr>
            </w:pPr>
            <w:r>
              <w:rPr>
                <w:b/>
                <w:sz w:val="20"/>
                <w:szCs w:val="20"/>
              </w:rPr>
              <w:t>Alt-2: We define a set of values from which ΔTF is obtained:</w:t>
            </w:r>
          </w:p>
          <w:p>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p>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w:t>
      </w:r>
      <w:r>
        <w:rPr>
          <w:rFonts w:hint="eastAsia"/>
        </w:rPr>
        <w:t xml:space="preserve">in the </w:t>
      </w:r>
      <w:r>
        <w:t>power control equation, and there are following options for the determination of the new term:</w:t>
      </w:r>
    </w:p>
    <w:p>
      <w:pPr>
        <w:pStyle w:val="66"/>
        <w:numPr>
          <w:ilvl w:val="0"/>
          <w:numId w:val="19"/>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19"/>
        </w:numPr>
      </w:pP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19"/>
        </w:numPr>
      </w:pPr>
      <w:r>
        <w:rPr>
          <w:rFonts w:ascii="Times New Roman" w:hAnsi="Times New Roman" w:cs="Times New Roman"/>
          <w:sz w:val="22"/>
        </w:rPr>
        <w:t>A TPC command is introduce to indicate the power offset for NPUSCH with 16-QAM.</w:t>
      </w:r>
    </w:p>
    <w:p>
      <w:pPr>
        <w:pStyle w:val="66"/>
        <w:numPr>
          <w:ilvl w:val="0"/>
          <w:numId w:val="19"/>
        </w:numPr>
      </w:pP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19"/>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m:rPr>
                <m:sty m:val="bi"/>
              </m:rP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Therefore, the following is proposed:</w:t>
      </w:r>
    </w:p>
    <w:p>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is introduced in the uplink power control to support 16-QAM, which is downselected from following op</w:t>
      </w:r>
      <w:r>
        <w:rPr>
          <w:b/>
        </w:rPr>
        <w:t>tions:</w:t>
      </w:r>
    </w:p>
    <w:p>
      <w:pPr>
        <w:pStyle w:val="66"/>
        <w:numPr>
          <w:ilvl w:val="0"/>
          <w:numId w:val="19"/>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19"/>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19"/>
        </w:numPr>
      </w:pPr>
      <w:r>
        <w:rPr>
          <w:rFonts w:ascii="Times New Roman" w:hAnsi="Times New Roman" w:cs="Times New Roman"/>
          <w:sz w:val="22"/>
        </w:rPr>
        <w:t>Option 3: A TPC command is introduce to indicate the power offset for NPUSCH with 16-QAM.</w:t>
      </w:r>
    </w:p>
    <w:p>
      <w:pPr>
        <w:pStyle w:val="66"/>
        <w:numPr>
          <w:ilvl w:val="0"/>
          <w:numId w:val="19"/>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19"/>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m:rPr>
                <m:sty m:val="bi"/>
              </m:rP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p>
    <w:p>
      <w:r>
        <w:rPr>
          <w:rFonts w:hint="eastAsia"/>
        </w:rPr>
        <w:t>P</w:t>
      </w:r>
      <w:r>
        <w:t>lease input your preference and reasons on the down-selection: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7. Our preference is option 2, which is a simplified version of option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think Option 3 should be removed. The other options can be further discussed.</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b/>
                <w:lang w:eastAsia="zh-CN"/>
              </w:rPr>
              <w:t>Proposal 4: The CQI reporting in Msg3 in connected mode should not be supported.</w:t>
            </w:r>
          </w:p>
          <w:p>
            <w:pPr>
              <w:rPr>
                <w:b/>
                <w:kern w:val="2"/>
                <w:lang w:eastAsia="zh-CN"/>
              </w:rPr>
            </w:pPr>
            <w:r>
              <w:rPr>
                <w:b/>
                <w:kern w:val="2"/>
                <w:lang w:eastAsia="zh-CN"/>
              </w:rPr>
              <w:t>Proposal 5: Option 3 should be supported for CQI table for downlink 16-QAM CQI reporting.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spacing w:after="0"/>
              <w:rPr>
                <w:b/>
                <w:bCs/>
                <w:lang w:eastAsia="en-GB"/>
              </w:rPr>
            </w:pPr>
            <w:r>
              <w:rPr>
                <w:b/>
                <w:bCs/>
                <w:lang w:eastAsia="en-GB"/>
              </w:rPr>
              <w:t>Proposal 3: For 16-QAM CQI table, select one of the following options –</w:t>
            </w:r>
          </w:p>
          <w:p>
            <w:pPr>
              <w:pStyle w:val="66"/>
              <w:numPr>
                <w:ilvl w:val="0"/>
                <w:numId w:val="26"/>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r>
              <w:rPr>
                <w:b/>
                <w:bCs/>
                <w:lang w:eastAsia="ja-JP"/>
              </w:rPr>
              <w:t xml:space="preserve">candidateRep-J to candidateRep-L).  </w:t>
            </w:r>
          </w:p>
          <w:p>
            <w:pPr>
              <w:pStyle w:val="66"/>
              <w:numPr>
                <w:ilvl w:val="0"/>
                <w:numId w:val="26"/>
              </w:numPr>
              <w:overflowPunct w:val="0"/>
              <w:autoSpaceDE w:val="0"/>
              <w:autoSpaceDN w:val="0"/>
              <w:adjustRightInd w:val="0"/>
              <w:spacing w:line="240" w:lineRule="auto"/>
              <w:contextualSpacing/>
              <w:jc w:val="left"/>
              <w:textAlignment w:val="baseline"/>
              <w:rPr>
                <w:b/>
                <w:bCs/>
              </w:rPr>
            </w:pPr>
            <w:r>
              <w:rPr>
                <w:b/>
                <w:bCs/>
              </w:rPr>
              <w:t>A new CQI table is defined for 16-QAM based on the eMTC table (CQI Tables in 36.213) as a starting point</w:t>
            </w:r>
          </w:p>
          <w:p>
            <w:pPr>
              <w:rPr>
                <w:lang w:eastAsia="en-GB"/>
              </w:rPr>
            </w:pPr>
            <w:r>
              <w:rPr>
                <w:b/>
                <w:bCs/>
                <w:lang w:eastAsia="en-GB"/>
              </w:rPr>
              <w:t>Proposal 4: Define CSI reference resource to be used for 16-QAM CQI measurement.</w:t>
            </w:r>
          </w:p>
          <w:p>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pPr>
              <w:spacing w:before="120" w:beforeLines="5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pPr>
              <w:rPr>
                <w:b/>
                <w:bCs/>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6]</w:t>
            </w:r>
          </w:p>
        </w:tc>
        <w:tc>
          <w:tcPr>
            <w:tcW w:w="7469" w:type="dxa"/>
          </w:tcPr>
          <w:p>
            <w:pPr>
              <w:rPr>
                <w:sz w:val="20"/>
                <w:szCs w:val="20"/>
              </w:rPr>
            </w:pPr>
            <w:r>
              <w:rPr>
                <w:b/>
                <w:sz w:val="20"/>
                <w:szCs w:val="20"/>
              </w:rPr>
              <w:t>Proposal 4: Support channel quality reporting in Msg3 in connected mode and the details need FFS in RAN2.</w:t>
            </w:r>
          </w:p>
          <w:p>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pPr>
              <w:rPr>
                <w:b/>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pPr>
              <w:spacing w:before="120" w:beforeLines="50" w:line="276" w:lineRule="auto"/>
              <w:rPr>
                <w:b/>
                <w:i/>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rPr>
                <w:b/>
                <w:sz w:val="20"/>
                <w:szCs w:val="20"/>
              </w:rPr>
            </w:pPr>
            <w:r>
              <w:rPr>
                <w:b/>
                <w:sz w:val="20"/>
                <w:szCs w:val="20"/>
              </w:rPr>
              <w:t>Observation 2</w:t>
            </w:r>
            <w:r>
              <w:rPr>
                <w:b/>
                <w:sz w:val="20"/>
                <w:szCs w:val="20"/>
              </w:rPr>
              <w:tab/>
            </w:r>
            <w:r>
              <w:rPr>
                <w:b/>
                <w:sz w:val="20"/>
                <w:szCs w:val="20"/>
              </w:rPr>
              <w:t>The legacy CQI mapping table in TS 36.133 clause 9.1.22.15 currently uses 13 out of 16 entries, hence the three unused fields could be utilized to incorporate the channel quality reporting for 16-QAM in DL.</w:t>
            </w:r>
          </w:p>
          <w:p>
            <w:pPr>
              <w:rPr>
                <w:b/>
                <w:sz w:val="20"/>
                <w:szCs w:val="20"/>
              </w:rPr>
            </w:pPr>
            <w:r>
              <w:rPr>
                <w:b/>
                <w:sz w:val="20"/>
                <w:szCs w:val="20"/>
              </w:rPr>
              <w:t>Observation 3</w:t>
            </w:r>
            <w:r>
              <w:rPr>
                <w:b/>
                <w:sz w:val="20"/>
                <w:szCs w:val="20"/>
              </w:rPr>
              <w:tab/>
            </w:r>
            <w:r>
              <w:rPr>
                <w:b/>
                <w:sz w:val="20"/>
                <w:szCs w:val="20"/>
              </w:rPr>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pPr>
              <w:rPr>
                <w:b/>
                <w:sz w:val="20"/>
                <w:szCs w:val="20"/>
              </w:rPr>
            </w:pPr>
            <w:r>
              <w:rPr>
                <w:b/>
                <w:sz w:val="20"/>
                <w:szCs w:val="20"/>
              </w:rPr>
              <w:t>Observation 4</w:t>
            </w:r>
            <w:r>
              <w:rPr>
                <w:b/>
                <w:sz w:val="20"/>
                <w:szCs w:val="20"/>
              </w:rPr>
              <w:tab/>
            </w:r>
            <w:r>
              <w:rPr>
                <w:b/>
                <w:sz w:val="20"/>
                <w:szCs w:val="20"/>
              </w:rPr>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pPr>
              <w:rPr>
                <w:b/>
                <w:sz w:val="20"/>
                <w:szCs w:val="20"/>
              </w:rPr>
            </w:pPr>
            <w:r>
              <w:rPr>
                <w:b/>
                <w:sz w:val="20"/>
                <w:szCs w:val="20"/>
              </w:rPr>
              <w:t>Proposal 2</w:t>
            </w:r>
            <w:r>
              <w:rPr>
                <w:b/>
                <w:sz w:val="20"/>
                <w:szCs w:val="20"/>
              </w:rPr>
              <w:tab/>
            </w:r>
            <w:r>
              <w:rPr>
                <w:b/>
                <w:sz w:val="20"/>
                <w:szCs w:val="20"/>
              </w:rPr>
              <w:t>The three unused entries in the legacy CQI mapping Table in clause 9.1.22.15 of TS 36.133 (i.e., Table 9.1.22.15-1) are used for the CQI reporting of 16-QAM in DL.</w:t>
            </w:r>
          </w:p>
          <w:tbl>
            <w:tblPr>
              <w:tblStyle w:val="47"/>
              <w:tblW w:w="7945" w:type="dxa"/>
              <w:jc w:val="center"/>
              <w:tblLayout w:type="autofit"/>
              <w:tblCellMar>
                <w:top w:w="0" w:type="dxa"/>
                <w:left w:w="0" w:type="dxa"/>
                <w:bottom w:w="0" w:type="dxa"/>
                <w:right w:w="0" w:type="dxa"/>
              </w:tblCellMar>
            </w:tblPr>
            <w:tblGrid>
              <w:gridCol w:w="1537"/>
              <w:gridCol w:w="1733"/>
              <w:gridCol w:w="4675"/>
            </w:tblGrid>
            <w:tr>
              <w:trPr>
                <w:trHeight w:val="76" w:hRule="atLeast"/>
                <w:jc w:val="center"/>
              </w:trPr>
              <w:tc>
                <w:tcPr>
                  <w:tcW w:w="13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color="auto" w:sz="8" w:space="0"/>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b/>
                      <w:sz w:val="20"/>
                      <w:szCs w:val="20"/>
                      <w:lang w:eastAsia="sv-SE"/>
                    </w:rPr>
                  </w:pPr>
                  <w:r>
                    <w:rPr>
                      <w:rFonts w:ascii="Arial" w:hAnsi="Arial"/>
                      <w:b/>
                      <w:sz w:val="18"/>
                      <w:szCs w:val="20"/>
                      <w:lang w:eastAsia="zh-CN"/>
                    </w:rPr>
                    <w:t>16-QAM CQI index with NPDSCH transport block error probability not exceeding 0.1</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18"/>
                      <w:lang w:val="en-GB" w:eastAsia="zh-CN"/>
                    </w:rPr>
                  </w:pPr>
                  <w:r>
                    <w:rPr>
                      <w:rFonts w:ascii="Arial" w:hAnsi="Arial"/>
                      <w:sz w:val="18"/>
                      <w:szCs w:val="20"/>
                      <w:lang w:val="en-GB" w:eastAsia="zh-CN"/>
                    </w:rPr>
                    <w:t>candidateRep-M</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candidateRep-N</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candidateRep-O</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pPr>
              <w:tabs>
                <w:tab w:val="left" w:pos="1701"/>
              </w:tabs>
              <w:overflowPunct w:val="0"/>
              <w:snapToGrid/>
              <w:spacing w:line="240" w:lineRule="auto"/>
              <w:ind w:left="1701"/>
              <w:textAlignment w:val="baseline"/>
              <w:rPr>
                <w:rFonts w:ascii="Arial" w:hAnsi="Arial"/>
                <w:b/>
                <w:bCs/>
                <w:sz w:val="20"/>
                <w:szCs w:val="20"/>
                <w:lang w:val="en-GB" w:eastAsia="zh-CN"/>
              </w:rPr>
            </w:pPr>
          </w:p>
          <w:tbl>
            <w:tblPr>
              <w:tblStyle w:val="47"/>
              <w:tblW w:w="0" w:type="auto"/>
              <w:jc w:val="center"/>
              <w:tblLayout w:type="autofit"/>
              <w:tblCellMar>
                <w:top w:w="0" w:type="dxa"/>
                <w:left w:w="0" w:type="dxa"/>
                <w:bottom w:w="0" w:type="dxa"/>
                <w:right w:w="0" w:type="dxa"/>
              </w:tblCellMar>
            </w:tblPr>
            <w:tblGrid>
              <w:gridCol w:w="1057"/>
              <w:gridCol w:w="1816"/>
              <w:gridCol w:w="1620"/>
            </w:tblGrid>
            <w:tr>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keepLines/>
                    <w:overflowPunct w:val="0"/>
                    <w:snapToGrid/>
                    <w:spacing w:after="0" w:line="240" w:lineRule="auto"/>
                    <w:jc w:val="center"/>
                    <w:textAlignment w:val="baseline"/>
                    <w:rPr>
                      <w:rFonts w:ascii="Arial" w:hAnsi="Arial" w:cs="Arial"/>
                      <w:b/>
                      <w:sz w:val="18"/>
                      <w:szCs w:val="18"/>
                      <w:lang w:eastAsia="zh-CN"/>
                    </w:rPr>
                  </w:pPr>
                  <w:r>
                    <w:rPr>
                      <w:rFonts w:ascii="Arial" w:hAnsi="Arial"/>
                      <w:b/>
                      <w:sz w:val="18"/>
                      <w:szCs w:val="20"/>
                      <w:lang w:val="de-DE" w:eastAsia="zh-CN"/>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pPr>
              <w:rPr>
                <w:b/>
                <w:sz w:val="20"/>
                <w:szCs w:val="20"/>
              </w:rPr>
            </w:pPr>
          </w:p>
          <w:p>
            <w:pPr>
              <w:rPr>
                <w:b/>
                <w:sz w:val="20"/>
                <w:szCs w:val="20"/>
              </w:rPr>
            </w:pPr>
            <w:r>
              <w:rPr>
                <w:b/>
                <w:sz w:val="20"/>
                <w:szCs w:val="20"/>
              </w:rPr>
              <w:t>Observation 5</w:t>
            </w:r>
            <w:r>
              <w:rPr>
                <w:b/>
                <w:sz w:val="20"/>
                <w:szCs w:val="20"/>
              </w:rPr>
              <w:tab/>
            </w:r>
            <w:r>
              <w:rPr>
                <w:b/>
                <w:sz w:val="20"/>
                <w:szCs w:val="20"/>
              </w:rPr>
              <w:t>For the DL channel quality report there is an “FFS on support in Msg3 in connected mode”, nonetheless TS 36.321 states “DL channel quality in Msg3 in RRC_CONNECTED is not reported”.</w:t>
            </w:r>
          </w:p>
          <w:p>
            <w:pPr>
              <w:rPr>
                <w:b/>
                <w:sz w:val="20"/>
                <w:szCs w:val="20"/>
              </w:rPr>
            </w:pPr>
            <w:r>
              <w:rPr>
                <w:b/>
                <w:sz w:val="20"/>
                <w:szCs w:val="20"/>
              </w:rPr>
              <w:t>Proposal 3</w:t>
            </w:r>
            <w:r>
              <w:rPr>
                <w:b/>
                <w:sz w:val="20"/>
                <w:szCs w:val="20"/>
              </w:rPr>
              <w:tab/>
            </w:r>
            <w:r>
              <w:rPr>
                <w:b/>
                <w:sz w:val="20"/>
                <w:szCs w:val="20"/>
              </w:rPr>
              <w:t>For the support of 16-QAM in DL the legacy is followed and the “DL channel quality in Msg3 in RRC_CONNECTED is not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469" w:type="dxa"/>
          </w:tcPr>
          <w:p>
            <w:pPr>
              <w:rPr>
                <w:b/>
                <w:i/>
                <w:sz w:val="20"/>
                <w:szCs w:val="20"/>
                <w:lang w:val="en-GB"/>
              </w:rPr>
            </w:pPr>
          </w:p>
        </w:tc>
      </w:tr>
    </w:tbl>
    <w:p/>
    <w:p>
      <w:pPr>
        <w:spacing w:line="240" w:lineRule="auto"/>
      </w:pPr>
      <w:r>
        <w:rPr>
          <w:rFonts w:hint="eastAsia"/>
        </w:rPr>
        <w:t>As most companies propose to not support channel quality report in Msg3 in connected mode, the following is pr</w:t>
      </w:r>
      <w:r>
        <w:t>oposed:</w:t>
      </w:r>
    </w:p>
    <w:p>
      <w:pPr>
        <w:spacing w:line="240" w:lineRule="auto"/>
      </w:pPr>
      <w:r>
        <w:rPr>
          <w:b/>
        </w:rPr>
        <w:t>Proposal 8 (conclusion): 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pPr>
        <w:spacing w:line="240" w:lineRule="auto"/>
      </w:pPr>
      <w:r>
        <w:t>For the majority view (option 3), the concerns can be easily addressed by a Rel-17 RRC parameter. If it can be resolved, the following is proposed to move forward based on majority view:</w:t>
      </w:r>
    </w:p>
    <w:p>
      <w:pPr>
        <w:spacing w:line="240" w:lineRule="auto"/>
      </w:pPr>
      <w:r>
        <w:rPr>
          <w:b/>
        </w:rPr>
        <w:t>Proposal 9: For downlink 16-QAM, a new CQI table is defined based on the table 7.2.3-3 in TS 36.213 as a starting point.</w:t>
      </w:r>
    </w:p>
    <w:p>
      <w:pPr>
        <w:spacing w:line="240" w:lineRule="auto"/>
      </w:pPr>
      <w:r>
        <w:rPr>
          <w:rFonts w:hint="eastAsia"/>
        </w:rPr>
        <w:t>P</w:t>
      </w:r>
      <w:r>
        <w:t>lease input your comments for the above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 xml:space="preserve">e are OK with proposal 8 and proposal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5"/>
              </w:numPr>
            </w:pPr>
            <w:r>
              <w:t>Proposal 8: Ok.</w:t>
            </w:r>
          </w:p>
          <w:p>
            <w:pPr>
              <w:pStyle w:val="66"/>
              <w:numPr>
                <w:ilvl w:val="0"/>
                <w:numId w:val="15"/>
              </w:numPr>
            </w:pPr>
            <w:r>
              <w:t>Proposal 9: We are not ok with it, mainly because of the no backward compatibility from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We are OK with proposal 8</w:t>
            </w:r>
          </w:p>
          <w:p>
            <w:pPr>
              <w:rPr>
                <w:szCs w:val="20"/>
                <w:lang w:eastAsia="zh-CN"/>
              </w:rPr>
            </w:pPr>
            <w:r>
              <w:rPr>
                <w:rFonts w:hint="eastAsia"/>
                <w:szCs w:val="20"/>
                <w:lang w:eastAsia="zh-CN"/>
              </w:rPr>
              <w:t>F</w:t>
            </w:r>
            <w:r>
              <w:rPr>
                <w:szCs w:val="20"/>
                <w:lang w:eastAsia="zh-CN"/>
              </w:rPr>
              <w:t>or proposal 9, we have some concern because it is not aligned with the WID</w:t>
            </w:r>
          </w:p>
          <w:p>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pPr>
              <w:pStyle w:val="66"/>
              <w:numPr>
                <w:ilvl w:val="0"/>
                <w:numId w:val="11"/>
              </w:numPr>
              <w:snapToGrid w:val="0"/>
              <w:spacing w:line="240" w:lineRule="auto"/>
              <w:ind w:left="79" w:leftChars="36"/>
              <w:jc w:val="left"/>
              <w:rPr>
                <w:rFonts w:ascii="Times New Roman" w:hAnsi="Times New Roman"/>
                <w:bCs/>
                <w:sz w:val="20"/>
                <w:szCs w:val="20"/>
              </w:rPr>
            </w:pPr>
            <w:r>
              <w:rPr>
                <w:rFonts w:ascii="Times New Roman" w:hAnsi="Times New Roman" w:eastAsia="等线"/>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hAnsi="Times New Roman" w:eastAsia="等线"/>
                <w:sz w:val="20"/>
                <w:szCs w:val="20"/>
              </w:rPr>
              <w:t xml:space="preserve"> [NB-IoT] [RAN1, RAN4]</w:t>
            </w:r>
          </w:p>
          <w:p>
            <w:pPr>
              <w:pStyle w:val="66"/>
              <w:numPr>
                <w:ilvl w:val="1"/>
                <w:numId w:val="11"/>
              </w:numPr>
              <w:snapToGrid w:val="0"/>
              <w:spacing w:line="240" w:lineRule="auto"/>
              <w:ind w:left="785"/>
              <w:jc w:val="left"/>
              <w:rPr>
                <w:rFonts w:ascii="Times New Roman" w:hAnsi="Times New Roman"/>
                <w:bCs/>
                <w:sz w:val="20"/>
                <w:szCs w:val="20"/>
              </w:rPr>
            </w:pPr>
            <w:r>
              <w:rPr>
                <w:rFonts w:ascii="Times New Roman" w:hAnsi="Times New Roman" w:eastAsia="等线"/>
                <w:sz w:val="20"/>
                <w:szCs w:val="20"/>
              </w:rPr>
              <w:t xml:space="preserve">Extend the NB-IoT channel quality reporting </w:t>
            </w:r>
            <w:r>
              <w:rPr>
                <w:rFonts w:ascii="Times New Roman" w:hAnsi="Times New Roman" w:eastAsia="等线"/>
                <w:sz w:val="20"/>
                <w:szCs w:val="20"/>
                <w:highlight w:val="yellow"/>
              </w:rPr>
              <w:t>based on the framework of Rel-14—16</w:t>
            </w:r>
            <w:r>
              <w:rPr>
                <w:rFonts w:ascii="Times New Roman" w:hAnsi="Times New Roman" w:eastAsia="等线"/>
                <w:sz w:val="20"/>
                <w:szCs w:val="20"/>
              </w:rPr>
              <w:t xml:space="preserve">, to support 16-QAM in DL. [NB-IoT] [RAN2, RAN1, RAN4] </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tabs>
                <w:tab w:val="left" w:pos="3130"/>
              </w:tabs>
              <w:rPr>
                <w:szCs w:val="20"/>
                <w:lang w:eastAsia="zh-CN"/>
              </w:rPr>
            </w:pPr>
            <w:r>
              <w:rPr>
                <w:rFonts w:hint="eastAsia"/>
                <w:szCs w:val="20"/>
                <w:lang w:eastAsia="zh-CN"/>
              </w:rPr>
              <w:t>Agree with Proposal 8 and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t>There are also other proposals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w:t>
            </w:r>
            <w:r>
              <w:rPr>
                <w:szCs w:val="20"/>
              </w:rPr>
              <w:t>ourcing</w:t>
            </w:r>
          </w:p>
        </w:tc>
        <w:tc>
          <w:tcPr>
            <w:tcW w:w="7469" w:type="dxa"/>
          </w:tcPr>
          <w:p>
            <w:pPr>
              <w:rPr>
                <w:szCs w:val="20"/>
              </w:rPr>
            </w:pPr>
            <w:r>
              <w:rPr>
                <w:rFonts w:hint="eastAsia"/>
                <w:szCs w:val="20"/>
              </w:rPr>
              <w:t>proposal</w:t>
            </w:r>
            <w:r>
              <w:rPr>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pPr>
              <w:spacing w:before="120" w:beforeLines="5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[9]</w:t>
            </w:r>
          </w:p>
        </w:tc>
        <w:tc>
          <w:tcPr>
            <w:tcW w:w="7469" w:type="dxa"/>
          </w:tcPr>
          <w:p>
            <w:pPr>
              <w:spacing w:line="240" w:lineRule="auto"/>
              <w:rPr>
                <w:b/>
                <w:lang w:eastAsia="zh-CN"/>
              </w:rPr>
            </w:pPr>
            <w:r>
              <w:rPr>
                <w:b/>
                <w:lang w:eastAsia="zh-CN"/>
              </w:rPr>
              <w:t>Observation 1: The PAPR of 16-QAM for DL NB-IoT is increased compared with QPSK.</w:t>
            </w:r>
          </w:p>
          <w:p>
            <w:pPr>
              <w:rPr>
                <w:b/>
                <w:lang w:eastAsia="zh-CN"/>
              </w:rPr>
            </w:pPr>
            <w:r>
              <w:rPr>
                <w:b/>
                <w:lang w:eastAsia="zh-CN"/>
              </w:rPr>
              <w:t>Proposal 1: RAN1 to consider the reduction of 16-QAM PAPR for DL NB-IoT.</w:t>
            </w:r>
          </w:p>
          <w:p>
            <w:pPr>
              <w:pStyle w:val="157"/>
              <w:numPr>
                <w:ilvl w:val="0"/>
                <w:numId w:val="0"/>
              </w:numPr>
              <w:spacing w:line="240" w:lineRule="auto"/>
              <w:ind w:left="360" w:hanging="36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[10]</w:t>
            </w:r>
          </w:p>
        </w:tc>
        <w:tc>
          <w:tcPr>
            <w:tcW w:w="7469" w:type="dxa"/>
          </w:tcPr>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r>
            <w:r>
              <w:rPr>
                <w:rFonts w:ascii="Arial" w:hAnsi="Arial"/>
                <w:b/>
                <w:bCs/>
                <w:sz w:val="20"/>
                <w:szCs w:val="20"/>
                <w:lang w:eastAsia="ja-JP"/>
              </w:rPr>
              <w:t>The WI on “Additional enhancements for NB-IoT and LTE-MTC” is coming to its end and there are two tasks that need to be started promptly (e.g., after RAN1# 106-e):</w:t>
            </w: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hint="eastAsia" w:ascii="Arial" w:hAnsi="Arial"/>
                <w:b/>
                <w:bCs/>
                <w:sz w:val="20"/>
                <w:szCs w:val="20"/>
                <w:lang w:eastAsia="ja-JP"/>
              </w:rPr>
              <w:t>•</w:t>
            </w:r>
            <w:r>
              <w:rPr>
                <w:rFonts w:ascii="Arial" w:hAnsi="Arial"/>
                <w:b/>
                <w:bCs/>
                <w:sz w:val="20"/>
                <w:szCs w:val="20"/>
                <w:lang w:eastAsia="ja-JP"/>
              </w:rPr>
              <w:tab/>
            </w:r>
            <w:r>
              <w:rPr>
                <w:rFonts w:ascii="Arial" w:hAnsi="Arial"/>
                <w:b/>
                <w:bCs/>
                <w:sz w:val="20"/>
                <w:szCs w:val="20"/>
                <w:lang w:eastAsia="ja-JP"/>
              </w:rPr>
              <w:t>An overall initial identification of specification impacts on a per agreement basis.</w:t>
            </w: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hint="eastAsia" w:ascii="Arial" w:hAnsi="Arial"/>
                <w:b/>
                <w:bCs/>
                <w:sz w:val="20"/>
                <w:szCs w:val="20"/>
                <w:lang w:eastAsia="ja-JP"/>
              </w:rPr>
              <w:t>•</w:t>
            </w:r>
            <w:r>
              <w:rPr>
                <w:rFonts w:ascii="Arial" w:hAnsi="Arial"/>
                <w:b/>
                <w:bCs/>
                <w:sz w:val="20"/>
                <w:szCs w:val="20"/>
                <w:lang w:eastAsia="ja-JP"/>
              </w:rPr>
              <w:tab/>
            </w:r>
            <w:r>
              <w:rPr>
                <w:rFonts w:ascii="Arial" w:hAnsi="Arial"/>
                <w:b/>
                <w:bCs/>
                <w:sz w:val="20"/>
                <w:szCs w:val="20"/>
                <w:lang w:eastAsia="ja-JP"/>
              </w:rPr>
              <w:t>Initiate the identification of the required RRC parameters per WI objective lead by RAN1 as to create the “Rel-17 RRC parameter list”.</w:t>
            </w:r>
          </w:p>
          <w:p>
            <w:pPr>
              <w:tabs>
                <w:tab w:val="left" w:pos="1701"/>
              </w:tabs>
              <w:overflowPunct w:val="0"/>
              <w:snapToGrid/>
              <w:spacing w:line="240" w:lineRule="auto"/>
              <w:ind w:left="1701" w:hanging="1701"/>
              <w:textAlignment w:val="baseline"/>
              <w:rPr>
                <w:rFonts w:ascii="Arial" w:hAnsi="Arial"/>
                <w:b/>
                <w:bCs/>
                <w:sz w:val="20"/>
                <w:szCs w:val="20"/>
                <w:lang w:eastAsia="ja-JP"/>
              </w:rPr>
            </w:pP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r>
            <w:r>
              <w:rPr>
                <w:rFonts w:ascii="Arial" w:hAnsi="Arial"/>
                <w:b/>
                <w:bCs/>
                <w:sz w:val="20"/>
                <w:szCs w:val="20"/>
                <w:lang w:eastAsia="ja-JP"/>
              </w:rPr>
              <w:t>In our view, the overall initial identification of specification impacts on a per agreement basis can be carried out in parallel with the RRC parameter list.</w:t>
            </w:r>
          </w:p>
        </w:tc>
      </w:tr>
    </w:tbl>
    <w:p/>
    <w:p>
      <w:r>
        <w:t>Please input any issue that can be considered for discussion in this 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Ericsson</w:t>
            </w:r>
          </w:p>
        </w:tc>
        <w:tc>
          <w:tcPr>
            <w:tcW w:w="7469" w:type="dxa"/>
          </w:tcPr>
          <w:p>
            <w:pPr>
              <w:rPr>
                <w:szCs w:val="20"/>
              </w:rPr>
            </w:pPr>
            <w:r>
              <w:rPr>
                <w:szCs w:val="20"/>
              </w:rPr>
              <w:t>From other topics, we believe the following proposal in [3] is important to discuss: “Proposal 4: Define CSI reference resource to be used for 16-QAM CQI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pStyle w:val="28"/>
              <w:jc w:val="left"/>
              <w:rPr>
                <w:rFonts w:eastAsia="宋体"/>
                <w:szCs w:val="20"/>
              </w:rPr>
            </w:pPr>
            <w:r>
              <w:rPr>
                <w:rFonts w:hint="eastAsia" w:eastAsia="宋体"/>
                <w:b w:val="0"/>
                <w:bCs w:val="0"/>
                <w:szCs w:val="20"/>
              </w:rPr>
              <w:t>It is worth to mention that for the large TBS case with QPSK, increasing the mapping RU number while keeping the repetition number reduced half improve performance more than 2 dB. Therefore, for NB-IoT UE with 16QAM, double RU number should be considered to improve the performance for some QPSK entries with the repetition number reduced half.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agree with Ericsson that we should discuss the issue of CSI reference resource.</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7"/>
        </w:numPr>
        <w:spacing w:after="60"/>
        <w:rPr>
          <w:rFonts w:ascii="Times New Roman" w:hAnsi="Times New Roman" w:cs="Times New Roman"/>
          <w:sz w:val="22"/>
        </w:rPr>
      </w:pPr>
      <w:bookmarkStart w:id="7" w:name="_Ref520312828"/>
      <w:r>
        <w:rPr>
          <w:rFonts w:ascii="Times New Roman" w:hAnsi="Times New Roman" w:cs="Times New Roman"/>
          <w:sz w:val="22"/>
        </w:rPr>
        <w:t xml:space="preserve">RP-211340, “WID revision: Additional enhancements for NB-IoT and LTE-MTC”, </w:t>
      </w:r>
      <w:bookmarkEnd w:id="7"/>
      <w:r>
        <w:rPr>
          <w:rFonts w:ascii="Times New Roman" w:hAnsi="Times New Roman" w:cs="Times New Roman"/>
          <w:sz w:val="22"/>
        </w:rPr>
        <w:t>Huawei, HiSilicon, RAN#92e, E-meeting, June 2021.</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r>
      <w:r>
        <w:rPr>
          <w:rFonts w:ascii="Times New Roman" w:hAnsi="Times New Roman" w:cs="Times New Roman"/>
          <w:sz w:val="22"/>
        </w:rPr>
        <w:t>Support 16QAM in NB-IOT</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R1-2107684</w:t>
      </w:r>
      <w:r>
        <w:rPr>
          <w:rFonts w:ascii="Times New Roman" w:hAnsi="Times New Roman" w:cs="Times New Roman"/>
          <w:sz w:val="22"/>
        </w:rPr>
        <w:tab/>
      </w:r>
      <w:r>
        <w:rPr>
          <w:rFonts w:ascii="Times New Roman" w:hAnsi="Times New Roman" w:cs="Times New Roman"/>
          <w:sz w:val="22"/>
        </w:rPr>
        <w:t>Discussion on DL PAPR for 16-QAM of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r>
      <w:r>
        <w:rPr>
          <w:rFonts w:ascii="Times New Roman" w:hAnsi="Times New Roman" w:cs="Times New Roman"/>
          <w:sz w:val="22"/>
        </w:rPr>
        <w:t>On Rel-17 RRC parameters and specification impacts for LTE-M and NB-IoT</w:t>
      </w:r>
      <w:r>
        <w:rPr>
          <w:rFonts w:ascii="Times New Roman" w:hAnsi="Times New Roman" w:cs="Times New Roman"/>
          <w:sz w:val="22"/>
        </w:rPr>
        <w:tab/>
      </w:r>
      <w:r>
        <w:rPr>
          <w:rFonts w:ascii="Times New Roman" w:hAnsi="Times New Roman" w:cs="Times New Roman"/>
          <w:sz w:val="22"/>
        </w:rPr>
        <w:t>Ericsson</w:t>
      </w:r>
    </w:p>
    <w:p>
      <w:pPr>
        <w:spacing w:after="60"/>
      </w:pPr>
    </w:p>
    <w:sectPr>
      <w:pgSz w:w="11909" w:h="16834"/>
      <w:pgMar w:top="1440" w:right="1152" w:bottom="1440" w:left="144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08-18T14:58:00Z" w:initials="Ericsson">
    <w:p w14:paraId="34B16B27">
      <w:pPr>
        <w:pStyle w:val="92"/>
        <w:rPr>
          <w:sz w:val="16"/>
          <w:szCs w:val="16"/>
        </w:rPr>
      </w:pPr>
      <w:r>
        <w:rPr>
          <w:rStyle w:val="53"/>
        </w:rPr>
        <w:t xml:space="preserve">I now realized we missed that </w:t>
      </w:r>
      <w:r>
        <w:rPr>
          <w:rStyle w:val="53"/>
          <w:i/>
          <w:iCs/>
        </w:rPr>
        <w:t>inbandCarrierInfo</w:t>
      </w:r>
      <w:r>
        <w:rPr>
          <w:rStyle w:val="53"/>
        </w:rPr>
        <w:t xml:space="preserve"> can be in msg4 (See TS 36.331), thus we should have written “SIB/msg4”.</w:t>
      </w:r>
    </w:p>
    <w:p w14:paraId="6BE111A0">
      <w:pPr>
        <w:pStyle w:val="30"/>
        <w:rPr>
          <w:rFonts w:ascii="Arial" w:hAnsi="Arial" w:eastAsiaTheme="minorHAnsi" w:cstheme="minorBidi"/>
          <w:b/>
          <w:bCs/>
          <w:i/>
          <w:iCs/>
          <w:sz w:val="18"/>
          <w:szCs w:val="18"/>
          <w:lang w:eastAsia="ja-JP"/>
        </w:rPr>
      </w:pPr>
    </w:p>
    <w:p w14:paraId="31AC70E6">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AC70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99B1F2E"/>
    <w:multiLevelType w:val="multilevel"/>
    <w:tmpl w:val="099B1F2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3">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AC0077"/>
    <w:multiLevelType w:val="multilevel"/>
    <w:tmpl w:val="12AC0077"/>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3473309"/>
    <w:multiLevelType w:val="multilevel"/>
    <w:tmpl w:val="13473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9">
    <w:nsid w:val="30CD75A2"/>
    <w:multiLevelType w:val="multilevel"/>
    <w:tmpl w:val="30CD75A2"/>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5">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1D639C0"/>
    <w:multiLevelType w:val="multilevel"/>
    <w:tmpl w:val="51D639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348FFD6"/>
    <w:multiLevelType w:val="multilevel"/>
    <w:tmpl w:val="5348FF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Yu Gothic"/>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Yu Gothic"/>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Yu Gothic"/>
      </w:rPr>
    </w:lvl>
    <w:lvl w:ilvl="8" w:tentative="0">
      <w:start w:val="1"/>
      <w:numFmt w:val="bullet"/>
      <w:lvlText w:val=""/>
      <w:lvlJc w:val="left"/>
      <w:pPr>
        <w:ind w:left="6480" w:hanging="360"/>
      </w:pPr>
      <w:rPr>
        <w:rFonts w:hint="default" w:ascii="Wingdings" w:hAnsi="Wingdings"/>
      </w:rPr>
    </w:lvl>
  </w:abstractNum>
  <w:abstractNum w:abstractNumId="21">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3">
    <w:nsid w:val="6CA36583"/>
    <w:multiLevelType w:val="multilevel"/>
    <w:tmpl w:val="6CA3658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5">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0"/>
  </w:num>
  <w:num w:numId="3">
    <w:abstractNumId w:val="11"/>
  </w:num>
  <w:num w:numId="4">
    <w:abstractNumId w:val="24"/>
  </w:num>
  <w:num w:numId="5">
    <w:abstractNumId w:val="12"/>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4"/>
  </w:num>
  <w:num w:numId="11">
    <w:abstractNumId w:val="7"/>
  </w:num>
  <w:num w:numId="12">
    <w:abstractNumId w:val="6"/>
  </w:num>
  <w:num w:numId="13">
    <w:abstractNumId w:val="1"/>
  </w:num>
  <w:num w:numId="14">
    <w:abstractNumId w:val="9"/>
  </w:num>
  <w:num w:numId="15">
    <w:abstractNumId w:val="18"/>
  </w:num>
  <w:num w:numId="16">
    <w:abstractNumId w:val="5"/>
  </w:num>
  <w:num w:numId="17">
    <w:abstractNumId w:val="26"/>
  </w:num>
  <w:num w:numId="18">
    <w:abstractNumId w:val="2"/>
  </w:num>
  <w:num w:numId="19">
    <w:abstractNumId w:val="13"/>
  </w:num>
  <w:num w:numId="20">
    <w:abstractNumId w:val="23"/>
  </w:num>
  <w:num w:numId="21">
    <w:abstractNumId w:val="19"/>
  </w:num>
  <w:num w:numId="22">
    <w:abstractNumId w:val="21"/>
  </w:num>
  <w:num w:numId="23">
    <w:abstractNumId w:val="3"/>
  </w:num>
  <w:num w:numId="24">
    <w:abstractNumId w:val="4"/>
  </w:num>
  <w:num w:numId="25">
    <w:abstractNumId w:val="20"/>
  </w:num>
  <w:num w:numId="26">
    <w:abstractNumId w:val="16"/>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FDE3726"/>
    <w:rsid w:val="3FE27A61"/>
    <w:rsid w:val="41A5551C"/>
    <w:rsid w:val="447454CF"/>
    <w:rsid w:val="44B636D1"/>
    <w:rsid w:val="4736265F"/>
    <w:rsid w:val="4E6F71D9"/>
    <w:rsid w:val="50012C3F"/>
    <w:rsid w:val="548E3195"/>
    <w:rsid w:val="553158EE"/>
    <w:rsid w:val="605D2841"/>
    <w:rsid w:val="607E5ACC"/>
    <w:rsid w:val="624B1CB6"/>
    <w:rsid w:val="67474B6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标题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标题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标题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标题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标题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标题 6 Char"/>
    <w:basedOn w:val="49"/>
    <w:link w:val="7"/>
    <w:qFormat/>
    <w:uiPriority w:val="0"/>
    <w:rPr>
      <w:rFonts w:ascii="Arial" w:hAnsi="Arial" w:cs="Times New Roman"/>
      <w:kern w:val="0"/>
      <w:sz w:val="20"/>
      <w:szCs w:val="20"/>
      <w:lang w:val="en-GB" w:eastAsia="en-US"/>
    </w:rPr>
  </w:style>
  <w:style w:type="character" w:customStyle="1" w:styleId="61">
    <w:name w:val="标题 7 Char"/>
    <w:basedOn w:val="49"/>
    <w:link w:val="9"/>
    <w:qFormat/>
    <w:uiPriority w:val="0"/>
    <w:rPr>
      <w:rFonts w:ascii="Arial" w:hAnsi="Arial" w:cs="Times New Roman"/>
      <w:kern w:val="0"/>
      <w:sz w:val="20"/>
      <w:szCs w:val="20"/>
      <w:lang w:val="en-GB" w:eastAsia="en-US"/>
    </w:rPr>
  </w:style>
  <w:style w:type="character" w:customStyle="1" w:styleId="62">
    <w:name w:val="标题 8 Char"/>
    <w:basedOn w:val="49"/>
    <w:link w:val="10"/>
    <w:qFormat/>
    <w:uiPriority w:val="0"/>
    <w:rPr>
      <w:rFonts w:ascii="Arial" w:hAnsi="Arial" w:cs="Times New Roman"/>
      <w:kern w:val="0"/>
      <w:sz w:val="36"/>
      <w:szCs w:val="20"/>
      <w:lang w:val="en-GB" w:eastAsia="en-US"/>
    </w:rPr>
  </w:style>
  <w:style w:type="character" w:customStyle="1" w:styleId="63">
    <w:name w:val="标题 9 Char"/>
    <w:basedOn w:val="49"/>
    <w:link w:val="11"/>
    <w:qFormat/>
    <w:uiPriority w:val="0"/>
    <w:rPr>
      <w:rFonts w:ascii="Arial" w:hAnsi="Arial" w:cs="Times New Roman"/>
      <w:kern w:val="0"/>
      <w:sz w:val="36"/>
      <w:szCs w:val="20"/>
      <w:lang w:val="en-GB" w:eastAsia="en-US"/>
    </w:rPr>
  </w:style>
  <w:style w:type="character" w:customStyle="1" w:styleId="64">
    <w:name w:val="题注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列出段落 Char"/>
    <w:link w:val="66"/>
    <w:qFormat/>
    <w:uiPriority w:val="99"/>
    <w:rPr>
      <w:rFonts w:ascii="Calibri" w:hAnsi="Calibri" w:eastAsia="宋体" w:cs="Calibri"/>
      <w:kern w:val="0"/>
      <w:szCs w:val="21"/>
    </w:rPr>
  </w:style>
  <w:style w:type="character" w:customStyle="1" w:styleId="68">
    <w:name w:val="页眉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页脚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批注框文本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Revision"/>
    <w:hidden/>
    <w:semiHidden/>
    <w:uiPriority w:val="99"/>
    <w:pPr>
      <w:spacing w:after="0" w:line="240"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3E6D7-C75D-4F64-8679-92388253798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25</Pages>
  <Words>7603</Words>
  <Characters>43339</Characters>
  <Lines>361</Lines>
  <Paragraphs>101</Paragraphs>
  <TotalTime>2</TotalTime>
  <ScaleCrop>false</ScaleCrop>
  <LinksUpToDate>false</LinksUpToDate>
  <CharactersWithSpaces>50841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2021-08-20T01:15:00Z</dcterms:created>
  <dc:creator>yangyubo (A)</dc:creator>
  <cp:lastModifiedBy>ZTE</cp:lastModifiedBy>
  <dcterms:modified xsi:type="dcterms:W3CDTF">2021-08-20T10:09:44Z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