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34912">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34912">
              <w:rPr>
                <w:noProof/>
                <w:position w:val="-6"/>
              </w:rPr>
              <w:pict w14:anchorId="6FF626EE">
                <v:shape id="_x0000_i102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34912">
              <w:rPr>
                <w:noProof/>
                <w:position w:val="-6"/>
              </w:rPr>
              <w:pict w14:anchorId="63341D98">
                <v:shape id="_x0000_i102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34912">
              <w:rPr>
                <w:noProof/>
                <w:position w:val="-6"/>
              </w:rPr>
              <w:pict w14:anchorId="0C46B197">
                <v:shape id="_x0000_i1028"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34912">
              <w:rPr>
                <w:noProof/>
                <w:position w:val="-6"/>
              </w:rPr>
              <w:pict w14:anchorId="0554C870">
                <v:shape id="_x0000_i1029"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34912">
              <w:rPr>
                <w:noProof/>
                <w:position w:val="-6"/>
              </w:rPr>
              <w:pict w14:anchorId="508AA13B">
                <v:shape id="_x0000_i1030"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34912">
              <w:rPr>
                <w:noProof/>
                <w:position w:val="-6"/>
              </w:rPr>
              <w:pict w14:anchorId="68002ACE">
                <v:shape id="_x0000_i1031"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34912">
              <w:rPr>
                <w:noProof/>
                <w:position w:val="-6"/>
              </w:rPr>
              <w:pict w14:anchorId="01FE8C51">
                <v:shape id="_x0000_i1032"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34912">
              <w:rPr>
                <w:noProof/>
                <w:position w:val="-6"/>
              </w:rPr>
              <w:pict w14:anchorId="570D1BEE">
                <v:shape id="_x0000_i1033"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34912">
              <w:rPr>
                <w:noProof/>
                <w:position w:val="-6"/>
              </w:rPr>
              <w:pict w14:anchorId="30513476">
                <v:shape id="_x0000_i1034"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34912">
              <w:rPr>
                <w:noProof/>
                <w:position w:val="-6"/>
              </w:rPr>
              <w:pict w14:anchorId="26D3F923">
                <v:shape id="_x0000_i1035"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34912">
              <w:rPr>
                <w:noProof/>
                <w:position w:val="-6"/>
              </w:rPr>
              <w:pict w14:anchorId="0250EC83">
                <v:shape id="_x0000_i103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34912">
              <w:rPr>
                <w:noProof/>
                <w:position w:val="-6"/>
              </w:rPr>
              <w:pict w14:anchorId="3EFF2C7F">
                <v:shape id="_x0000_i103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A4303B">
                    <w:rPr>
                      <w:noProof/>
                      <w:position w:val="-12"/>
                      <w:lang w:val="en-GB"/>
                    </w:rPr>
                    <w:object w:dxaOrig="2698" w:dyaOrig="332" w14:anchorId="31055CB3">
                      <v:shape id="_x0000_i1038" type="#_x0000_t75" alt="" style="width:135pt;height:16.5pt;mso-width-percent:0;mso-height-percent:0;mso-width-percent:0;mso-height-percent:0" o:ole="">
                        <v:imagedata r:id="rId15" o:title=""/>
                      </v:shape>
                      <o:OLEObject Type="Embed" ProgID="Equation.3" ShapeID="_x0000_i1038" DrawAspect="Content" ObjectID="_1691489300"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A4303B">
                    <w:rPr>
                      <w:noProof/>
                      <w:position w:val="-10"/>
                      <w:lang w:val="en-GB"/>
                    </w:rPr>
                    <w:object w:dxaOrig="657" w:dyaOrig="332" w14:anchorId="7CE3BB98">
                      <v:shape id="_x0000_i1039" type="#_x0000_t75" alt="" style="width:33pt;height:16.5pt;mso-width-percent:0;mso-height-percent:0;mso-width-percent:0;mso-height-percent:0" o:ole="">
                        <v:imagedata r:id="rId17" o:title=""/>
                      </v:shape>
                      <o:OLEObject Type="Embed" ProgID="Equation.3" ShapeID="_x0000_i1039" DrawAspect="Content" ObjectID="_1691489301"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A4303B">
            <w:r>
              <w:rPr>
                <w:noProof/>
              </w:rPr>
              <w:object w:dxaOrig="8695" w:dyaOrig="1258" w14:anchorId="6304A9DC">
                <v:shape id="_x0000_i1040" type="#_x0000_t75" alt="" style="width:435pt;height:63pt;mso-width-percent:0;mso-height-percent:0;mso-width-percent:0;mso-height-percent:0" o:ole="">
                  <v:imagedata r:id="rId19" o:title=""/>
                </v:shape>
                <o:OLEObject Type="Embed" ProgID="Visio.Drawing.15" ShapeID="_x0000_i1040" DrawAspect="Content" ObjectID="_1691489302" r:id="rId20"/>
              </w:object>
            </w:r>
          </w:p>
          <w:p w14:paraId="3053814A" w14:textId="77777777" w:rsidR="002E1502" w:rsidRDefault="00B66DAD">
            <w:r>
              <w:t>DB shift within DBTW:</w:t>
            </w:r>
          </w:p>
          <w:p w14:paraId="3053814B" w14:textId="77777777" w:rsidR="002E1502" w:rsidRDefault="00A4303B">
            <w:r>
              <w:rPr>
                <w:noProof/>
              </w:rPr>
              <w:object w:dxaOrig="8529" w:dyaOrig="1211" w14:anchorId="589C58E9">
                <v:shape id="_x0000_i1041" type="#_x0000_t75" alt="" style="width:426.75pt;height:60.75pt;mso-width-percent:0;mso-height-percent:0;mso-width-percent:0;mso-height-percent:0" o:ole="">
                  <v:imagedata r:id="rId21" o:title=""/>
                </v:shape>
                <o:OLEObject Type="Embed" ProgID="Visio.Drawing.15" ShapeID="_x0000_i1041" DrawAspect="Content" ObjectID="_1691489303"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53641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536410">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536410"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1.1-2F) – suggest for email approval</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3095CB22" w:rsidR="00D24F92" w:rsidRDefault="00D24F92">
      <w:pPr>
        <w:pStyle w:val="BodyText"/>
        <w:spacing w:after="0"/>
        <w:rPr>
          <w:rFonts w:ascii="Times New Roman" w:hAnsi="Times New Roman"/>
          <w:sz w:val="22"/>
          <w:szCs w:val="22"/>
          <w:lang w:eastAsia="zh-CN"/>
        </w:rPr>
      </w:pPr>
    </w:p>
    <w:p w14:paraId="479E03D8" w14:textId="076FD42C" w:rsidR="00423E7E" w:rsidRDefault="00423E7E" w:rsidP="00423E7E">
      <w:pPr>
        <w:pStyle w:val="Heading5"/>
        <w:rPr>
          <w:rFonts w:ascii="Times New Roman" w:hAnsi="Times New Roman"/>
          <w:b/>
          <w:bCs/>
          <w:lang w:eastAsia="zh-CN"/>
        </w:rPr>
      </w:pPr>
      <w:r>
        <w:rPr>
          <w:rFonts w:ascii="Times New Roman" w:hAnsi="Times New Roman"/>
          <w:b/>
          <w:bCs/>
          <w:lang w:eastAsia="zh-CN"/>
        </w:rPr>
        <w:t>Proposal 1.1-2G) – suggest for email approval</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D9EB515" w14:textId="4C95EFBF" w:rsidR="00423E7E" w:rsidRDefault="00423E7E">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As we mentioned in the same email, unfortunately, we now have concerns about these two proposals, not because they are flawed, but because we realize that there is a dependence on the number of candidate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candidate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But until we know that,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5E4021" w14:paraId="3C38BB16" w14:textId="77777777" w:rsidTr="005E4021">
        <w:tc>
          <w:tcPr>
            <w:tcW w:w="1705" w:type="dxa"/>
          </w:tcPr>
          <w:p w14:paraId="28BD5498" w14:textId="77777777" w:rsidR="005E4021" w:rsidRDefault="005E4021"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57" w:type="dxa"/>
          </w:tcPr>
          <w:p w14:paraId="02631FD1" w14:textId="77777777" w:rsidR="005E4021" w:rsidRDefault="005E4021" w:rsidP="00D31CB8">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FC84B2D" w14:textId="77777777" w:rsidR="005E4021" w:rsidRDefault="005E4021" w:rsidP="00D31CB8">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31F8C44F" w14:textId="77777777" w:rsidR="005E4021" w:rsidRDefault="005E4021" w:rsidP="00D31CB8">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F8FD5B4"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3C062D69"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In our view, Licensed/unlicensed operation does not need to be known at the time of reading MIB anyway. If companies are concerned that UE may need to know Licensed/unlicensed operation at the time of reading MIB to infer whether or not DBTW is in use, we disagree.  Please see our very detailed explanation on this in Table provided by our Feature Lead on companies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5408F8E0" w14:textId="77777777" w:rsidR="005E4021" w:rsidRDefault="005E4021" w:rsidP="00D31CB8">
            <w:pPr>
              <w:pStyle w:val="BodyText"/>
              <w:spacing w:after="0"/>
              <w:rPr>
                <w:rFonts w:ascii="Times New Roman" w:hAnsi="Times New Roman"/>
                <w:bCs/>
                <w:lang w:eastAsia="zh-CN"/>
              </w:rPr>
            </w:pPr>
          </w:p>
          <w:p w14:paraId="77407A25"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Also, if the issue of size ambiguity of DCI 1_0 scrambled with SI-RNTI is resolved for operations with and without LBT, we don’t see any reason for UE to know whether or not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whether or not LBT is used does not need to be implicitly or explicitly indicated in MIB.</w:t>
            </w:r>
          </w:p>
          <w:p w14:paraId="7F9AD64C" w14:textId="77777777" w:rsidR="005E4021" w:rsidRDefault="005E4021" w:rsidP="00D31CB8">
            <w:pPr>
              <w:pStyle w:val="BodyText"/>
              <w:spacing w:after="0"/>
              <w:rPr>
                <w:rFonts w:ascii="Times New Roman" w:hAnsi="Times New Roman"/>
                <w:bCs/>
                <w:lang w:eastAsia="zh-CN"/>
              </w:rPr>
            </w:pPr>
            <w:r>
              <w:rPr>
                <w:rFonts w:ascii="Times New Roman" w:hAnsi="Times New Roman"/>
                <w:bCs/>
                <w:lang w:eastAsia="zh-CN"/>
              </w:rPr>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721C215C" w14:textId="77777777" w:rsidR="005E4021" w:rsidRDefault="005E4021" w:rsidP="00D31CB8">
            <w:pPr>
              <w:pStyle w:val="BodyText"/>
              <w:spacing w:after="0"/>
              <w:rPr>
                <w:rFonts w:ascii="Times New Roman" w:hAnsi="Times New Roman"/>
                <w:sz w:val="22"/>
                <w:szCs w:val="22"/>
                <w:lang w:eastAsia="zh-CN"/>
              </w:rPr>
            </w:pP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536410"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detection the UE needs to do for decoding Type0-PDCCH (of course this also matters), but a licensed UE does not </w:t>
            </w:r>
            <w:r w:rsidR="00B1174E">
              <w:rPr>
                <w:rFonts w:ascii="Times New Roman" w:hAnsi="Times New Roman"/>
                <w:bCs/>
                <w:lang w:eastAsia="zh-CN"/>
              </w:rPr>
              <w:lastRenderedPageBreak/>
              <w:t xml:space="preserve">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enable/disable and we do not need SIB1 signaling. So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any more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Unfortunately, we cannot support this proposal (yet) until we know how many candidate SSB positions there are, and consequently whether or not there is a spare bit available in MIB. As we explain in our comments above with respect to Proposals 1.1-</w:t>
            </w:r>
            <w:r w:rsidR="00FE47FD">
              <w:rPr>
                <w:rFonts w:ascii="Times New Roman" w:hAnsi="Times New Roman"/>
                <w:szCs w:val="22"/>
                <w:lang w:eastAsia="zh-CN"/>
              </w:rPr>
              <w:t>2F/2G, if there there is a spare bit available, it can be used for indicating licensed/unlicensed, and then the DCI 1_0 problem is solved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Again, need to conclude on the number of candidate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r>
              <w:rPr>
                <w:rFonts w:ascii="Times New Roman" w:hAnsi="Times New Roman"/>
                <w:sz w:val="22"/>
                <w:szCs w:val="22"/>
                <w:lang w:eastAsia="zh-CN"/>
              </w:rPr>
              <w:t>InterDigital</w:t>
            </w:r>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5E4021" w14:paraId="731A03C8" w14:textId="77777777" w:rsidTr="005E4021">
        <w:tc>
          <w:tcPr>
            <w:tcW w:w="1705" w:type="dxa"/>
          </w:tcPr>
          <w:p w14:paraId="46241F1B" w14:textId="77777777" w:rsidR="005E4021" w:rsidRDefault="005E4021"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57" w:type="dxa"/>
          </w:tcPr>
          <w:p w14:paraId="72CA3562" w14:textId="77777777" w:rsidR="005E4021" w:rsidRDefault="005E4021" w:rsidP="00D31CB8">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526EE3FE" w14:textId="77777777" w:rsidR="005E4021" w:rsidRDefault="005E4021" w:rsidP="00D31CB8">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032D56A0" w14:textId="77777777" w:rsidR="005E4021" w:rsidRDefault="005E4021" w:rsidP="00D31CB8">
            <w:pPr>
              <w:pStyle w:val="BodyText"/>
              <w:spacing w:after="0"/>
              <w:rPr>
                <w:rFonts w:ascii="Times New Roman" w:hAnsi="Times New Roman"/>
                <w:sz w:val="22"/>
                <w:szCs w:val="22"/>
                <w:lang w:eastAsia="zh-CN"/>
              </w:rPr>
            </w:pPr>
            <w:r w:rsidRPr="007A0032">
              <w:rPr>
                <w:rFonts w:ascii="Times New Roman" w:hAnsi="Times New Roman"/>
                <w:b/>
                <w:bCs/>
                <w:lang w:eastAsia="zh-CN"/>
              </w:rPr>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7D60F94F" w14:textId="77777777" w:rsidR="005E4021" w:rsidRDefault="005E4021" w:rsidP="00D31CB8">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C494CF5" w14:textId="77777777" w:rsidR="005E4021" w:rsidRPr="007A0032" w:rsidRDefault="005E4021" w:rsidP="00D31CB8">
            <w:pPr>
              <w:pStyle w:val="BodyText"/>
              <w:spacing w:after="0"/>
              <w:rPr>
                <w:rFonts w:ascii="Times New Roman" w:hAnsi="Times New Roman"/>
                <w:b/>
                <w:sz w:val="22"/>
                <w:szCs w:val="22"/>
                <w:lang w:eastAsia="zh-CN"/>
              </w:rPr>
            </w:pPr>
            <w:r>
              <w:rPr>
                <w:rFonts w:ascii="Times New Roman" w:hAnsi="Times New Roman"/>
                <w:b/>
                <w:bCs/>
                <w:lang w:eastAsia="zh-CN"/>
              </w:rPr>
              <w:lastRenderedPageBreak/>
              <w:t xml:space="preserve">Proposal 1.1-7B) </w:t>
            </w:r>
            <w:r w:rsidRPr="00947923">
              <w:rPr>
                <w:rFonts w:ascii="Times New Roman" w:hAnsi="Times New Roman"/>
                <w:bCs/>
                <w:lang w:eastAsia="zh-CN"/>
              </w:rPr>
              <w:t>Support</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77777777" w:rsidR="00A044D3" w:rsidRDefault="00A044D3"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+ 1 or 2 bit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3F2394" w14:paraId="20E4A0A9" w14:textId="77777777" w:rsidTr="003F2394">
        <w:tc>
          <w:tcPr>
            <w:tcW w:w="1705" w:type="dxa"/>
          </w:tcPr>
          <w:p w14:paraId="2AC5791C" w14:textId="77777777" w:rsidR="003F2394" w:rsidRDefault="003F2394" w:rsidP="00D31C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257" w:type="dxa"/>
          </w:tcPr>
          <w:p w14:paraId="74C3E07D" w14:textId="77777777" w:rsidR="003F2394" w:rsidRDefault="003F2394" w:rsidP="00D31CB8">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198819E4" w14:textId="77777777" w:rsidR="003F2394" w:rsidRDefault="003F2394" w:rsidP="00D31CB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r w:rsidRPr="006F115B">
              <w:t>subCarrierSpacingCommon</w:t>
            </w:r>
            <w:r>
              <w:rPr>
                <w:rFonts w:ascii="Times New Roman" w:eastAsia="Times New Roman" w:hAnsi="Times New Roman"/>
                <w:sz w:val="22"/>
                <w:szCs w:val="22"/>
                <w:lang w:eastAsia="zh-CN"/>
              </w:rPr>
              <w:t xml:space="preserve"> and save one bit from </w:t>
            </w:r>
            <w:r w:rsidRPr="006F115B">
              <w:t>searchSpaceZero</w:t>
            </w:r>
            <w:r>
              <w:t>/c</w:t>
            </w:r>
            <w:r w:rsidRPr="006F115B">
              <w:t>ontrolResourceSetZero</w:t>
            </w:r>
            <w:r>
              <w:t>/</w:t>
            </w:r>
            <w:r w:rsidRPr="006F115B">
              <w:t>ssb-SubcarrierOffset</w:t>
            </w:r>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5560AAF" w14:textId="77777777" w:rsidR="003F2394" w:rsidRDefault="003F2394" w:rsidP="00D31CB8">
            <w:pPr>
              <w:pStyle w:val="BodyText"/>
              <w:spacing w:after="0"/>
              <w:rPr>
                <w:rFonts w:ascii="Times New Roman" w:eastAsia="MS Mincho" w:hAnsi="Times New Roman"/>
                <w:sz w:val="22"/>
                <w:szCs w:val="22"/>
                <w:lang w:eastAsia="ja-JP"/>
              </w:rPr>
            </w:pPr>
          </w:p>
        </w:tc>
      </w:tr>
      <w:tr w:rsidR="00534912" w:rsidRPr="00534912" w14:paraId="7739D5BB" w14:textId="77777777" w:rsidTr="003F2394">
        <w:tc>
          <w:tcPr>
            <w:tcW w:w="1705" w:type="dxa"/>
          </w:tcPr>
          <w:p w14:paraId="20535F0F" w14:textId="459C3A0B" w:rsidR="00534912" w:rsidRPr="00534912" w:rsidRDefault="00534912" w:rsidP="00534912">
            <w:pPr>
              <w:pStyle w:val="BodyText"/>
              <w:spacing w:after="0"/>
              <w:rPr>
                <w:rFonts w:ascii="Times New Roman" w:eastAsia="MS Mincho" w:hAnsi="Times New Roman"/>
                <w:szCs w:val="20"/>
                <w:lang w:eastAsia="ja-JP"/>
              </w:rPr>
            </w:pPr>
            <w:r w:rsidRPr="00534912">
              <w:rPr>
                <w:rFonts w:ascii="Times New Roman" w:eastAsia="MS Mincho" w:hAnsi="Times New Roman"/>
                <w:szCs w:val="20"/>
                <w:lang w:eastAsia="ja-JP"/>
              </w:rPr>
              <w:t>Ericsson 2</w:t>
            </w:r>
          </w:p>
        </w:tc>
        <w:tc>
          <w:tcPr>
            <w:tcW w:w="8257" w:type="dxa"/>
          </w:tcPr>
          <w:p w14:paraId="156B84E0" w14:textId="77777777" w:rsidR="00534912" w:rsidRPr="00534912" w:rsidRDefault="00534912" w:rsidP="00534912">
            <w:pPr>
              <w:overflowPunct/>
              <w:autoSpaceDE/>
              <w:autoSpaceDN/>
              <w:adjustRightInd/>
              <w:spacing w:before="0" w:after="0" w:line="240" w:lineRule="auto"/>
              <w:jc w:val="left"/>
              <w:textAlignment w:val="auto"/>
              <w:rPr>
                <w:rFonts w:eastAsia="Calibri"/>
              </w:rPr>
            </w:pPr>
            <w:r w:rsidRPr="00534912">
              <w:rPr>
                <w:rFonts w:eastAsia="Calibri"/>
              </w:rPr>
              <w:t>Looking at the situation, the diverse views, and the need to make progress, can I be so bold as to propose the following package solution? It may not be perfect for everyone, but at least it works and has the benefit from reusing Rel-16 spec and Rel-15/16 implementations as much as possible. Furthermore, it means there is actually a solution before the end of the WI since there is time to work out the additional details. In my view, there won’t be a lot more to do since much of the Rel-16 solution is reused. The one main difference is that Q is moved to SIB1 instead of indicated in MIB.</w:t>
            </w:r>
          </w:p>
          <w:p w14:paraId="58D546C9" w14:textId="77777777" w:rsidR="00534912" w:rsidRPr="00534912" w:rsidRDefault="00534912" w:rsidP="00534912">
            <w:pPr>
              <w:overflowPunct/>
              <w:autoSpaceDE/>
              <w:autoSpaceDN/>
              <w:adjustRightInd/>
              <w:spacing w:before="0" w:after="0" w:line="240" w:lineRule="auto"/>
              <w:jc w:val="left"/>
              <w:textAlignment w:val="auto"/>
              <w:rPr>
                <w:rFonts w:eastAsia="Calibri"/>
              </w:rPr>
            </w:pPr>
          </w:p>
          <w:p w14:paraId="09097CD1"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lastRenderedPageBreak/>
              <w:t>Support DBTW for 120 kHz</w:t>
            </w:r>
          </w:p>
          <w:p w14:paraId="4C0611B3"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64 candidate SSB positions</w:t>
            </w:r>
          </w:p>
          <w:p w14:paraId="1FE1ED93"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 xml:space="preserve">Whether or not the band is licensed or unlicensed is indicated explicitly with the </w:t>
            </w:r>
            <w:r w:rsidRPr="00534912">
              <w:rPr>
                <w:rFonts w:eastAsia="Times New Roman"/>
                <w:i/>
                <w:iCs/>
                <w:lang w:eastAsia="zh-CN"/>
              </w:rPr>
              <w:t>ssbSubcarrierSpacingCommon</w:t>
            </w:r>
            <w:r w:rsidRPr="00534912">
              <w:rPr>
                <w:rFonts w:eastAsia="Times New Roman"/>
                <w:lang w:eastAsia="zh-CN"/>
              </w:rPr>
              <w:t xml:space="preserve"> bit in MIB</w:t>
            </w:r>
          </w:p>
          <w:p w14:paraId="3963E94F" w14:textId="77777777" w:rsidR="00534912" w:rsidRPr="00534912" w:rsidRDefault="00534912" w:rsidP="00534912">
            <w:pPr>
              <w:numPr>
                <w:ilvl w:val="1"/>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No need for spec changes to align DCI 1_0 sizes for licensed/unlicensed</w:t>
            </w:r>
          </w:p>
          <w:p w14:paraId="48FA4B6C" w14:textId="77777777" w:rsidR="00534912" w:rsidRPr="00534912" w:rsidRDefault="00534912" w:rsidP="00534912">
            <w:pPr>
              <w:numPr>
                <w:ilvl w:val="1"/>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Avoids the need for the UE to do 2 blind decodes of DCI 1_0 with CRC scrambled with SI-RNTI</w:t>
            </w:r>
          </w:p>
          <w:p w14:paraId="452C5243" w14:textId="77777777" w:rsidR="00534912" w:rsidRPr="00534912" w:rsidRDefault="00534912" w:rsidP="00534912">
            <w:pPr>
              <w:numPr>
                <w:ilvl w:val="1"/>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For unlicensed operation, the UE can assume the minimum specified value of Q prior to SIB1 acquisition, e.g., for determining Type0-PDCCH monitoring locations</w:t>
            </w:r>
          </w:p>
          <w:p w14:paraId="505CC0FC" w14:textId="77777777" w:rsidR="00534912" w:rsidRPr="00534912" w:rsidRDefault="00534912" w:rsidP="00534912">
            <w:pPr>
              <w:numPr>
                <w:ilvl w:val="1"/>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 xml:space="preserve">For licensed operation, DBTW is of course not relevant, so no assumptions on Q are needed </w:t>
            </w:r>
          </w:p>
          <w:p w14:paraId="11646BED"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DBTW enabled/disabled is indicated in SIB1</w:t>
            </w:r>
          </w:p>
          <w:p w14:paraId="548D178C"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Q is indicated in SIB1</w:t>
            </w:r>
          </w:p>
          <w:p w14:paraId="43CD3565"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Q for RRM measurements indicated as in Rel-16</w:t>
            </w:r>
          </w:p>
          <w:p w14:paraId="32862DDF" w14:textId="77777777" w:rsidR="00534912" w:rsidRPr="00534912" w:rsidRDefault="00534912" w:rsidP="00534912">
            <w:pPr>
              <w:numPr>
                <w:ilvl w:val="0"/>
                <w:numId w:val="64"/>
              </w:numPr>
              <w:overflowPunct/>
              <w:autoSpaceDE/>
              <w:autoSpaceDN/>
              <w:adjustRightInd/>
              <w:spacing w:before="0" w:after="0" w:line="240" w:lineRule="auto"/>
              <w:jc w:val="left"/>
              <w:textAlignment w:val="auto"/>
              <w:rPr>
                <w:rFonts w:eastAsia="Times New Roman"/>
                <w:lang w:eastAsia="zh-CN"/>
              </w:rPr>
            </w:pPr>
            <w:r w:rsidRPr="00534912">
              <w:rPr>
                <w:rFonts w:eastAsia="Times New Roman"/>
                <w:lang w:eastAsia="zh-CN"/>
              </w:rPr>
              <w:t>FFS: Further details</w:t>
            </w:r>
          </w:p>
          <w:p w14:paraId="609A971B" w14:textId="77777777" w:rsidR="00534912" w:rsidRPr="00534912" w:rsidRDefault="00534912" w:rsidP="00534912">
            <w:pPr>
              <w:overflowPunct/>
              <w:autoSpaceDE/>
              <w:autoSpaceDN/>
              <w:adjustRightInd/>
              <w:spacing w:before="0" w:after="0" w:line="240" w:lineRule="auto"/>
              <w:jc w:val="left"/>
              <w:textAlignment w:val="auto"/>
              <w:rPr>
                <w:rFonts w:eastAsia="Calibri"/>
              </w:rPr>
            </w:pPr>
          </w:p>
          <w:p w14:paraId="25A3D182" w14:textId="77777777" w:rsidR="00534912" w:rsidRPr="00534912" w:rsidRDefault="00534912" w:rsidP="00534912">
            <w:pPr>
              <w:overflowPunct/>
              <w:autoSpaceDE/>
              <w:autoSpaceDN/>
              <w:adjustRightInd/>
              <w:spacing w:before="0" w:after="0" w:line="240" w:lineRule="auto"/>
              <w:jc w:val="left"/>
              <w:textAlignment w:val="auto"/>
              <w:rPr>
                <w:rFonts w:eastAsia="Calibri"/>
              </w:rPr>
            </w:pPr>
            <w:r w:rsidRPr="00534912">
              <w:rPr>
                <w:rFonts w:eastAsia="Calibri"/>
              </w:rPr>
              <w:t xml:space="preserve">As you know, we have been a strong proponent of </w:t>
            </w:r>
            <w:r w:rsidRPr="00534912">
              <w:rPr>
                <w:rFonts w:eastAsia="Calibri"/>
                <w:u w:val="single"/>
              </w:rPr>
              <w:t>not</w:t>
            </w:r>
            <w:r w:rsidRPr="00534912">
              <w:rPr>
                <w:rFonts w:eastAsia="Calibri"/>
              </w:rPr>
              <w:t xml:space="preserve"> supporting DBTW, so this is a compromise for us since we don’t believe it’s needed in the first place, and further we have strong concerns about 80 candidate positions. However, we understand that companies want it, and thus our desire would be to reuse as much of Rel-16 as possible (spec and implementations).</w:t>
            </w:r>
          </w:p>
          <w:p w14:paraId="39727686" w14:textId="77777777" w:rsidR="00534912" w:rsidRPr="00534912" w:rsidRDefault="00534912" w:rsidP="00534912">
            <w:pPr>
              <w:pStyle w:val="BodyText"/>
              <w:spacing w:after="0"/>
              <w:rPr>
                <w:rFonts w:ascii="Times New Roman" w:eastAsia="Times New Roman" w:hAnsi="Times New Roman"/>
                <w:szCs w:val="20"/>
                <w:lang w:eastAsia="zh-CN"/>
              </w:rPr>
            </w:pP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lastRenderedPageBreak/>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lastRenderedPageBreak/>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7.25pt;height:55.5pt;mso-width-percent:0;mso-height-percent:0;mso-width-percent:0;mso-height-percent:0" o:ole="">
            <v:imagedata r:id="rId23" o:title=""/>
          </v:shape>
          <o:OLEObject Type="Embed" ProgID="Visio.Drawing.15" ShapeID="_x0000_i1042" DrawAspect="Content" ObjectID="_1691489304"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7.25pt;height:55.5pt;mso-width-percent:0;mso-height-percent:0;mso-width-percent:0;mso-height-percent:0" o:ole="">
            <v:imagedata r:id="rId25" o:title=""/>
          </v:shape>
          <o:OLEObject Type="Embed" ProgID="Visio.Drawing.15" ShapeID="_x0000_i1043" DrawAspect="Content" ObjectID="_1691489305"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7.25pt;height:55.5pt;mso-width-percent:0;mso-height-percent:0;mso-width-percent:0;mso-height-percent:0" o:ole="">
            <v:imagedata r:id="rId27" o:title=""/>
          </v:shape>
          <o:OLEObject Type="Embed" ProgID="Visio.Drawing.15" ShapeID="_x0000_i1044" DrawAspect="Content" ObjectID="_1691489306"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7.25pt;height:48.75pt;mso-width-percent:0;mso-height-percent:0;mso-width-percent:0;mso-height-percent:0" o:ole="">
            <v:imagedata r:id="rId29" o:title=""/>
          </v:shape>
          <o:OLEObject Type="Embed" ProgID="Visio.Drawing.15" ShapeID="_x0000_i1045" DrawAspect="Content" ObjectID="_1691489307"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rPr>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w:t>
            </w:r>
            <w:r>
              <w:rPr>
                <w:rFonts w:ascii="Times New Roman" w:hAnsi="Times New Roman"/>
                <w:sz w:val="22"/>
                <w:szCs w:val="22"/>
                <w:lang w:eastAsia="zh-CN"/>
              </w:rPr>
              <w:lastRenderedPageBreak/>
              <w:t xml:space="preserve">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7.25pt;height:55.5pt;mso-width-percent:0;mso-height-percent:0;mso-width-percent:0;mso-height-percent:0" o:ole="">
            <v:imagedata r:id="rId23" o:title=""/>
          </v:shape>
          <o:OLEObject Type="Embed" ProgID="Visio.Drawing.15" ShapeID="_x0000_i1046" DrawAspect="Content" ObjectID="_1691489308"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7.25pt;height:55.5pt;mso-width-percent:0;mso-height-percent:0;mso-width-percent:0;mso-height-percent:0" o:ole="">
            <v:imagedata r:id="rId23" o:title=""/>
          </v:shape>
          <o:OLEObject Type="Embed" ProgID="Visio.Drawing.15" ShapeID="_x0000_i1047" DrawAspect="Content" ObjectID="_1691489309"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7.25pt;height:55.5pt;mso-width-percent:0;mso-height-percent:0;mso-width-percent:0;mso-height-percent:0" o:ole="">
            <v:imagedata r:id="rId23" o:title=""/>
          </v:shape>
          <o:OLEObject Type="Embed" ProgID="Visio.Drawing.15" ShapeID="_x0000_i1048" DrawAspect="Content" ObjectID="_1691489310"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0D39100B"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r w:rsidR="00534912">
        <w:rPr>
          <w:rFonts w:eastAsia="Times New Roman"/>
          <w:szCs w:val="28"/>
          <w:lang w:eastAsia="zh-CN"/>
        </w:rPr>
        <w:t xml:space="preserve">, </w:t>
      </w:r>
      <w:r w:rsidR="00534912" w:rsidRPr="00534912">
        <w:rPr>
          <w:rFonts w:eastAsia="Times New Roman"/>
          <w:color w:val="FF0000"/>
          <w:szCs w:val="28"/>
          <w:lang w:eastAsia="zh-CN"/>
        </w:rPr>
        <w:t>Ericsson</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5DBEF31A"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r w:rsidR="009805F4" w:rsidRPr="009805F4">
        <w:rPr>
          <w:rFonts w:eastAsia="Times New Roman"/>
          <w:color w:val="FF0000"/>
          <w:szCs w:val="28"/>
          <w:lang w:eastAsia="zh-CN"/>
        </w:rPr>
        <w:t>, Panasonic</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r w:rsidR="00534912" w:rsidRPr="00534912" w14:paraId="308EE753" w14:textId="77777777" w:rsidTr="00036B6B">
        <w:tc>
          <w:tcPr>
            <w:tcW w:w="1615" w:type="dxa"/>
          </w:tcPr>
          <w:p w14:paraId="05EB9ADA" w14:textId="30202DB6" w:rsidR="00534912" w:rsidRPr="00534912" w:rsidRDefault="00534912" w:rsidP="00534912">
            <w:pPr>
              <w:pStyle w:val="BodyText"/>
              <w:spacing w:after="0"/>
              <w:rPr>
                <w:rFonts w:ascii="Times New Roman" w:eastAsia="MS Mincho" w:hAnsi="Times New Roman" w:hint="eastAsia"/>
                <w:sz w:val="22"/>
                <w:lang w:eastAsia="ja-JP"/>
              </w:rPr>
            </w:pPr>
            <w:r w:rsidRPr="00534912">
              <w:rPr>
                <w:rFonts w:ascii="Times New Roman" w:eastAsia="MS Mincho" w:hAnsi="Times New Roman"/>
                <w:sz w:val="22"/>
                <w:lang w:eastAsia="ja-JP"/>
              </w:rPr>
              <w:t>Ericsson 2</w:t>
            </w:r>
          </w:p>
        </w:tc>
        <w:tc>
          <w:tcPr>
            <w:tcW w:w="8347" w:type="dxa"/>
          </w:tcPr>
          <w:p w14:paraId="3AA03E9D" w14:textId="23238607" w:rsidR="00534912" w:rsidRPr="00534912" w:rsidRDefault="00534912" w:rsidP="00534912">
            <w:pPr>
              <w:pStyle w:val="BodyText"/>
              <w:spacing w:after="0"/>
              <w:rPr>
                <w:rFonts w:ascii="Times New Roman" w:eastAsia="MS Mincho" w:hAnsi="Times New Roman"/>
                <w:sz w:val="22"/>
                <w:lang w:eastAsia="ja-JP"/>
              </w:rPr>
            </w:pPr>
            <w:r w:rsidRPr="00534912">
              <w:rPr>
                <w:rFonts w:ascii="Times New Roman" w:eastAsia="MS Mincho" w:hAnsi="Times New Roman"/>
                <w:sz w:val="22"/>
                <w:lang w:eastAsia="ja-JP"/>
              </w:rPr>
              <w:t>We added our support for Alt-1 in the above</w:t>
            </w:r>
            <w:r w:rsidRPr="00534912">
              <w:rPr>
                <w:rFonts w:ascii="Times New Roman" w:eastAsia="MS Mincho" w:hAnsi="Times New Roman"/>
                <w:sz w:val="22"/>
                <w:lang w:eastAsia="ja-JP"/>
              </w:rPr>
              <w:t xml:space="preserve"> in </w:t>
            </w:r>
            <w:r w:rsidRPr="00534912">
              <w:rPr>
                <w:rFonts w:ascii="Times New Roman" w:eastAsia="MS Mincho" w:hAnsi="Times New Roman"/>
                <w:color w:val="FF0000"/>
                <w:sz w:val="22"/>
                <w:lang w:eastAsia="ja-JP"/>
              </w:rPr>
              <w:t>red</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53641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53641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53641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53641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53641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53641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76C013CC"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41C46814" w:rsidR="00F02055" w:rsidRDefault="00F02055"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244597" w14:paraId="35E943AF" w14:textId="77777777" w:rsidTr="00244597">
        <w:tc>
          <w:tcPr>
            <w:tcW w:w="1615" w:type="dxa"/>
          </w:tcPr>
          <w:p w14:paraId="77D8A1D2" w14:textId="77777777" w:rsidR="00244597" w:rsidRDefault="00244597"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4CC4E1A3" w14:textId="77777777" w:rsidR="00244597" w:rsidRPr="00067C5D" w:rsidRDefault="00244597" w:rsidP="00D31CB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3810F6DE" w14:textId="77777777" w:rsidR="00244597" w:rsidRDefault="00244597" w:rsidP="00D31CB8">
            <w:pPr>
              <w:pStyle w:val="BodyText"/>
              <w:spacing w:after="0"/>
              <w:rPr>
                <w:rFonts w:ascii="Times New Roman" w:hAnsi="Times New Roman"/>
                <w:b/>
                <w:sz w:val="22"/>
                <w:szCs w:val="22"/>
                <w:lang w:eastAsia="zh-CN"/>
              </w:rPr>
            </w:pPr>
            <w:r>
              <w:rPr>
                <w:rFonts w:eastAsia="Times New Roman"/>
                <w:lang w:eastAsia="zh-CN"/>
              </w:rPr>
              <w:t xml:space="preserve">96 PRB support for CORESET#0 for {120 kHz, 120 kHz} = {SSB,PDCCH} should be a high priority. </w:t>
            </w:r>
          </w:p>
          <w:p w14:paraId="7DDB7584" w14:textId="77777777" w:rsidR="00244597" w:rsidRDefault="00244597" w:rsidP="00D31CB8">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6738451B" w14:textId="77777777" w:rsidR="00244597" w:rsidRDefault="00244597" w:rsidP="00D31CB8">
            <w:pPr>
              <w:pStyle w:val="BodyText"/>
              <w:spacing w:after="0"/>
              <w:rPr>
                <w:rFonts w:ascii="Times New Roman" w:hAnsi="Times New Roman"/>
                <w:sz w:val="22"/>
                <w:szCs w:val="22"/>
                <w:lang w:eastAsia="zh-CN"/>
              </w:rPr>
            </w:pPr>
          </w:p>
          <w:p w14:paraId="74C01C42" w14:textId="77777777" w:rsidR="00244597" w:rsidRDefault="00244597" w:rsidP="00D31CB8">
            <w:pPr>
              <w:pStyle w:val="Heading5"/>
              <w:outlineLvl w:val="4"/>
              <w:rPr>
                <w:rFonts w:ascii="Times New Roman" w:hAnsi="Times New Roman"/>
                <w:b/>
                <w:bCs/>
                <w:szCs w:val="22"/>
                <w:lang w:eastAsia="zh-CN"/>
              </w:rPr>
            </w:pPr>
            <w:r>
              <w:rPr>
                <w:rFonts w:ascii="Times New Roman" w:hAnsi="Times New Roman"/>
                <w:b/>
                <w:bCs/>
                <w:lang w:eastAsia="zh-CN"/>
              </w:rPr>
              <w:lastRenderedPageBreak/>
              <w:t>potential candidate for email approval</w:t>
            </w:r>
          </w:p>
          <w:p w14:paraId="09090F0F" w14:textId="77777777" w:rsidR="00244597" w:rsidRDefault="00244597" w:rsidP="00D31CB8">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 xml:space="preserve">if the table for ‘controlResourceSetZero’ field of MIB still has enough number of reserved rows, support inclusion of 96 PRB CORESET#0 with appropriate RB offset for {120 kHz, 120 kHz} = {SSB,PDCCH} </w:t>
            </w:r>
            <w:r w:rsidRPr="00067C5D">
              <w:rPr>
                <w:rFonts w:eastAsia="Times New Roman"/>
                <w:strike/>
                <w:color w:val="FF0000"/>
                <w:lang w:eastAsia="zh-CN"/>
              </w:rPr>
              <w:t>case to ‘controlResourceSetZero’ field of MIB</w:t>
            </w:r>
          </w:p>
          <w:p w14:paraId="3B936853" w14:textId="77777777" w:rsidR="00244597" w:rsidRPr="00F81FE7" w:rsidRDefault="00244597"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candidate SSB” has any relation with the support for 96 PRB for CORESET#0. We believe that 96 PRB CORESET#0 with appropriate RB offset for {120 kHz, 120 kHz} = {SSB,PDCCH} should be supported to put CORESET#0 BW above 100 MHz. </w:t>
            </w:r>
          </w:p>
          <w:p w14:paraId="211602A2" w14:textId="77777777" w:rsidR="00244597" w:rsidRDefault="00244597" w:rsidP="00D31CB8">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646FC975" w14:textId="77777777" w:rsidR="00244597" w:rsidRDefault="00244597" w:rsidP="00D31CB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F9067B8" w14:textId="77777777" w:rsidR="00244597" w:rsidRDefault="00244597" w:rsidP="00D31CB8">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44597" w14:paraId="06F14A64" w14:textId="77777777" w:rsidTr="00D31CB8">
              <w:trPr>
                <w:cantSplit/>
              </w:trPr>
              <w:tc>
                <w:tcPr>
                  <w:tcW w:w="3326" w:type="dxa"/>
                  <w:tcBorders>
                    <w:bottom w:val="double" w:sz="4" w:space="0" w:color="auto"/>
                  </w:tcBorders>
                  <w:shd w:val="clear" w:color="auto" w:fill="E0E0E0"/>
                  <w:vAlign w:val="center"/>
                </w:tcPr>
                <w:p w14:paraId="51E7CBFE" w14:textId="77777777" w:rsidR="00244597" w:rsidRDefault="00244597" w:rsidP="00D31CB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489BA6C" w14:textId="77777777" w:rsidR="00244597" w:rsidRDefault="00244597" w:rsidP="00D31CB8">
                  <w:pPr>
                    <w:pStyle w:val="TAH"/>
                    <w:rPr>
                      <w:bCs/>
                    </w:rPr>
                  </w:pPr>
                  <w:r>
                    <w:rPr>
                      <w:noProof/>
                      <w:position w:val="-4"/>
                    </w:rPr>
                    <w:drawing>
                      <wp:inline distT="0" distB="0" distL="0" distR="0" wp14:anchorId="50D65907" wp14:editId="4A22542F">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2C19154" w14:textId="77777777" w:rsidR="00244597" w:rsidRDefault="00244597" w:rsidP="00D31CB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44597" w14:paraId="3E7C3F80" w14:textId="77777777" w:rsidTr="00D31CB8">
              <w:trPr>
                <w:cantSplit/>
              </w:trPr>
              <w:tc>
                <w:tcPr>
                  <w:tcW w:w="3326" w:type="dxa"/>
                  <w:tcBorders>
                    <w:top w:val="double" w:sz="4" w:space="0" w:color="auto"/>
                  </w:tcBorders>
                  <w:vAlign w:val="center"/>
                </w:tcPr>
                <w:p w14:paraId="71BF9001" w14:textId="77777777" w:rsidR="00244597" w:rsidRDefault="00244597" w:rsidP="00D31CB8">
                  <w:pPr>
                    <w:pStyle w:val="TAC"/>
                  </w:pPr>
                  <w:r>
                    <w:rPr>
                      <w:rStyle w:val="CommentReference"/>
                      <w:rFonts w:cs="Arial"/>
                      <w:szCs w:val="18"/>
                    </w:rPr>
                    <w:t>1</w:t>
                  </w:r>
                </w:p>
              </w:tc>
              <w:tc>
                <w:tcPr>
                  <w:tcW w:w="904" w:type="dxa"/>
                  <w:tcBorders>
                    <w:top w:val="double" w:sz="4" w:space="0" w:color="auto"/>
                  </w:tcBorders>
                  <w:vAlign w:val="center"/>
                </w:tcPr>
                <w:p w14:paraId="5D04609C" w14:textId="77777777" w:rsidR="00244597" w:rsidRDefault="00244597" w:rsidP="00D31CB8">
                  <w:pPr>
                    <w:pStyle w:val="TAC"/>
                  </w:pPr>
                  <w:r>
                    <w:rPr>
                      <w:rStyle w:val="CommentReference"/>
                      <w:rFonts w:cs="Arial"/>
                      <w:szCs w:val="18"/>
                    </w:rPr>
                    <w:t>1</w:t>
                  </w:r>
                </w:p>
              </w:tc>
              <w:tc>
                <w:tcPr>
                  <w:tcW w:w="3426" w:type="dxa"/>
                  <w:tcBorders>
                    <w:top w:val="double" w:sz="4" w:space="0" w:color="auto"/>
                  </w:tcBorders>
                  <w:vAlign w:val="center"/>
                </w:tcPr>
                <w:p w14:paraId="0BFB3065" w14:textId="77777777" w:rsidR="00244597" w:rsidRDefault="00244597" w:rsidP="00D31CB8">
                  <w:pPr>
                    <w:pStyle w:val="TAC"/>
                  </w:pPr>
                  <w:r>
                    <w:rPr>
                      <w:rStyle w:val="CommentReference"/>
                      <w:rFonts w:cs="Arial"/>
                      <w:szCs w:val="18"/>
                    </w:rPr>
                    <w:t>0</w:t>
                  </w:r>
                </w:p>
              </w:tc>
            </w:tr>
            <w:tr w:rsidR="00244597" w14:paraId="38FA050A" w14:textId="77777777" w:rsidTr="00D31CB8">
              <w:trPr>
                <w:cantSplit/>
              </w:trPr>
              <w:tc>
                <w:tcPr>
                  <w:tcW w:w="3326" w:type="dxa"/>
                  <w:vAlign w:val="center"/>
                </w:tcPr>
                <w:p w14:paraId="3F9CDCCE" w14:textId="77777777" w:rsidR="00244597" w:rsidRDefault="00244597" w:rsidP="00D31CB8">
                  <w:pPr>
                    <w:pStyle w:val="TAC"/>
                  </w:pPr>
                  <w:r>
                    <w:rPr>
                      <w:rStyle w:val="CommentReference"/>
                      <w:rFonts w:cs="Arial"/>
                      <w:szCs w:val="18"/>
                    </w:rPr>
                    <w:t>2</w:t>
                  </w:r>
                </w:p>
              </w:tc>
              <w:tc>
                <w:tcPr>
                  <w:tcW w:w="904" w:type="dxa"/>
                  <w:vAlign w:val="center"/>
                </w:tcPr>
                <w:p w14:paraId="7FCF935D" w14:textId="77777777" w:rsidR="00244597" w:rsidRDefault="00244597" w:rsidP="00D31CB8">
                  <w:pPr>
                    <w:pStyle w:val="TAC"/>
                  </w:pPr>
                  <w:r>
                    <w:rPr>
                      <w:rStyle w:val="CommentReference"/>
                      <w:rFonts w:cs="Arial"/>
                      <w:szCs w:val="18"/>
                    </w:rPr>
                    <w:t>1/2</w:t>
                  </w:r>
                </w:p>
              </w:tc>
              <w:tc>
                <w:tcPr>
                  <w:tcW w:w="3426" w:type="dxa"/>
                  <w:vAlign w:val="center"/>
                </w:tcPr>
                <w:p w14:paraId="59555064" w14:textId="77777777" w:rsidR="00244597" w:rsidRDefault="00244597" w:rsidP="00D31CB8">
                  <w:pPr>
                    <w:pStyle w:val="TAC"/>
                  </w:pPr>
                  <w:r>
                    <w:rPr>
                      <w:rStyle w:val="CommentReference"/>
                      <w:rFonts w:cs="Arial"/>
                      <w:szCs w:val="18"/>
                    </w:rPr>
                    <w:t xml:space="preserve">{0, if </w:t>
                  </w:r>
                  <w:r>
                    <w:rPr>
                      <w:noProof/>
                      <w:position w:val="-6"/>
                    </w:rPr>
                    <w:drawing>
                      <wp:inline distT="0" distB="0" distL="0" distR="0" wp14:anchorId="22046578" wp14:editId="1DB570A2">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4AEA7A1" wp14:editId="4B61AED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44597" w14:paraId="3DAF20D4" w14:textId="77777777" w:rsidTr="00D31CB8">
              <w:trPr>
                <w:cantSplit/>
              </w:trPr>
              <w:tc>
                <w:tcPr>
                  <w:tcW w:w="3326" w:type="dxa"/>
                  <w:vAlign w:val="center"/>
                </w:tcPr>
                <w:p w14:paraId="6AA01C02" w14:textId="77777777" w:rsidR="00244597" w:rsidRPr="00F4388F" w:rsidRDefault="00244597" w:rsidP="00D31CB8">
                  <w:pPr>
                    <w:pStyle w:val="TAC"/>
                    <w:rPr>
                      <w:strike/>
                      <w:color w:val="0070C0"/>
                    </w:rPr>
                  </w:pPr>
                  <w:r w:rsidRPr="00F4388F">
                    <w:rPr>
                      <w:rStyle w:val="CommentReference"/>
                      <w:rFonts w:cs="Arial"/>
                      <w:strike/>
                      <w:color w:val="0070C0"/>
                      <w:szCs w:val="18"/>
                    </w:rPr>
                    <w:t>2</w:t>
                  </w:r>
                </w:p>
              </w:tc>
              <w:tc>
                <w:tcPr>
                  <w:tcW w:w="904" w:type="dxa"/>
                  <w:vAlign w:val="center"/>
                </w:tcPr>
                <w:p w14:paraId="1B5F6E97" w14:textId="77777777" w:rsidR="00244597" w:rsidRPr="00F4388F" w:rsidRDefault="00244597" w:rsidP="00D31CB8">
                  <w:pPr>
                    <w:pStyle w:val="TAC"/>
                    <w:rPr>
                      <w:strike/>
                      <w:color w:val="0070C0"/>
                    </w:rPr>
                  </w:pPr>
                  <w:r w:rsidRPr="00F4388F">
                    <w:rPr>
                      <w:rStyle w:val="CommentReference"/>
                      <w:rFonts w:cs="Arial"/>
                      <w:strike/>
                      <w:color w:val="0070C0"/>
                      <w:szCs w:val="18"/>
                    </w:rPr>
                    <w:t>1/2</w:t>
                  </w:r>
                </w:p>
              </w:tc>
              <w:tc>
                <w:tcPr>
                  <w:tcW w:w="3426" w:type="dxa"/>
                  <w:vAlign w:val="center"/>
                </w:tcPr>
                <w:p w14:paraId="372265FB" w14:textId="77777777" w:rsidR="00244597" w:rsidRPr="00F4388F" w:rsidRDefault="00244597" w:rsidP="00D31CB8">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7D7D68C2" wp14:editId="4F28E7F1">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6F56DFFD" wp14:editId="72DBEC23">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79FEE509" wp14:editId="42A580E2">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244597" w14:paraId="0CDDB92E" w14:textId="77777777" w:rsidTr="00D31CB8">
              <w:trPr>
                <w:cantSplit/>
              </w:trPr>
              <w:tc>
                <w:tcPr>
                  <w:tcW w:w="3326" w:type="dxa"/>
                  <w:vAlign w:val="center"/>
                </w:tcPr>
                <w:p w14:paraId="028B4C45" w14:textId="77777777" w:rsidR="00244597" w:rsidRDefault="00244597" w:rsidP="00D31CB8">
                  <w:pPr>
                    <w:pStyle w:val="TAC"/>
                  </w:pPr>
                  <w:r>
                    <w:rPr>
                      <w:rStyle w:val="CommentReference"/>
                      <w:rFonts w:cs="Arial"/>
                      <w:szCs w:val="18"/>
                    </w:rPr>
                    <w:t>1</w:t>
                  </w:r>
                </w:p>
              </w:tc>
              <w:tc>
                <w:tcPr>
                  <w:tcW w:w="904" w:type="dxa"/>
                  <w:vAlign w:val="center"/>
                </w:tcPr>
                <w:p w14:paraId="34F9B215" w14:textId="77777777" w:rsidR="00244597" w:rsidRDefault="00244597" w:rsidP="00D31CB8">
                  <w:pPr>
                    <w:pStyle w:val="TAC"/>
                  </w:pPr>
                  <w:r>
                    <w:rPr>
                      <w:rStyle w:val="CommentReference"/>
                      <w:rFonts w:cs="Arial"/>
                      <w:szCs w:val="18"/>
                    </w:rPr>
                    <w:t>2</w:t>
                  </w:r>
                </w:p>
              </w:tc>
              <w:tc>
                <w:tcPr>
                  <w:tcW w:w="3426" w:type="dxa"/>
                  <w:vAlign w:val="center"/>
                </w:tcPr>
                <w:p w14:paraId="6A31A040" w14:textId="77777777" w:rsidR="00244597" w:rsidRDefault="00244597" w:rsidP="00D31CB8">
                  <w:pPr>
                    <w:pStyle w:val="TAC"/>
                  </w:pPr>
                  <w:r>
                    <w:rPr>
                      <w:rStyle w:val="CommentReference"/>
                      <w:rFonts w:cs="Arial"/>
                      <w:szCs w:val="18"/>
                    </w:rPr>
                    <w:t>0</w:t>
                  </w:r>
                </w:p>
              </w:tc>
            </w:tr>
          </w:tbl>
          <w:p w14:paraId="3115CBD7" w14:textId="77777777" w:rsidR="00244597" w:rsidRDefault="00244597" w:rsidP="00D31CB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C39BE70" w14:textId="77777777" w:rsidR="00244597" w:rsidRPr="00D23E0F" w:rsidRDefault="00244597" w:rsidP="00D31CB8">
            <w:pPr>
              <w:pStyle w:val="ListParagraph"/>
              <w:numPr>
                <w:ilvl w:val="2"/>
                <w:numId w:val="6"/>
              </w:numPr>
              <w:spacing w:line="240" w:lineRule="auto"/>
              <w:ind w:left="1890"/>
              <w:rPr>
                <w:lang w:eastAsia="zh-CN"/>
              </w:rPr>
            </w:pPr>
            <w:r w:rsidRPr="00D23E0F">
              <w:rPr>
                <w:lang w:eastAsia="zh-CN"/>
              </w:rPr>
              <w:t>FFS: supported values of ‘O’</w:t>
            </w:r>
          </w:p>
          <w:p w14:paraId="3E4BA588" w14:textId="77777777" w:rsidR="00244597" w:rsidRPr="00067C5D" w:rsidRDefault="00244597" w:rsidP="00D31CB8">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771A19E3" w14:textId="77777777" w:rsidR="00244597" w:rsidRPr="00067C5D" w:rsidRDefault="00244597" w:rsidP="00D31CB8">
            <w:pPr>
              <w:pStyle w:val="ListParagraph"/>
              <w:numPr>
                <w:ilvl w:val="4"/>
                <w:numId w:val="6"/>
              </w:numPr>
              <w:spacing w:line="240" w:lineRule="auto"/>
              <w:rPr>
                <w:strike/>
                <w:color w:val="FF0000"/>
                <w:lang w:eastAsia="zh-CN"/>
              </w:rPr>
            </w:pPr>
            <w:r w:rsidRPr="00067C5D">
              <w:rPr>
                <w:strike/>
                <w:color w:val="FF0000"/>
                <w:lang w:eastAsia="zh-CN"/>
              </w:rPr>
              <w:t>Alt 1:</w:t>
            </w:r>
          </w:p>
          <w:p w14:paraId="3F5FFE3E" w14:textId="77777777" w:rsidR="00244597" w:rsidRPr="00067C5D" w:rsidRDefault="00244597" w:rsidP="00D31CB8">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60A97633" w14:textId="77777777" w:rsidR="00244597" w:rsidRPr="00067C5D" w:rsidRDefault="00244597" w:rsidP="00D31CB8">
            <w:pPr>
              <w:pStyle w:val="ListParagraph"/>
              <w:numPr>
                <w:ilvl w:val="4"/>
                <w:numId w:val="6"/>
              </w:numPr>
              <w:spacing w:line="240" w:lineRule="auto"/>
              <w:rPr>
                <w:strike/>
                <w:color w:val="FF0000"/>
                <w:lang w:eastAsia="zh-CN"/>
              </w:rPr>
            </w:pPr>
            <w:r w:rsidRPr="00067C5D">
              <w:rPr>
                <w:strike/>
                <w:color w:val="FF0000"/>
                <w:lang w:eastAsia="zh-CN"/>
              </w:rPr>
              <w:t>Alt 2:</w:t>
            </w:r>
          </w:p>
          <w:p w14:paraId="60286F06" w14:textId="77777777" w:rsidR="00244597" w:rsidRPr="00067C5D" w:rsidRDefault="00244597" w:rsidP="00D31CB8">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0A38139F" w14:textId="77777777" w:rsidR="00244597" w:rsidRPr="00067C5D" w:rsidRDefault="00244597" w:rsidP="00D31CB8">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24557775" w14:textId="77777777" w:rsidR="00244597" w:rsidRPr="00067C5D" w:rsidRDefault="00244597" w:rsidP="00D31CB8">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7DD47BEC" w14:textId="77777777" w:rsidR="00244597" w:rsidRPr="00067C5D" w:rsidRDefault="00244597" w:rsidP="00D31CB8">
            <w:pPr>
              <w:pStyle w:val="ListParagraph"/>
              <w:numPr>
                <w:ilvl w:val="4"/>
                <w:numId w:val="6"/>
              </w:numPr>
              <w:spacing w:line="240" w:lineRule="auto"/>
              <w:rPr>
                <w:strike/>
                <w:color w:val="FF0000"/>
                <w:lang w:eastAsia="zh-CN"/>
              </w:rPr>
            </w:pPr>
            <w:r w:rsidRPr="00067C5D">
              <w:rPr>
                <w:strike/>
                <w:color w:val="FF0000"/>
                <w:lang w:eastAsia="zh-CN"/>
              </w:rPr>
              <w:t xml:space="preserve">Alt 3: O is from the set {0, 5, 2.5, 5+2.5} for 120 kHz, {0, 5, 2.5/X1, 5+2.5/X1} for 480 kHz, and {0, 5, 2.5/X2, 5 + 2.5/X2} for 960 kHz. </w:t>
            </w:r>
          </w:p>
          <w:p w14:paraId="5BA30452" w14:textId="77777777" w:rsidR="00244597" w:rsidRPr="00067C5D" w:rsidRDefault="00244597" w:rsidP="00D31CB8">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17E993BC" w14:textId="77777777" w:rsidR="00244597" w:rsidRDefault="00244597" w:rsidP="00D31CB8">
            <w:pPr>
              <w:pStyle w:val="BodyText"/>
              <w:spacing w:after="0"/>
              <w:rPr>
                <w:rFonts w:ascii="Times New Roman" w:hAnsi="Times New Roman"/>
                <w:bCs/>
                <w:lang w:eastAsia="zh-CN"/>
              </w:rPr>
            </w:pPr>
            <w:r>
              <w:rPr>
                <w:rFonts w:ascii="Times New Roman" w:hAnsi="Times New Roman"/>
                <w:bCs/>
                <w:lang w:eastAsia="zh-CN"/>
              </w:rPr>
              <w:lastRenderedPageBreak/>
              <w:t>We think “</w:t>
            </w:r>
            <w:r w:rsidRPr="00D23E0F">
              <w:rPr>
                <w:lang w:eastAsia="zh-CN"/>
              </w:rPr>
              <w:t>FFS: supported values of ‘O’</w:t>
            </w:r>
            <w:r>
              <w:rPr>
                <w:lang w:eastAsia="zh-CN"/>
              </w:rPr>
              <w:t xml:space="preserve">” is good enough at this time and we are not ready to commit to any of the listed alternatives. </w:t>
            </w:r>
          </w:p>
          <w:p w14:paraId="76D553E2" w14:textId="77777777" w:rsidR="00244597" w:rsidRDefault="00244597" w:rsidP="00D31CB8">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70FFF4F8" w14:textId="77777777" w:rsidR="00244597" w:rsidRDefault="00244597" w:rsidP="00D31CB8">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2665AF47" w14:textId="77777777" w:rsidR="00244597" w:rsidRDefault="00244597" w:rsidP="00D31CB8">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gNB needs to change its beam between symbol 0 and 1 and between symbol 1 and 2 because the two adjacent CORESETs don’t have the  same beam in general and the CORESET in symbol 1 does not have the same beam with SSB in symbol 2. Also, UE may have to do the same beam switching in some scenarios (not talking about initial access here 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260200E6" w14:textId="77777777" w:rsidR="00244597" w:rsidRPr="009E4B61" w:rsidRDefault="00244597" w:rsidP="00D31C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534912" w:rsidRPr="00534912" w14:paraId="318B1FBC" w14:textId="77777777" w:rsidTr="00244597">
        <w:tc>
          <w:tcPr>
            <w:tcW w:w="1615" w:type="dxa"/>
          </w:tcPr>
          <w:p w14:paraId="7FCCE769" w14:textId="51B35E52" w:rsidR="00534912" w:rsidRPr="00534912" w:rsidRDefault="00534912" w:rsidP="00534912">
            <w:pPr>
              <w:pStyle w:val="BodyText"/>
              <w:spacing w:after="0"/>
              <w:rPr>
                <w:rFonts w:ascii="Times New Roman" w:hAnsi="Times New Roman"/>
                <w:sz w:val="22"/>
                <w:lang w:eastAsia="zh-CN"/>
              </w:rPr>
            </w:pPr>
            <w:r w:rsidRPr="00534912">
              <w:rPr>
                <w:rFonts w:ascii="Times New Roman" w:hAnsi="Times New Roman"/>
                <w:sz w:val="22"/>
                <w:lang w:eastAsia="zh-CN"/>
              </w:rPr>
              <w:lastRenderedPageBreak/>
              <w:t>Ericsson 2</w:t>
            </w:r>
          </w:p>
        </w:tc>
        <w:tc>
          <w:tcPr>
            <w:tcW w:w="8347" w:type="dxa"/>
          </w:tcPr>
          <w:p w14:paraId="6006C447" w14:textId="77777777" w:rsidR="00534912" w:rsidRPr="00534912" w:rsidRDefault="00534912" w:rsidP="00534912">
            <w:pPr>
              <w:pStyle w:val="BodyText"/>
              <w:spacing w:after="0"/>
              <w:rPr>
                <w:rFonts w:ascii="Times New Roman" w:hAnsi="Times New Roman"/>
                <w:sz w:val="22"/>
                <w:lang w:eastAsia="zh-CN"/>
              </w:rPr>
            </w:pPr>
            <w:r w:rsidRPr="00534912">
              <w:rPr>
                <w:rFonts w:ascii="Times New Roman" w:hAnsi="Times New Roman"/>
                <w:sz w:val="22"/>
                <w:lang w:eastAsia="zh-CN"/>
              </w:rPr>
              <w:t>We share the same view as Samsung and Qualcomm, and we do not support removing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should be preserved since we don't see an issue with beam switch time for 480 kHz (used for initial access) and we further do not see an issue for 960 kHz. If further discussion is needed for adding some additional row (as an FFS) to address a particular problem, that can be further discussed.</w:t>
            </w:r>
          </w:p>
          <w:p w14:paraId="72D6B282" w14:textId="744BD42D" w:rsidR="00534912" w:rsidRPr="00534912" w:rsidRDefault="00534912" w:rsidP="00534912">
            <w:pPr>
              <w:pStyle w:val="BodyText"/>
              <w:spacing w:after="0"/>
              <w:rPr>
                <w:rFonts w:ascii="Times New Roman" w:hAnsi="Times New Roman"/>
                <w:sz w:val="22"/>
                <w:lang w:eastAsia="zh-CN"/>
              </w:rPr>
            </w:pPr>
            <w:r w:rsidRPr="00534912">
              <w:rPr>
                <w:rFonts w:ascii="Times New Roman" w:hAnsi="Times New Roman"/>
                <w:sz w:val="22"/>
                <w:lang w:eastAsia="zh-CN"/>
              </w:rPr>
              <w:t>We also do not agree to remove the alternatives</w:t>
            </w:r>
            <w:r>
              <w:rPr>
                <w:rFonts w:ascii="Times New Roman" w:hAnsi="Times New Roman"/>
                <w:sz w:val="22"/>
                <w:lang w:eastAsia="zh-CN"/>
              </w:rPr>
              <w:t xml:space="preserve"> for O. Since the word "at least" was added, there is plenty of room for considering other alternatives. We need to make progress here, and there is value in listing some alterantives for consideration. Any company is free to come with additional alternatives to consider.</w:t>
            </w: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34912">
              <w:rPr>
                <w:rFonts w:cs="Times"/>
                <w:noProof/>
                <w:position w:val="-5"/>
                <w:szCs w:val="20"/>
              </w:rPr>
              <w:pict w14:anchorId="30B739B6">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534912">
              <w:rPr>
                <w:rFonts w:cs="Times"/>
                <w:noProof/>
                <w:position w:val="-5"/>
                <w:szCs w:val="20"/>
              </w:rPr>
              <w:pict w14:anchorId="0C75D821">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34912">
              <w:rPr>
                <w:rFonts w:cs="Times"/>
                <w:noProof/>
                <w:position w:val="-5"/>
                <w:szCs w:val="20"/>
              </w:rPr>
              <w:pict w14:anchorId="25C33E7B">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534912">
              <w:rPr>
                <w:rFonts w:cs="Times"/>
                <w:noProof/>
                <w:position w:val="-5"/>
                <w:szCs w:val="20"/>
              </w:rPr>
              <w:pict w14:anchorId="68197D99">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rPr>
              <w:lastRenderedPageBreak/>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34912">
        <w:rPr>
          <w:rFonts w:ascii="Times New Roman" w:hAnsi="Times New Roman"/>
          <w:noProof/>
          <w:position w:val="-5"/>
          <w:sz w:val="22"/>
          <w:szCs w:val="22"/>
        </w:rPr>
        <w:pict w14:anchorId="41B2A371">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34912">
        <w:rPr>
          <w:rFonts w:ascii="Times New Roman" w:hAnsi="Times New Roman"/>
          <w:noProof/>
          <w:position w:val="-5"/>
          <w:sz w:val="22"/>
          <w:szCs w:val="22"/>
        </w:rPr>
        <w:pict w14:anchorId="550044E4">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53641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53641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53641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53641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536410">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34912">
              <w:rPr>
                <w:rFonts w:ascii="Times New Roman" w:hAnsi="Times New Roman"/>
                <w:noProof/>
                <w:position w:val="-5"/>
                <w:sz w:val="22"/>
                <w:szCs w:val="22"/>
              </w:rPr>
              <w:pict w14:anchorId="5D8F3EA6">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34912">
              <w:rPr>
                <w:rFonts w:ascii="Times New Roman" w:hAnsi="Times New Roman"/>
                <w:noProof/>
                <w:position w:val="-5"/>
                <w:sz w:val="22"/>
                <w:szCs w:val="22"/>
              </w:rPr>
              <w:pict w14:anchorId="5C9F11BB">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34912">
        <w:rPr>
          <w:rFonts w:ascii="Times New Roman" w:hAnsi="Times New Roman"/>
          <w:noProof/>
          <w:position w:val="-5"/>
          <w:sz w:val="22"/>
          <w:szCs w:val="22"/>
        </w:rPr>
        <w:pict w14:anchorId="2B377C49">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34912">
        <w:rPr>
          <w:rFonts w:ascii="Times New Roman" w:hAnsi="Times New Roman"/>
          <w:noProof/>
          <w:position w:val="-5"/>
          <w:sz w:val="22"/>
          <w:szCs w:val="22"/>
        </w:rPr>
        <w:pict w14:anchorId="55424CBE">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34912">
        <w:rPr>
          <w:rFonts w:ascii="Times New Roman" w:hAnsi="Times New Roman"/>
          <w:noProof/>
          <w:position w:val="-5"/>
          <w:sz w:val="22"/>
          <w:szCs w:val="22"/>
        </w:rPr>
        <w:pict w14:anchorId="6DD4BB6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536410">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53641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536410">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536410"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536410"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53641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53641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53641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53641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53641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536410">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536410">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536410">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4BA3F639" w14:textId="1A8A5943" w:rsidR="00CC2728" w:rsidRPr="00423E7E" w:rsidRDefault="00CC2728" w:rsidP="00CC2728">
      <w:pPr>
        <w:pStyle w:val="Heading5"/>
        <w:rPr>
          <w:rFonts w:ascii="Times New Roman" w:hAnsi="Times New Roman"/>
          <w:b/>
          <w:bCs/>
          <w:strike/>
          <w:lang w:eastAsia="zh-CN"/>
        </w:rPr>
      </w:pPr>
      <w:r w:rsidRPr="00423E7E">
        <w:rPr>
          <w:rFonts w:ascii="Times New Roman" w:hAnsi="Times New Roman"/>
          <w:b/>
          <w:bCs/>
          <w:strike/>
          <w:highlight w:val="cyan"/>
          <w:lang w:eastAsia="zh-CN"/>
        </w:rPr>
        <w:t>Proposal 1.1-2F)</w:t>
      </w:r>
      <w:r w:rsidRPr="00423E7E">
        <w:rPr>
          <w:rFonts w:ascii="Times New Roman" w:hAnsi="Times New Roman"/>
          <w:b/>
          <w:bCs/>
          <w:strike/>
          <w:lang w:eastAsia="zh-CN"/>
        </w:rPr>
        <w:t xml:space="preserve"> </w:t>
      </w:r>
    </w:p>
    <w:p w14:paraId="6C29C504" w14:textId="77777777" w:rsidR="00CC2728" w:rsidRPr="00423E7E" w:rsidRDefault="00CC2728" w:rsidP="00CC2728">
      <w:pPr>
        <w:pStyle w:val="BodyText"/>
        <w:numPr>
          <w:ilvl w:val="0"/>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No indication for licensed and unlicensed operation in MIB</w:t>
      </w:r>
    </w:p>
    <w:p w14:paraId="19782244" w14:textId="77777777" w:rsidR="00CC2728" w:rsidRPr="00423E7E" w:rsidRDefault="00CC2728" w:rsidP="00CC2728">
      <w:pPr>
        <w:pStyle w:val="BodyText"/>
        <w:numPr>
          <w:ilvl w:val="1"/>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Whether and/or how LBT/No-LBT is indicated is separately discussed</w:t>
      </w:r>
    </w:p>
    <w:p w14:paraId="30C74F44" w14:textId="77777777" w:rsidR="00CC2728" w:rsidRPr="00423E7E" w:rsidRDefault="00CC2728" w:rsidP="00CC2728">
      <w:pPr>
        <w:pStyle w:val="BodyText"/>
        <w:numPr>
          <w:ilvl w:val="0"/>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Use of LBT is not indicated in MIB.</w:t>
      </w:r>
    </w:p>
    <w:p w14:paraId="69389EE5" w14:textId="77777777" w:rsidR="00CC2728" w:rsidRPr="00423E7E" w:rsidRDefault="00CC2728" w:rsidP="00CC2728">
      <w:pPr>
        <w:pStyle w:val="BodyText"/>
        <w:numPr>
          <w:ilvl w:val="1"/>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FFS where and how this is indicated, e.g. SIB1</w:t>
      </w:r>
    </w:p>
    <w:p w14:paraId="33E690C6" w14:textId="2F4CB9E6" w:rsidR="00CC2728" w:rsidRPr="00423E7E" w:rsidRDefault="00CC2728">
      <w:pPr>
        <w:pStyle w:val="BodyText"/>
        <w:spacing w:after="0"/>
        <w:rPr>
          <w:rFonts w:ascii="Times New Roman" w:hAnsi="Times New Roman"/>
          <w:strike/>
          <w:sz w:val="22"/>
          <w:szCs w:val="22"/>
          <w:lang w:eastAsia="zh-CN"/>
        </w:rPr>
      </w:pPr>
    </w:p>
    <w:p w14:paraId="411E606D" w14:textId="13E82474" w:rsidR="00423E7E" w:rsidRDefault="00423E7E" w:rsidP="00423E7E">
      <w:pPr>
        <w:pStyle w:val="Heading5"/>
        <w:rPr>
          <w:rFonts w:ascii="Times New Roman" w:hAnsi="Times New Roman"/>
          <w:b/>
          <w:bCs/>
          <w:lang w:eastAsia="zh-CN"/>
        </w:rPr>
      </w:pPr>
      <w:r w:rsidRPr="00423E7E">
        <w:rPr>
          <w:rFonts w:ascii="Times New Roman" w:hAnsi="Times New Roman"/>
          <w:b/>
          <w:bCs/>
          <w:highlight w:val="cyan"/>
          <w:lang w:eastAsia="zh-CN"/>
        </w:rPr>
        <w:t xml:space="preserve">Proposal 1.1-2G) </w:t>
      </w:r>
    </w:p>
    <w:p w14:paraId="4565FDD4" w14:textId="77777777"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74C78BBF"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6492782" w14:textId="77777777"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5F7D6949"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53641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34912">
        <w:rPr>
          <w:rFonts w:ascii="Times New Roman" w:hAnsi="Times New Roman"/>
          <w:noProof/>
          <w:position w:val="-5"/>
          <w:sz w:val="22"/>
          <w:szCs w:val="22"/>
        </w:rPr>
        <w:pict w14:anchorId="4A1ED6E0">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3E3C" w14:textId="77777777" w:rsidR="00536410" w:rsidRDefault="00536410">
      <w:pPr>
        <w:spacing w:after="0" w:line="240" w:lineRule="auto"/>
      </w:pPr>
      <w:r>
        <w:separator/>
      </w:r>
    </w:p>
  </w:endnote>
  <w:endnote w:type="continuationSeparator" w:id="0">
    <w:p w14:paraId="2134F362" w14:textId="77777777" w:rsidR="00536410" w:rsidRDefault="0053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542AC1" w:rsidRDefault="00542A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542AC1" w:rsidRDefault="00542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753A7A70" w:rsidR="00542AC1" w:rsidRDefault="00542AC1">
    <w:pPr>
      <w:pStyle w:val="Footer"/>
      <w:ind w:right="360"/>
    </w:pPr>
    <w:r>
      <w:rPr>
        <w:rStyle w:val="PageNumber"/>
      </w:rPr>
      <w:fldChar w:fldCharType="begin"/>
    </w:r>
    <w:r>
      <w:rPr>
        <w:rStyle w:val="PageNumber"/>
      </w:rPr>
      <w:instrText xml:space="preserve"> PAGE </w:instrText>
    </w:r>
    <w:r>
      <w:rPr>
        <w:rStyle w:val="PageNumber"/>
      </w:rPr>
      <w:fldChar w:fldCharType="separate"/>
    </w:r>
    <w:r w:rsidR="003F2394">
      <w:rPr>
        <w:rStyle w:val="PageNumber"/>
        <w:noProof/>
      </w:rPr>
      <w:t>192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2394">
      <w:rPr>
        <w:rStyle w:val="PageNumber"/>
        <w:noProof/>
      </w:rPr>
      <w:t>234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D5B9" w14:textId="77777777" w:rsidR="00542AC1" w:rsidRDefault="0054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21C5" w14:textId="77777777" w:rsidR="00536410" w:rsidRDefault="00536410">
      <w:pPr>
        <w:spacing w:after="0" w:line="240" w:lineRule="auto"/>
      </w:pPr>
      <w:r>
        <w:separator/>
      </w:r>
    </w:p>
  </w:footnote>
  <w:footnote w:type="continuationSeparator" w:id="0">
    <w:p w14:paraId="0D81AF22" w14:textId="77777777" w:rsidR="00536410" w:rsidRDefault="0053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542AC1" w:rsidRDefault="00542AC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FEC1" w14:textId="77777777" w:rsidR="00542AC1" w:rsidRDefault="00542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4C91" w14:textId="77777777" w:rsidR="00542AC1" w:rsidRDefault="00542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839FD"/>
    <w:multiLevelType w:val="hybridMultilevel"/>
    <w:tmpl w:val="C3D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8"/>
  </w:num>
  <w:num w:numId="6">
    <w:abstractNumId w:val="13"/>
  </w:num>
  <w:num w:numId="7">
    <w:abstractNumId w:val="43"/>
  </w:num>
  <w:num w:numId="8">
    <w:abstractNumId w:val="33"/>
  </w:num>
  <w:num w:numId="9">
    <w:abstractNumId w:val="41"/>
  </w:num>
  <w:num w:numId="10">
    <w:abstractNumId w:val="60"/>
  </w:num>
  <w:num w:numId="11">
    <w:abstractNumId w:val="10"/>
  </w:num>
  <w:num w:numId="12">
    <w:abstractNumId w:val="17"/>
  </w:num>
  <w:num w:numId="13">
    <w:abstractNumId w:val="59"/>
  </w:num>
  <w:num w:numId="14">
    <w:abstractNumId w:val="38"/>
  </w:num>
  <w:num w:numId="15">
    <w:abstractNumId w:val="46"/>
  </w:num>
  <w:num w:numId="16">
    <w:abstractNumId w:val="19"/>
  </w:num>
  <w:num w:numId="17">
    <w:abstractNumId w:val="24"/>
  </w:num>
  <w:num w:numId="18">
    <w:abstractNumId w:val="6"/>
  </w:num>
  <w:num w:numId="19">
    <w:abstractNumId w:val="36"/>
  </w:num>
  <w:num w:numId="20">
    <w:abstractNumId w:val="9"/>
  </w:num>
  <w:num w:numId="21">
    <w:abstractNumId w:val="54"/>
  </w:num>
  <w:num w:numId="22">
    <w:abstractNumId w:val="35"/>
  </w:num>
  <w:num w:numId="23">
    <w:abstractNumId w:val="12"/>
  </w:num>
  <w:num w:numId="24">
    <w:abstractNumId w:val="29"/>
  </w:num>
  <w:num w:numId="25">
    <w:abstractNumId w:val="58"/>
  </w:num>
  <w:num w:numId="26">
    <w:abstractNumId w:val="37"/>
  </w:num>
  <w:num w:numId="27">
    <w:abstractNumId w:val="57"/>
  </w:num>
  <w:num w:numId="28">
    <w:abstractNumId w:val="22"/>
  </w:num>
  <w:num w:numId="29">
    <w:abstractNumId w:val="51"/>
  </w:num>
  <w:num w:numId="30">
    <w:abstractNumId w:val="30"/>
  </w:num>
  <w:num w:numId="31">
    <w:abstractNumId w:val="26"/>
  </w:num>
  <w:num w:numId="32">
    <w:abstractNumId w:val="4"/>
  </w:num>
  <w:num w:numId="33">
    <w:abstractNumId w:val="0"/>
  </w:num>
  <w:num w:numId="34">
    <w:abstractNumId w:val="18"/>
  </w:num>
  <w:num w:numId="35">
    <w:abstractNumId w:val="45"/>
  </w:num>
  <w:num w:numId="36">
    <w:abstractNumId w:val="55"/>
  </w:num>
  <w:num w:numId="37">
    <w:abstractNumId w:val="20"/>
  </w:num>
  <w:num w:numId="38">
    <w:abstractNumId w:val="7"/>
  </w:num>
  <w:num w:numId="39">
    <w:abstractNumId w:val="21"/>
  </w:num>
  <w:num w:numId="40">
    <w:abstractNumId w:val="47"/>
  </w:num>
  <w:num w:numId="41">
    <w:abstractNumId w:val="56"/>
  </w:num>
  <w:num w:numId="42">
    <w:abstractNumId w:val="16"/>
  </w:num>
  <w:num w:numId="43">
    <w:abstractNumId w:val="32"/>
  </w:num>
  <w:num w:numId="44">
    <w:abstractNumId w:val="3"/>
  </w:num>
  <w:num w:numId="45">
    <w:abstractNumId w:val="39"/>
  </w:num>
  <w:num w:numId="46">
    <w:abstractNumId w:val="27"/>
  </w:num>
  <w:num w:numId="47">
    <w:abstractNumId w:val="53"/>
  </w:num>
  <w:num w:numId="48">
    <w:abstractNumId w:val="49"/>
  </w:num>
  <w:num w:numId="49">
    <w:abstractNumId w:val="50"/>
  </w:num>
  <w:num w:numId="50">
    <w:abstractNumId w:val="42"/>
  </w:num>
  <w:num w:numId="51">
    <w:abstractNumId w:val="28"/>
  </w:num>
  <w:num w:numId="52">
    <w:abstractNumId w:val="62"/>
  </w:num>
  <w:num w:numId="53">
    <w:abstractNumId w:val="25"/>
  </w:num>
  <w:num w:numId="54">
    <w:abstractNumId w:val="52"/>
  </w:num>
  <w:num w:numId="55">
    <w:abstractNumId w:val="15"/>
  </w:num>
  <w:num w:numId="56">
    <w:abstractNumId w:val="5"/>
  </w:num>
  <w:num w:numId="57">
    <w:abstractNumId w:val="31"/>
  </w:num>
  <w:num w:numId="58">
    <w:abstractNumId w:val="34"/>
  </w:num>
  <w:num w:numId="59">
    <w:abstractNumId w:val="14"/>
  </w:num>
  <w:num w:numId="60">
    <w:abstractNumId w:val="8"/>
  </w:num>
  <w:num w:numId="61">
    <w:abstractNumId w:val="61"/>
  </w:num>
  <w:num w:numId="62">
    <w:abstractNumId w:val="11"/>
  </w:num>
  <w:num w:numId="63">
    <w:abstractNumId w:val="44"/>
  </w:num>
  <w:num w:numId="64">
    <w:abstractNumId w:val="2"/>
    <w:lvlOverride w:ilvl="0"/>
    <w:lvlOverride w:ilvl="1"/>
    <w:lvlOverride w:ilvl="2"/>
    <w:lvlOverride w:ilvl="3"/>
    <w:lvlOverride w:ilvl="4"/>
    <w:lvlOverride w:ilvl="5"/>
    <w:lvlOverride w:ilvl="6"/>
    <w:lvlOverride w:ilvl="7"/>
    <w:lvlOverride w:ilv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597"/>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9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12"/>
    <w:rsid w:val="005349EB"/>
    <w:rsid w:val="00534AA6"/>
    <w:rsid w:val="00534C83"/>
    <w:rsid w:val="005354EE"/>
    <w:rsid w:val="00535A27"/>
    <w:rsid w:val="00535AA7"/>
    <w:rsid w:val="00535C7A"/>
    <w:rsid w:val="0053637E"/>
    <w:rsid w:val="00536410"/>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021"/>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098"/>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02C"/>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00F2"/>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44BE"/>
    <w:rsid w:val="00D474D1"/>
    <w:rsid w:val="00D56718"/>
    <w:rsid w:val="00D57D5D"/>
    <w:rsid w:val="00D73412"/>
    <w:rsid w:val="00D81E96"/>
    <w:rsid w:val="00D8341B"/>
    <w:rsid w:val="00D92A8A"/>
    <w:rsid w:val="00D9535D"/>
    <w:rsid w:val="00DA68A9"/>
    <w:rsid w:val="00DA7A67"/>
    <w:rsid w:val="00DB05EB"/>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12FF"/>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A3B56-2D8D-4814-905A-5E24FB1E5700}">
  <ds:schemaRefs>
    <ds:schemaRef ds:uri="http://schemas.openxmlformats.org/officeDocument/2006/bibliography"/>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A092681-E575-4E31-A59C-6F9FE0B3B37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235</Pages>
  <Words>80742</Words>
  <Characters>460231</Characters>
  <Application>Microsoft Office Word</Application>
  <DocSecurity>0</DocSecurity>
  <Lines>3835</Lines>
  <Paragraphs>1079</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Stephen Grant</cp:lastModifiedBy>
  <cp:revision>6</cp:revision>
  <cp:lastPrinted>2011-11-09T07:49:00Z</cp:lastPrinted>
  <dcterms:created xsi:type="dcterms:W3CDTF">2021-08-26T19:56:00Z</dcterms:created>
  <dcterms:modified xsi:type="dcterms:W3CDTF">2021-08-26T20:21:00Z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