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0EB9D6AF" w:rsidR="00DE0571" w:rsidRDefault="00DE0571" w:rsidP="00DE0571">
      <w:pPr>
        <w:snapToGrid w:val="0"/>
        <w:spacing w:after="120" w:line="288" w:lineRule="auto"/>
        <w:jc w:val="both"/>
      </w:pPr>
      <w:proofErr w:type="gramStart"/>
      <w:r>
        <w:t>Companies</w:t>
      </w:r>
      <w:proofErr w:type="gramEnd"/>
      <w:r>
        <w:t xml:space="preserve"> please share their inputs on the excel spreadsheet in ‘</w:t>
      </w:r>
      <w:r w:rsidRPr="00F843D2">
        <w:t>/</w:t>
      </w:r>
      <w:proofErr w:type="spellStart"/>
      <w:r w:rsidRPr="00F843D2">
        <w:t>tsg_ran</w:t>
      </w:r>
      <w:proofErr w:type="spellEnd"/>
      <w:r w:rsidRPr="00F843D2">
        <w:t>/WG1_RL1/TSGR1_106-e/Inbox/drafts/8.1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506478">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proofErr w:type="spellStart"/>
            <w:r w:rsidRPr="00CE0C3A">
              <w:rPr>
                <w:bCs/>
                <w:lang w:eastAsia="zh-CN"/>
              </w:rPr>
              <w:t>locationAndBandwidth</w:t>
            </w:r>
            <w:proofErr w:type="spellEnd"/>
            <w:r w:rsidRPr="00CE0C3A">
              <w:rPr>
                <w:bCs/>
                <w:lang w:eastAsia="zh-CN"/>
              </w:rPr>
              <w:t>-Broadcast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2801C0">
            <w:pPr>
              <w:jc w:val="left"/>
              <w:rPr>
                <w:bCs/>
                <w:lang w:eastAsia="zh-CN"/>
              </w:rPr>
            </w:pPr>
            <w:r>
              <w:rPr>
                <w:bCs/>
                <w:lang w:eastAsia="zh-CN"/>
              </w:rPr>
              <w:t xml:space="preserve">For </w:t>
            </w:r>
            <w:proofErr w:type="spellStart"/>
            <w:r w:rsidRPr="00F9701A">
              <w:rPr>
                <w:bCs/>
                <w:lang w:eastAsia="zh-CN"/>
              </w:rPr>
              <w:t>pdsch</w:t>
            </w:r>
            <w:proofErr w:type="spellEnd"/>
            <w:r w:rsidRPr="00F9701A">
              <w:rPr>
                <w:bCs/>
                <w:lang w:eastAsia="zh-CN"/>
              </w:rPr>
              <w:t>-</w:t>
            </w:r>
            <w:proofErr w:type="spellStart"/>
            <w:r w:rsidRPr="00F9701A">
              <w:rPr>
                <w:bCs/>
                <w:lang w:eastAsia="zh-CN"/>
              </w:rPr>
              <w:t>ConfigCommon</w:t>
            </w:r>
            <w:proofErr w:type="spellEnd"/>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proofErr w:type="spellStart"/>
            <w:r w:rsidRPr="00B97949">
              <w:rPr>
                <w:bCs/>
                <w:i/>
                <w:iCs/>
                <w:lang w:eastAsia="zh-CN"/>
              </w:rPr>
              <w:t>pdsch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pdsch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pdsch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pdsch-ConfigCommon</w:t>
            </w:r>
            <w:proofErr w:type="spellEnd"/>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proofErr w:type="spellStart"/>
            <w:r w:rsidRPr="00F9701A">
              <w:rPr>
                <w:bCs/>
                <w:lang w:eastAsia="zh-CN"/>
              </w:rPr>
              <w:t>p</w:t>
            </w:r>
            <w:r>
              <w:rPr>
                <w:bCs/>
                <w:lang w:eastAsia="zh-CN"/>
              </w:rPr>
              <w:t>c</w:t>
            </w:r>
            <w:r w:rsidRPr="00F9701A">
              <w:rPr>
                <w:bCs/>
                <w:lang w:eastAsia="zh-CN"/>
              </w:rPr>
              <w:t>sch</w:t>
            </w:r>
            <w:proofErr w:type="spellEnd"/>
            <w:r w:rsidRPr="00F9701A">
              <w:rPr>
                <w:bCs/>
                <w:lang w:eastAsia="zh-CN"/>
              </w:rPr>
              <w:t>-</w:t>
            </w:r>
            <w:proofErr w:type="spellStart"/>
            <w:r w:rsidRPr="00F9701A">
              <w:rPr>
                <w:bCs/>
                <w:lang w:eastAsia="zh-CN"/>
              </w:rPr>
              <w:t>ConfigCommon</w:t>
            </w:r>
            <w:proofErr w:type="spellEnd"/>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proofErr w:type="spellStart"/>
            <w:r w:rsidRPr="00B97949">
              <w:rPr>
                <w:bCs/>
                <w:i/>
                <w:iCs/>
                <w:lang w:eastAsia="zh-CN"/>
              </w:rPr>
              <w:t>pdcch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w:t>
            </w:r>
            <w:r w:rsidR="00F23E4F" w:rsidRPr="00B97949">
              <w:rPr>
                <w:bCs/>
                <w:i/>
                <w:iCs/>
                <w:lang w:eastAsia="zh-CN"/>
              </w:rPr>
              <w:t>dc</w:t>
            </w:r>
            <w:r w:rsidRPr="00B97949">
              <w:rPr>
                <w:bCs/>
                <w:i/>
                <w:iCs/>
                <w:lang w:eastAsia="zh-CN"/>
              </w:rPr>
              <w:t>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pdcch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pdcch-ConfigCommon</w:t>
            </w:r>
            <w:proofErr w:type="spellEnd"/>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proofErr w:type="spellStart"/>
            <w:r w:rsidRPr="00CE0C3A">
              <w:rPr>
                <w:bCs/>
                <w:lang w:eastAsia="zh-CN"/>
              </w:rPr>
              <w:t>searchSpaceBroadcast</w:t>
            </w:r>
            <w:proofErr w:type="spellEnd"/>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2801C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proofErr w:type="spellStart"/>
            <w:r w:rsidRPr="008857F0">
              <w:rPr>
                <w:bCs/>
                <w:lang w:eastAsia="zh-CN"/>
              </w:rPr>
              <w:t>cfr</w:t>
            </w:r>
            <w:proofErr w:type="spellEnd"/>
            <w:r w:rsidRPr="008857F0">
              <w:rPr>
                <w:bCs/>
                <w:lang w:eastAsia="zh-CN"/>
              </w:rPr>
              <w:t>-Config-MCCH</w:t>
            </w:r>
            <w:r>
              <w:rPr>
                <w:bCs/>
                <w:lang w:eastAsia="zh-CN"/>
              </w:rPr>
              <w:t xml:space="preserve"> and </w:t>
            </w:r>
            <w:proofErr w:type="spellStart"/>
            <w:r w:rsidRPr="008857F0">
              <w:rPr>
                <w:bCs/>
                <w:lang w:eastAsia="zh-CN"/>
              </w:rPr>
              <w:t>cfr</w:t>
            </w:r>
            <w:proofErr w:type="spellEnd"/>
            <w:r w:rsidRPr="008857F0">
              <w:rPr>
                <w:bCs/>
                <w:lang w:eastAsia="zh-CN"/>
              </w:rPr>
              <w:t>-Config-MTCH</w:t>
            </w:r>
            <w:r>
              <w:rPr>
                <w:bCs/>
                <w:lang w:eastAsia="zh-CN"/>
              </w:rPr>
              <w:t xml:space="preserve"> in </w:t>
            </w:r>
            <w:r w:rsidRPr="008857F0">
              <w:rPr>
                <w:bCs/>
                <w:i/>
                <w:lang w:eastAsia="zh-CN"/>
              </w:rPr>
              <w:t>Post_RAN1#106-e_Rel-17_RRC_MBS_Broadcast.xlsx</w:t>
            </w:r>
            <w:r>
              <w:rPr>
                <w:bCs/>
                <w:lang w:eastAsia="zh-CN"/>
              </w:rPr>
              <w:t xml:space="preserve"> file, </w:t>
            </w:r>
            <w:proofErr w:type="gramStart"/>
            <w:r>
              <w:rPr>
                <w:bCs/>
                <w:lang w:eastAsia="zh-CN"/>
              </w:rPr>
              <w:t>We</w:t>
            </w:r>
            <w:proofErr w:type="gramEnd"/>
            <w:r>
              <w:rPr>
                <w:bCs/>
                <w:lang w:eastAsia="zh-CN"/>
              </w:rPr>
              <w:t xml:space="preserv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TableGrid"/>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proofErr w:type="spellStart"/>
            <w:r w:rsidRPr="008857F0">
              <w:rPr>
                <w:bCs/>
                <w:lang w:eastAsia="zh-CN"/>
              </w:rPr>
              <w:t>cfr</w:t>
            </w:r>
            <w:proofErr w:type="spellEnd"/>
            <w:r w:rsidRPr="008857F0">
              <w:rPr>
                <w:bCs/>
                <w:lang w:eastAsia="zh-CN"/>
              </w:rPr>
              <w:t>-Config-</w:t>
            </w:r>
            <w:r>
              <w:rPr>
                <w:bCs/>
                <w:lang w:eastAsia="zh-CN"/>
              </w:rPr>
              <w:t>broadcast” instead of separate “</w:t>
            </w:r>
            <w:proofErr w:type="spellStart"/>
            <w:r w:rsidRPr="008857F0">
              <w:rPr>
                <w:bCs/>
                <w:lang w:eastAsia="zh-CN"/>
              </w:rPr>
              <w:t>cfr</w:t>
            </w:r>
            <w:proofErr w:type="spellEnd"/>
            <w:r w:rsidRPr="008857F0">
              <w:rPr>
                <w:bCs/>
                <w:lang w:eastAsia="zh-CN"/>
              </w:rPr>
              <w:t>-Config-MCCH</w:t>
            </w:r>
            <w:r>
              <w:rPr>
                <w:bCs/>
                <w:lang w:eastAsia="zh-CN"/>
              </w:rPr>
              <w:t>” and “</w:t>
            </w:r>
            <w:proofErr w:type="spellStart"/>
            <w:r w:rsidRPr="008857F0">
              <w:rPr>
                <w:bCs/>
                <w:lang w:eastAsia="zh-CN"/>
              </w:rPr>
              <w:t>cfr</w:t>
            </w:r>
            <w:proofErr w:type="spellEnd"/>
            <w:r w:rsidRPr="008857F0">
              <w:rPr>
                <w:bCs/>
                <w:lang w:eastAsia="zh-CN"/>
              </w:rPr>
              <w:t>-Config-MTCH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w:t>
            </w:r>
            <w:proofErr w:type="spellStart"/>
            <w:r>
              <w:rPr>
                <w:bCs/>
                <w:lang w:eastAsia="zh-CN"/>
              </w:rPr>
              <w:t>MedidaTek</w:t>
            </w:r>
            <w:proofErr w:type="spellEnd"/>
            <w:r>
              <w:rPr>
                <w:bCs/>
                <w:lang w:eastAsia="zh-CN"/>
              </w:rPr>
              <w:t xml:space="preserve"> on parameter of </w:t>
            </w:r>
            <w:r w:rsidRPr="003113F7">
              <w:rPr>
                <w:bCs/>
                <w:lang w:eastAsia="zh-CN"/>
              </w:rPr>
              <w:t>CFR-Config-MCCH or CFR-Config-MTCH</w:t>
            </w:r>
            <w:r>
              <w:rPr>
                <w:bCs/>
                <w:lang w:eastAsia="zh-CN"/>
              </w:rPr>
              <w:t xml:space="preserve">. According to the agreements reached by now, the parameter </w:t>
            </w:r>
            <w:proofErr w:type="spellStart"/>
            <w:r w:rsidRPr="003113F7">
              <w:rPr>
                <w:bCs/>
                <w:lang w:eastAsia="zh-CN"/>
              </w:rPr>
              <w:t>cfr</w:t>
            </w:r>
            <w:proofErr w:type="spellEnd"/>
            <w:r w:rsidRPr="003113F7">
              <w:rPr>
                <w:bCs/>
                <w:lang w:eastAsia="zh-CN"/>
              </w:rPr>
              <w:t>-Config-</w:t>
            </w:r>
            <w:proofErr w:type="spellStart"/>
            <w:r>
              <w:rPr>
                <w:bCs/>
                <w:lang w:eastAsia="zh-CN"/>
              </w:rPr>
              <w:t>Boradca</w:t>
            </w:r>
            <w:r w:rsidRPr="003113F7">
              <w:rPr>
                <w:bCs/>
                <w:lang w:eastAsia="zh-CN"/>
              </w:rPr>
              <w:t>st</w:t>
            </w:r>
            <w:proofErr w:type="spellEnd"/>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ListParagraph"/>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ListParagraph"/>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proofErr w:type="gramStart"/>
            <w:r>
              <w:rPr>
                <w:bCs/>
                <w:lang w:eastAsia="zh-CN"/>
              </w:rPr>
              <w:t>Likewise</w:t>
            </w:r>
            <w:proofErr w:type="gramEnd"/>
            <w:r>
              <w:rPr>
                <w:bCs/>
                <w:lang w:eastAsia="zh-CN"/>
              </w:rPr>
              <w:t xml:space="preserve"> to </w:t>
            </w:r>
            <w:proofErr w:type="spellStart"/>
            <w:r w:rsidRPr="00BC02CE">
              <w:rPr>
                <w:bCs/>
                <w:lang w:eastAsia="zh-CN"/>
              </w:rPr>
              <w:t>pucch</w:t>
            </w:r>
            <w:proofErr w:type="spellEnd"/>
            <w:r w:rsidRPr="00BC02CE">
              <w:rPr>
                <w:bCs/>
                <w:lang w:eastAsia="zh-CN"/>
              </w:rPr>
              <w:t>-Config-ACK/NACK-Multicast</w:t>
            </w:r>
            <w:r>
              <w:rPr>
                <w:bCs/>
                <w:lang w:eastAsia="zh-CN"/>
              </w:rPr>
              <w:t xml:space="preserve"> which is separate from </w:t>
            </w:r>
            <w:proofErr w:type="spellStart"/>
            <w:r>
              <w:rPr>
                <w:bCs/>
                <w:lang w:eastAsia="zh-CN"/>
              </w:rPr>
              <w:t>pucch</w:t>
            </w:r>
            <w:proofErr w:type="spellEnd"/>
            <w:r>
              <w:rPr>
                <w:bCs/>
                <w:lang w:eastAsia="zh-CN"/>
              </w:rPr>
              <w:t xml:space="preserve">-Config for unicast, </w:t>
            </w:r>
            <w:proofErr w:type="spellStart"/>
            <w:r w:rsidRPr="00440CD5">
              <w:rPr>
                <w:bCs/>
                <w:lang w:eastAsia="zh-CN"/>
              </w:rPr>
              <w:t>pdsch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rFonts w:hint="eastAsia"/>
                <w:bCs/>
                <w:lang w:eastAsia="zh-CN"/>
              </w:rPr>
              <w:t>/</w:t>
            </w:r>
            <w:r w:rsidRPr="00440CD5">
              <w:rPr>
                <w:bCs/>
                <w:lang w:eastAsia="zh-CN"/>
              </w:rPr>
              <w:t xml:space="preserve"> </w:t>
            </w:r>
            <w:proofErr w:type="spellStart"/>
            <w:r w:rsidRPr="00440CD5">
              <w:rPr>
                <w:bCs/>
                <w:lang w:eastAsia="zh-CN"/>
              </w:rPr>
              <w:t>p</w:t>
            </w:r>
            <w:r>
              <w:rPr>
                <w:bCs/>
                <w:lang w:eastAsia="zh-CN"/>
              </w:rPr>
              <w:t>dc</w:t>
            </w:r>
            <w:r w:rsidRPr="00440CD5">
              <w:rPr>
                <w:bCs/>
                <w:lang w:eastAsia="zh-CN"/>
              </w:rPr>
              <w:t>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bCs/>
                <w:lang w:eastAsia="zh-CN"/>
              </w:rPr>
              <w:t xml:space="preserve"> is separate from </w:t>
            </w:r>
            <w:proofErr w:type="spellStart"/>
            <w:r w:rsidRPr="00440CD5">
              <w:rPr>
                <w:bCs/>
                <w:i/>
                <w:iCs/>
                <w:lang w:eastAsia="zh-CN"/>
              </w:rPr>
              <w:t>pdsch-ConfigCommon</w:t>
            </w:r>
            <w:proofErr w:type="spellEnd"/>
            <w:r>
              <w:rPr>
                <w:rFonts w:hint="eastAsia"/>
                <w:bCs/>
                <w:i/>
                <w:iCs/>
                <w:lang w:eastAsia="zh-CN"/>
              </w:rPr>
              <w:t>/</w:t>
            </w:r>
            <w:r w:rsidRPr="00440CD5">
              <w:rPr>
                <w:bCs/>
                <w:i/>
                <w:iCs/>
                <w:lang w:eastAsia="zh-CN"/>
              </w:rPr>
              <w:t xml:space="preserve"> </w:t>
            </w:r>
            <w:proofErr w:type="spellStart"/>
            <w:r w:rsidRPr="00440CD5">
              <w:rPr>
                <w:bCs/>
                <w:i/>
                <w:iCs/>
                <w:lang w:eastAsia="zh-CN"/>
              </w:rPr>
              <w:t>pdcch-ConfigCommon</w:t>
            </w:r>
            <w:proofErr w:type="spellEnd"/>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proofErr w:type="spellStart"/>
            <w:r w:rsidRPr="00C97329">
              <w:rPr>
                <w:bCs/>
                <w:iCs/>
                <w:lang w:eastAsia="zh-CN"/>
              </w:rPr>
              <w:t>pdsch</w:t>
            </w:r>
            <w:proofErr w:type="spellEnd"/>
            <w:r w:rsidRPr="00C97329">
              <w:rPr>
                <w:bCs/>
                <w:iCs/>
                <w:lang w:eastAsia="zh-CN"/>
              </w:rPr>
              <w:t>-</w:t>
            </w:r>
            <w:proofErr w:type="spellStart"/>
            <w:r w:rsidRPr="00C97329">
              <w:rPr>
                <w:bCs/>
                <w:iCs/>
                <w:lang w:eastAsia="zh-CN"/>
              </w:rPr>
              <w:t>ConfigCommon</w:t>
            </w:r>
            <w:proofErr w:type="spellEnd"/>
            <w:r w:rsidRPr="00C97329">
              <w:rPr>
                <w:bCs/>
                <w:iCs/>
                <w:lang w:eastAsia="zh-CN"/>
              </w:rPr>
              <w:t>-Broadcast</w:t>
            </w:r>
            <w:r>
              <w:rPr>
                <w:bCs/>
                <w:iCs/>
                <w:lang w:eastAsia="zh-CN"/>
              </w:rPr>
              <w:t xml:space="preserve"> and </w:t>
            </w:r>
            <w:proofErr w:type="spellStart"/>
            <w:r w:rsidRPr="00C97329">
              <w:rPr>
                <w:bCs/>
                <w:i/>
                <w:iCs/>
                <w:lang w:eastAsia="zh-CN"/>
              </w:rPr>
              <w:t>pdsch</w:t>
            </w:r>
            <w:proofErr w:type="spellEnd"/>
            <w:r w:rsidRPr="00C97329">
              <w:rPr>
                <w:bCs/>
                <w:i/>
                <w:iCs/>
                <w:lang w:eastAsia="zh-CN"/>
              </w:rPr>
              <w:t>-Config-Broadcast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lastRenderedPageBreak/>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ListParagraph"/>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proofErr w:type="spellStart"/>
            <w:r>
              <w:rPr>
                <w:bCs/>
                <w:lang w:eastAsia="zh-CN"/>
              </w:rPr>
              <w:t>cfr</w:t>
            </w:r>
            <w:proofErr w:type="spellEnd"/>
            <w:r>
              <w:rPr>
                <w:bCs/>
                <w:lang w:eastAsia="zh-CN"/>
              </w:rPr>
              <w:t xml:space="preserve">-Config-MCCH and </w:t>
            </w:r>
            <w:proofErr w:type="spellStart"/>
            <w:r w:rsidRPr="00411384">
              <w:rPr>
                <w:bCs/>
                <w:lang w:eastAsia="zh-CN"/>
              </w:rPr>
              <w:t>cfr</w:t>
            </w:r>
            <w:proofErr w:type="spellEnd"/>
            <w:r w:rsidRPr="00411384">
              <w:rPr>
                <w:bCs/>
                <w:lang w:eastAsia="zh-CN"/>
              </w:rPr>
              <w:t>-Config-MCCH</w:t>
            </w:r>
            <w:r>
              <w:rPr>
                <w:bCs/>
                <w:lang w:eastAsia="zh-CN"/>
              </w:rPr>
              <w:t xml:space="preserve">, now I merged the two into a single </w:t>
            </w:r>
            <w:proofErr w:type="spellStart"/>
            <w:r w:rsidRPr="00411384">
              <w:rPr>
                <w:bCs/>
                <w:lang w:eastAsia="zh-CN"/>
              </w:rPr>
              <w:t>cfr</w:t>
            </w:r>
            <w:proofErr w:type="spellEnd"/>
            <w:r w:rsidRPr="00411384">
              <w:rPr>
                <w:bCs/>
                <w:lang w:eastAsia="zh-CN"/>
              </w:rPr>
              <w:t>-Config-MCCH-MTCH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1C9A9842"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present in this RRC list. </w:t>
            </w:r>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proofErr w:type="spellStart"/>
            <w:r w:rsidRPr="00FF54FA">
              <w:rPr>
                <w:rFonts w:eastAsia="Batang"/>
                <w:i/>
                <w:iCs/>
                <w:lang w:val="en-GB" w:eastAsia="x-none"/>
              </w:rPr>
              <w:t>commonControlResourceSet</w:t>
            </w:r>
            <w:proofErr w:type="spellEnd"/>
            <w:r w:rsidRPr="00FF54FA">
              <w:rPr>
                <w:rFonts w:eastAsia="Batang"/>
                <w:i/>
                <w:iCs/>
                <w:lang w:val="en-GB" w:eastAsia="x-none"/>
              </w:rPr>
              <w: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proofErr w:type="spellStart"/>
            <w:r w:rsidRPr="00FF54FA">
              <w:rPr>
                <w:rFonts w:eastAsia="Batang"/>
                <w:i/>
                <w:iCs/>
                <w:lang w:val="en-GB" w:eastAsia="x-none"/>
              </w:rPr>
              <w:t>commonControlResourceSet</w:t>
            </w:r>
            <w:proofErr w:type="spellEnd"/>
            <w:r w:rsidRPr="00FF54FA">
              <w:rPr>
                <w:rFonts w:eastAsia="Batang"/>
                <w:i/>
                <w:lang w:val="en-GB" w:eastAsia="x-none"/>
              </w:rPr>
              <w:t>.</w:t>
            </w:r>
          </w:p>
          <w:p w14:paraId="0A951F08" w14:textId="499FD68F" w:rsidR="00FF54FA" w:rsidRPr="00FF54FA" w:rsidRDefault="00FF54FA" w:rsidP="000F1048">
            <w:pPr>
              <w:rPr>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506478">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6338DC" w:rsidRPr="006338DC" w14:paraId="70C5BD85" w14:textId="77777777" w:rsidTr="00A34CE3">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CE0F09" w:rsidRPr="006338DC" w14:paraId="464AB827" w14:textId="77777777" w:rsidTr="00A34CE3">
        <w:tc>
          <w:tcPr>
            <w:tcW w:w="1271" w:type="dxa"/>
            <w:tcBorders>
              <w:top w:val="single" w:sz="4" w:space="0" w:color="auto"/>
              <w:left w:val="single" w:sz="4" w:space="0" w:color="auto"/>
              <w:bottom w:val="single" w:sz="4" w:space="0" w:color="auto"/>
              <w:right w:val="single" w:sz="4" w:space="0" w:color="auto"/>
            </w:tcBorders>
          </w:tcPr>
          <w:p w14:paraId="6D049844" w14:textId="10356EC9" w:rsidR="00CE0F09" w:rsidRPr="006338DC" w:rsidRDefault="00CE0F09" w:rsidP="00CE0F09">
            <w:pPr>
              <w:overflowPunct/>
              <w:autoSpaceDE/>
              <w:autoSpaceDN/>
              <w:adjustRightInd/>
              <w:snapToGrid w:val="0"/>
              <w:spacing w:before="0" w:after="120" w:line="288" w:lineRule="auto"/>
              <w:textAlignment w:val="auto"/>
              <w:rPr>
                <w:rFonts w:eastAsia="Malgun Gothic"/>
                <w:b/>
                <w:lang w:eastAsia="ko-KR"/>
              </w:rPr>
            </w:pPr>
            <w:r>
              <w:rPr>
                <w:rFonts w:eastAsia="Malgun Gothic"/>
                <w:b/>
                <w:lang w:eastAsia="ko-KR"/>
              </w:rPr>
              <w:t>Qualcomm</w:t>
            </w:r>
          </w:p>
        </w:tc>
        <w:tc>
          <w:tcPr>
            <w:tcW w:w="8691" w:type="dxa"/>
            <w:tcBorders>
              <w:top w:val="single" w:sz="4" w:space="0" w:color="auto"/>
              <w:left w:val="single" w:sz="4" w:space="0" w:color="auto"/>
              <w:bottom w:val="single" w:sz="4" w:space="0" w:color="auto"/>
              <w:right w:val="single" w:sz="4" w:space="0" w:color="auto"/>
            </w:tcBorders>
          </w:tcPr>
          <w:p w14:paraId="71DAC437" w14:textId="6497D9E9" w:rsidR="00CE0F09" w:rsidRDefault="00CE0F09" w:rsidP="00CE0F09">
            <w:pPr>
              <w:jc w:val="left"/>
              <w:rPr>
                <w:bCs/>
                <w:lang w:eastAsia="zh-CN"/>
              </w:rPr>
            </w:pPr>
            <w:r>
              <w:rPr>
                <w:bCs/>
                <w:lang w:eastAsia="zh-CN"/>
              </w:rPr>
              <w:t xml:space="preserve">Concept-wise, we think the parameters </w:t>
            </w:r>
            <w:r w:rsidRPr="00CE0F09">
              <w:rPr>
                <w:b/>
                <w:lang w:eastAsia="zh-CN"/>
              </w:rPr>
              <w:t>configured in a CFR</w:t>
            </w:r>
            <w:r>
              <w:rPr>
                <w:bCs/>
                <w:lang w:eastAsia="zh-CN"/>
              </w:rPr>
              <w:t xml:space="preserve"> should be marked as per CFR, aligned with RAN1 agreement. Whether we have only one or multiple CFRs is a separate issue, which will be discussed further. For multicast, the </w:t>
            </w:r>
            <w:proofErr w:type="gramStart"/>
            <w:r>
              <w:rPr>
                <w:bCs/>
                <w:lang w:eastAsia="zh-CN"/>
              </w:rPr>
              <w:t>parameters</w:t>
            </w:r>
            <w:proofErr w:type="gramEnd"/>
            <w:r>
              <w:rPr>
                <w:bCs/>
                <w:lang w:eastAsia="zh-CN"/>
              </w:rPr>
              <w:t xml:space="preserve"> in a CFR is marked as per CFR instead of per BWP, although we agree to have max one CFR per BWP. Therefore, the following parameters for broadcast CFR should be ‘per CFR’ instead of ‘per cell’:</w:t>
            </w:r>
          </w:p>
          <w:p w14:paraId="7403DB6B" w14:textId="428C1C00" w:rsidR="00CE0F09" w:rsidRDefault="00CE0F09" w:rsidP="00CE0F09">
            <w:pPr>
              <w:pStyle w:val="ListParagraph"/>
              <w:numPr>
                <w:ilvl w:val="2"/>
                <w:numId w:val="65"/>
              </w:numPr>
              <w:ind w:left="330"/>
              <w:rPr>
                <w:bCs/>
                <w:lang w:eastAsia="zh-CN"/>
              </w:rPr>
            </w:pPr>
            <w:proofErr w:type="spellStart"/>
            <w:r w:rsidRPr="00CE0F09">
              <w:rPr>
                <w:bCs/>
                <w:lang w:eastAsia="zh-CN"/>
              </w:rPr>
              <w:t>locationAndBandwidth</w:t>
            </w:r>
            <w:proofErr w:type="spellEnd"/>
            <w:r w:rsidRPr="00CE0F09">
              <w:rPr>
                <w:bCs/>
                <w:lang w:eastAsia="zh-CN"/>
              </w:rPr>
              <w:t>-Broadcast</w:t>
            </w:r>
          </w:p>
          <w:p w14:paraId="6E7E560E" w14:textId="7261DAE8" w:rsidR="00CE0F09" w:rsidRDefault="00CE0F09" w:rsidP="00CE0F09">
            <w:pPr>
              <w:pStyle w:val="ListParagraph"/>
              <w:numPr>
                <w:ilvl w:val="2"/>
                <w:numId w:val="65"/>
              </w:numPr>
              <w:ind w:left="330"/>
              <w:rPr>
                <w:bCs/>
                <w:lang w:eastAsia="zh-CN"/>
              </w:rPr>
            </w:pPr>
            <w:proofErr w:type="spellStart"/>
            <w:r w:rsidRPr="00CE0F09">
              <w:rPr>
                <w:bCs/>
                <w:lang w:eastAsia="zh-CN"/>
              </w:rPr>
              <w:t>pdsch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74E0AF1A" w14:textId="13133672" w:rsidR="00CE0F09" w:rsidRDefault="00CE0F09" w:rsidP="00CE0F09">
            <w:pPr>
              <w:pStyle w:val="ListParagraph"/>
              <w:numPr>
                <w:ilvl w:val="2"/>
                <w:numId w:val="65"/>
              </w:numPr>
              <w:ind w:left="330"/>
              <w:rPr>
                <w:bCs/>
                <w:lang w:eastAsia="zh-CN"/>
              </w:rPr>
            </w:pPr>
            <w:proofErr w:type="spellStart"/>
            <w:r w:rsidRPr="00CE0F09">
              <w:rPr>
                <w:bCs/>
                <w:lang w:eastAsia="zh-CN"/>
              </w:rPr>
              <w:lastRenderedPageBreak/>
              <w:t>p</w:t>
            </w:r>
            <w:r>
              <w:rPr>
                <w:bCs/>
                <w:lang w:eastAsia="zh-CN"/>
              </w:rPr>
              <w:t>dc</w:t>
            </w:r>
            <w:r w:rsidRPr="00CE0F09">
              <w:rPr>
                <w:bCs/>
                <w:lang w:eastAsia="zh-CN"/>
              </w:rPr>
              <w:t>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631C7533" w14:textId="306301BF" w:rsidR="00623369" w:rsidRPr="00CE0F09" w:rsidRDefault="00623369" w:rsidP="00623369">
            <w:pPr>
              <w:pStyle w:val="ListParagraph"/>
              <w:numPr>
                <w:ilvl w:val="3"/>
                <w:numId w:val="65"/>
              </w:numPr>
              <w:ind w:left="960"/>
              <w:rPr>
                <w:bCs/>
                <w:lang w:eastAsia="zh-CN"/>
              </w:rPr>
            </w:pPr>
            <w:proofErr w:type="spellStart"/>
            <w:r w:rsidRPr="00CE0C3A">
              <w:rPr>
                <w:bCs/>
                <w:lang w:eastAsia="zh-CN"/>
              </w:rPr>
              <w:t>searchSpaceBroadcast</w:t>
            </w:r>
            <w:proofErr w:type="spellEnd"/>
          </w:p>
          <w:p w14:paraId="69E74FDB" w14:textId="69EF7181" w:rsidR="00CE0F09" w:rsidRDefault="00CE0F09" w:rsidP="00CE0F09">
            <w:pPr>
              <w:ind w:left="288"/>
              <w:jc w:val="left"/>
              <w:rPr>
                <w:bCs/>
                <w:lang w:eastAsia="zh-CN"/>
              </w:rPr>
            </w:pPr>
          </w:p>
          <w:p w14:paraId="21E23FC0" w14:textId="4AA3882A" w:rsidR="00CE0F09" w:rsidRDefault="00CE0F09" w:rsidP="00CE0F09">
            <w:pPr>
              <w:jc w:val="left"/>
              <w:rPr>
                <w:bCs/>
                <w:lang w:eastAsia="zh-CN"/>
              </w:rPr>
            </w:pPr>
            <w:r>
              <w:rPr>
                <w:bCs/>
                <w:lang w:eastAsia="zh-CN"/>
              </w:rPr>
              <w:t xml:space="preserve">Regarding the name of </w:t>
            </w:r>
            <w:proofErr w:type="spellStart"/>
            <w:r w:rsidRPr="00CE0F09">
              <w:rPr>
                <w:bCs/>
                <w:lang w:eastAsia="zh-CN"/>
              </w:rPr>
              <w:t>pd</w:t>
            </w:r>
            <w:r w:rsidR="00623369">
              <w:rPr>
                <w:bCs/>
                <w:lang w:eastAsia="zh-CN"/>
              </w:rPr>
              <w:t>sc</w:t>
            </w:r>
            <w:r w:rsidRPr="00CE0F09">
              <w:rPr>
                <w:bCs/>
                <w:lang w:eastAsia="zh-CN"/>
              </w:rPr>
              <w:t>h</w:t>
            </w:r>
            <w:proofErr w:type="spellEnd"/>
            <w:r w:rsidRPr="00CE0F09">
              <w:rPr>
                <w:bCs/>
                <w:lang w:eastAsia="zh-CN"/>
              </w:rPr>
              <w:t>-Config-Broadcast</w:t>
            </w:r>
            <w:r>
              <w:rPr>
                <w:bCs/>
                <w:lang w:eastAsia="zh-CN"/>
              </w:rPr>
              <w:t xml:space="preserve"> or </w:t>
            </w:r>
            <w:proofErr w:type="spellStart"/>
            <w:r w:rsidRPr="00CE0F09">
              <w:rPr>
                <w:bCs/>
                <w:lang w:eastAsia="zh-CN"/>
              </w:rPr>
              <w:t>pd</w:t>
            </w:r>
            <w:r w:rsidR="00623369">
              <w:rPr>
                <w:bCs/>
                <w:lang w:eastAsia="zh-CN"/>
              </w:rPr>
              <w:t>c</w:t>
            </w:r>
            <w:r w:rsidRPr="00CE0F09">
              <w:rPr>
                <w:bCs/>
                <w:lang w:eastAsia="zh-CN"/>
              </w:rPr>
              <w:t>ch</w:t>
            </w:r>
            <w:proofErr w:type="spellEnd"/>
            <w:r w:rsidRPr="00CE0F09">
              <w:rPr>
                <w:bCs/>
                <w:lang w:eastAsia="zh-CN"/>
              </w:rPr>
              <w:t>-Confi</w:t>
            </w:r>
            <w:r>
              <w:rPr>
                <w:bCs/>
                <w:lang w:eastAsia="zh-CN"/>
              </w:rPr>
              <w:t>g-</w:t>
            </w:r>
            <w:r w:rsidRPr="00CE0F09">
              <w:rPr>
                <w:bCs/>
                <w:lang w:eastAsia="zh-CN"/>
              </w:rPr>
              <w:t>Broadcast</w:t>
            </w:r>
            <w:r>
              <w:rPr>
                <w:bCs/>
                <w:lang w:eastAsia="zh-CN"/>
              </w:rPr>
              <w:t xml:space="preserve">, </w:t>
            </w:r>
            <w:r w:rsidR="00623369">
              <w:rPr>
                <w:bCs/>
                <w:lang w:eastAsia="zh-CN"/>
              </w:rPr>
              <w:t xml:space="preserve">we don’t think the parameters in </w:t>
            </w:r>
            <w:proofErr w:type="spellStart"/>
            <w:r w:rsidR="00623369" w:rsidRPr="00CE0F09">
              <w:rPr>
                <w:bCs/>
                <w:lang w:eastAsia="zh-CN"/>
              </w:rPr>
              <w:t>pd</w:t>
            </w:r>
            <w:r w:rsidR="00623369">
              <w:rPr>
                <w:bCs/>
                <w:lang w:eastAsia="zh-CN"/>
              </w:rPr>
              <w:t>s</w:t>
            </w:r>
            <w:r w:rsidR="00623369" w:rsidRPr="00CE0F09">
              <w:rPr>
                <w:bCs/>
                <w:lang w:eastAsia="zh-CN"/>
              </w:rPr>
              <w:t>ch-ConfigCommon</w:t>
            </w:r>
            <w:proofErr w:type="spellEnd"/>
            <w:r w:rsidR="00623369">
              <w:rPr>
                <w:bCs/>
                <w:lang w:eastAsia="zh-CN"/>
              </w:rPr>
              <w:t xml:space="preserve"> (TDRA only) and</w:t>
            </w:r>
            <w:r w:rsidR="00623369">
              <w:rPr>
                <w:bCs/>
                <w:lang w:eastAsia="zh-CN"/>
              </w:rPr>
              <w:t xml:space="preserve"> </w:t>
            </w:r>
            <w:proofErr w:type="spellStart"/>
            <w:r w:rsidR="00623369" w:rsidRPr="00CE0F09">
              <w:rPr>
                <w:bCs/>
                <w:lang w:eastAsia="zh-CN"/>
              </w:rPr>
              <w:t>pd</w:t>
            </w:r>
            <w:r w:rsidR="00623369">
              <w:rPr>
                <w:bCs/>
                <w:lang w:eastAsia="zh-CN"/>
              </w:rPr>
              <w:t>c</w:t>
            </w:r>
            <w:r w:rsidR="00623369" w:rsidRPr="00CE0F09">
              <w:rPr>
                <w:bCs/>
                <w:lang w:eastAsia="zh-CN"/>
              </w:rPr>
              <w:t>ch-ConfigCommon</w:t>
            </w:r>
            <w:proofErr w:type="spellEnd"/>
            <w:r w:rsidR="00623369">
              <w:rPr>
                <w:bCs/>
                <w:lang w:eastAsia="zh-CN"/>
              </w:rPr>
              <w:t xml:space="preserve"> (dedicated </w:t>
            </w:r>
            <w:r w:rsidR="00623369">
              <w:rPr>
                <w:bCs/>
                <w:lang w:eastAsia="zh-CN"/>
              </w:rPr>
              <w:t xml:space="preserve">CORESET/SS </w:t>
            </w:r>
            <w:r w:rsidR="00623369">
              <w:rPr>
                <w:bCs/>
                <w:lang w:eastAsia="zh-CN"/>
              </w:rPr>
              <w:t>for</w:t>
            </w:r>
            <w:r w:rsidR="00623369">
              <w:rPr>
                <w:bCs/>
                <w:lang w:eastAsia="zh-CN"/>
              </w:rPr>
              <w:t xml:space="preserve"> RA/paging/SIB1</w:t>
            </w:r>
            <w:r w:rsidR="00623369">
              <w:rPr>
                <w:bCs/>
                <w:lang w:eastAsia="zh-CN"/>
              </w:rPr>
              <w:t xml:space="preserve">) should be taken as a baseline for broadcast CFR. For broadcast CFR, the starting PRB is using the same approach as that of multicast CFR, according to the RAN1 agreement below. Similarly, we can take the </w:t>
            </w:r>
            <w:proofErr w:type="spellStart"/>
            <w:r w:rsidR="00623369" w:rsidRPr="00CE0F09">
              <w:rPr>
                <w:bCs/>
                <w:lang w:eastAsia="zh-CN"/>
              </w:rPr>
              <w:t>pd</w:t>
            </w:r>
            <w:r w:rsidR="00623369">
              <w:rPr>
                <w:bCs/>
                <w:lang w:eastAsia="zh-CN"/>
              </w:rPr>
              <w:t>s</w:t>
            </w:r>
            <w:r w:rsidR="00623369" w:rsidRPr="00CE0F09">
              <w:rPr>
                <w:bCs/>
                <w:lang w:eastAsia="zh-CN"/>
              </w:rPr>
              <w:t>ch</w:t>
            </w:r>
            <w:proofErr w:type="spellEnd"/>
            <w:r w:rsidR="00623369" w:rsidRPr="00CE0F09">
              <w:rPr>
                <w:bCs/>
                <w:lang w:eastAsia="zh-CN"/>
              </w:rPr>
              <w:t>-Config</w:t>
            </w:r>
            <w:r w:rsidR="00623369">
              <w:rPr>
                <w:bCs/>
                <w:lang w:eastAsia="zh-CN"/>
              </w:rPr>
              <w:t xml:space="preserve"> and </w:t>
            </w:r>
            <w:proofErr w:type="spellStart"/>
            <w:r w:rsidR="00623369" w:rsidRPr="00CE0F09">
              <w:rPr>
                <w:bCs/>
                <w:lang w:eastAsia="zh-CN"/>
              </w:rPr>
              <w:t>pd</w:t>
            </w:r>
            <w:r w:rsidR="00623369">
              <w:rPr>
                <w:bCs/>
                <w:lang w:eastAsia="zh-CN"/>
              </w:rPr>
              <w:t>c</w:t>
            </w:r>
            <w:r w:rsidR="00623369" w:rsidRPr="00CE0F09">
              <w:rPr>
                <w:bCs/>
                <w:lang w:eastAsia="zh-CN"/>
              </w:rPr>
              <w:t>ch</w:t>
            </w:r>
            <w:proofErr w:type="spellEnd"/>
            <w:r w:rsidR="00623369" w:rsidRPr="00CE0F09">
              <w:rPr>
                <w:bCs/>
                <w:lang w:eastAsia="zh-CN"/>
              </w:rPr>
              <w:t>-Config</w:t>
            </w:r>
            <w:r w:rsidR="00623369">
              <w:rPr>
                <w:bCs/>
                <w:lang w:eastAsia="zh-CN"/>
              </w:rPr>
              <w:t xml:space="preserve"> as baseline </w:t>
            </w:r>
            <w:r w:rsidR="00D601CF">
              <w:rPr>
                <w:bCs/>
                <w:lang w:eastAsia="zh-CN"/>
              </w:rPr>
              <w:t>for broadcast</w:t>
            </w:r>
            <w:r w:rsidR="00623369">
              <w:rPr>
                <w:bCs/>
                <w:lang w:eastAsia="zh-CN"/>
              </w:rPr>
              <w:t>.</w:t>
            </w:r>
          </w:p>
          <w:p w14:paraId="6300EF7D" w14:textId="77777777" w:rsidR="00623369" w:rsidRPr="00623369" w:rsidRDefault="00623369" w:rsidP="00623369">
            <w:pPr>
              <w:ind w:left="288"/>
              <w:rPr>
                <w:bCs/>
                <w:lang w:eastAsia="zh-CN"/>
              </w:rPr>
            </w:pPr>
            <w:r w:rsidRPr="00623369">
              <w:rPr>
                <w:bCs/>
                <w:highlight w:val="green"/>
                <w:lang w:eastAsia="zh-CN"/>
              </w:rPr>
              <w:t>Agreement:</w:t>
            </w:r>
          </w:p>
          <w:p w14:paraId="35F0889E" w14:textId="77777777" w:rsidR="00623369" w:rsidRPr="00623369" w:rsidRDefault="00623369" w:rsidP="00623369">
            <w:pPr>
              <w:ind w:left="288"/>
              <w:rPr>
                <w:bCs/>
                <w:lang w:eastAsia="zh-CN"/>
              </w:rPr>
            </w:pPr>
            <w:r w:rsidRPr="00623369">
              <w:rPr>
                <w:bCs/>
                <w:lang w:eastAsia="zh-CN"/>
              </w:rPr>
              <w:t>From RAN1 perspective, the CFR for broadcast reception of RRC_IDLE/INACTIVE UEs, includes at least the following configurations:</w:t>
            </w:r>
          </w:p>
          <w:p w14:paraId="67B5F90D"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PDSCH for broadcast reception with GC-PDSCH</w:t>
            </w:r>
          </w:p>
          <w:p w14:paraId="4B2057E4"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PDCCH for broadcast reception with GC-PDCCH</w:t>
            </w:r>
          </w:p>
          <w:p w14:paraId="32D89C72" w14:textId="77777777" w:rsidR="00623369" w:rsidRPr="00623369" w:rsidRDefault="00623369" w:rsidP="00623369">
            <w:pPr>
              <w:ind w:left="288"/>
              <w:rPr>
                <w:bCs/>
                <w:lang w:eastAsia="zh-CN"/>
              </w:rPr>
            </w:pPr>
            <w:r w:rsidRPr="00623369">
              <w:rPr>
                <w:bCs/>
                <w:lang w:eastAsia="zh-CN"/>
              </w:rPr>
              <w:t>•</w:t>
            </w:r>
            <w:r w:rsidRPr="00623369">
              <w:rPr>
                <w:bCs/>
                <w:lang w:eastAsia="zh-CN"/>
              </w:rPr>
              <w:tab/>
              <w:t>FFS: whether some parameters configured for PDSCH/PDCCH are optional/needed for the supported cases of CFR.</w:t>
            </w:r>
          </w:p>
          <w:p w14:paraId="3AF69A5B" w14:textId="77777777" w:rsidR="00623369" w:rsidRPr="00623369" w:rsidRDefault="00623369" w:rsidP="00623369">
            <w:pPr>
              <w:ind w:left="288"/>
              <w:rPr>
                <w:bCs/>
                <w:lang w:eastAsia="zh-CN"/>
              </w:rPr>
            </w:pPr>
            <w:r w:rsidRPr="00623369">
              <w:rPr>
                <w:bCs/>
                <w:lang w:eastAsia="zh-CN"/>
              </w:rPr>
              <w:t>•</w:t>
            </w:r>
            <w:r w:rsidRPr="00623369">
              <w:rPr>
                <w:bCs/>
                <w:lang w:eastAsia="zh-CN"/>
              </w:rPr>
              <w:tab/>
              <w:t xml:space="preserve">FFS: If necessary, depending on the cases supported, starting PRB and the number of PRBs </w:t>
            </w:r>
          </w:p>
          <w:p w14:paraId="1B1F191D" w14:textId="77777777" w:rsidR="00CE0F09" w:rsidRDefault="00623369" w:rsidP="00623369">
            <w:pPr>
              <w:ind w:left="288"/>
              <w:jc w:val="left"/>
              <w:rPr>
                <w:bCs/>
                <w:lang w:eastAsia="zh-CN"/>
              </w:rPr>
            </w:pPr>
            <w:r w:rsidRPr="00623369">
              <w:rPr>
                <w:bCs/>
                <w:lang w:eastAsia="zh-CN"/>
              </w:rPr>
              <w:t>o</w:t>
            </w:r>
            <w:r w:rsidRPr="00623369">
              <w:rPr>
                <w:bCs/>
                <w:lang w:eastAsia="zh-CN"/>
              </w:rPr>
              <w:tab/>
            </w:r>
            <w:proofErr w:type="gramStart"/>
            <w:r w:rsidRPr="00623369">
              <w:rPr>
                <w:bCs/>
                <w:lang w:eastAsia="zh-CN"/>
              </w:rPr>
              <w:t>The</w:t>
            </w:r>
            <w:proofErr w:type="gramEnd"/>
            <w:r w:rsidRPr="00623369">
              <w:rPr>
                <w:bCs/>
                <w:lang w:eastAsia="zh-CN"/>
              </w:rPr>
              <w:t xml:space="preserve"> reference for starting PRB is Point A. (Following the same approach to determine reference for starting PRB as that defined in AI8.12.1.)</w:t>
            </w:r>
            <w:r w:rsidR="00CE0F09">
              <w:rPr>
                <w:bCs/>
                <w:lang w:eastAsia="zh-CN"/>
              </w:rPr>
              <w:t xml:space="preserve"> </w:t>
            </w:r>
          </w:p>
          <w:p w14:paraId="5712BD84" w14:textId="77777777" w:rsidR="009F4893" w:rsidRDefault="009F4893" w:rsidP="009F4893">
            <w:pPr>
              <w:jc w:val="left"/>
              <w:rPr>
                <w:bCs/>
                <w:lang w:eastAsia="zh-CN"/>
              </w:rPr>
            </w:pPr>
          </w:p>
          <w:p w14:paraId="645259C5" w14:textId="3F981DA9" w:rsidR="009F4893" w:rsidRPr="00623369" w:rsidRDefault="009F4893" w:rsidP="009F4893">
            <w:pPr>
              <w:jc w:val="left"/>
              <w:rPr>
                <w:bCs/>
                <w:lang w:eastAsia="zh-CN"/>
              </w:rPr>
            </w:pPr>
            <w:r>
              <w:rPr>
                <w:bCs/>
                <w:lang w:eastAsia="zh-CN"/>
              </w:rPr>
              <w:t xml:space="preserve">Regarding the </w:t>
            </w:r>
            <w:r>
              <w:rPr>
                <w:bCs/>
                <w:lang w:eastAsia="zh-CN"/>
              </w:rPr>
              <w:t xml:space="preserve">newly added ‘G-RNTI’, it is not UE-specific </w:t>
            </w:r>
            <w:r>
              <w:rPr>
                <w:bCs/>
                <w:lang w:eastAsia="zh-CN"/>
              </w:rPr>
              <w:t>for broadcast</w:t>
            </w:r>
            <w:r>
              <w:rPr>
                <w:bCs/>
                <w:lang w:eastAsia="zh-CN"/>
              </w:rPr>
              <w:t xml:space="preserve">. The RNTI for MCCH will be broadcasted in SIB and the RNTI(s) for MTCH can be configured in MCCH. But the details of the configuration can be up to RAN2. </w:t>
            </w:r>
          </w:p>
        </w:tc>
      </w:tr>
    </w:tbl>
    <w:p w14:paraId="60DABB01" w14:textId="77777777" w:rsidR="006338DC" w:rsidRPr="006338DC" w:rsidRDefault="006338DC" w:rsidP="006338DC">
      <w:pPr>
        <w:overflowPunct/>
        <w:autoSpaceDE/>
        <w:autoSpaceDN/>
        <w:adjustRightInd/>
        <w:snapToGrid w:val="0"/>
        <w:spacing w:after="120" w:line="288" w:lineRule="auto"/>
        <w:jc w:val="both"/>
        <w:textAlignment w:val="auto"/>
        <w:rPr>
          <w:rFonts w:eastAsia="Malgun Gothic"/>
          <w:lang w:eastAsia="ko-KR"/>
        </w:rPr>
      </w:pPr>
    </w:p>
    <w:sectPr w:rsidR="006338DC" w:rsidRPr="006338D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EDA9" w14:textId="77777777" w:rsidR="00CE6A4D" w:rsidRDefault="00CE6A4D">
      <w:r>
        <w:separator/>
      </w:r>
    </w:p>
  </w:endnote>
  <w:endnote w:type="continuationSeparator" w:id="0">
    <w:p w14:paraId="244BEEBA" w14:textId="77777777" w:rsidR="00CE6A4D" w:rsidRDefault="00CE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F26B5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6B5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3157" w14:textId="77777777" w:rsidR="00CE6A4D" w:rsidRDefault="00CE6A4D">
      <w:r>
        <w:separator/>
      </w:r>
    </w:p>
  </w:footnote>
  <w:footnote w:type="continuationSeparator" w:id="0">
    <w:p w14:paraId="615422C8" w14:textId="77777777" w:rsidR="00CE6A4D" w:rsidRDefault="00CE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DE90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7AAF344">
      <w:numFmt w:val="bullet"/>
      <w:lvlText w:val="-"/>
      <w:lvlJc w:val="left"/>
      <w:pPr>
        <w:ind w:left="2160" w:hanging="360"/>
      </w:pPr>
      <w:rPr>
        <w:rFonts w:ascii="Times New Roman" w:eastAsia="SimSu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3"/>
  </w:num>
  <w:num w:numId="8">
    <w:abstractNumId w:val="57"/>
  </w:num>
  <w:num w:numId="9">
    <w:abstractNumId w:val="81"/>
  </w:num>
  <w:num w:numId="10">
    <w:abstractNumId w:val="46"/>
  </w:num>
  <w:num w:numId="11">
    <w:abstractNumId w:val="67"/>
  </w:num>
  <w:num w:numId="12">
    <w:abstractNumId w:val="51"/>
  </w:num>
  <w:num w:numId="13">
    <w:abstractNumId w:val="34"/>
  </w:num>
  <w:num w:numId="14">
    <w:abstractNumId w:val="77"/>
  </w:num>
  <w:num w:numId="15">
    <w:abstractNumId w:val="48"/>
  </w:num>
  <w:num w:numId="16">
    <w:abstractNumId w:val="78"/>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5"/>
  </w:num>
  <w:num w:numId="40">
    <w:abstractNumId w:val="63"/>
  </w:num>
  <w:num w:numId="41">
    <w:abstractNumId w:val="55"/>
  </w:num>
  <w:num w:numId="42">
    <w:abstractNumId w:val="35"/>
  </w:num>
  <w:num w:numId="43">
    <w:abstractNumId w:val="80"/>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6"/>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79"/>
  </w:num>
  <w:num w:numId="66">
    <w:abstractNumId w:val="12"/>
  </w:num>
  <w:num w:numId="67">
    <w:abstractNumId w:val="69"/>
  </w:num>
  <w:num w:numId="68">
    <w:abstractNumId w:val="73"/>
  </w:num>
  <w:num w:numId="69">
    <w:abstractNumId w:val="82"/>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2"/>
  </w:num>
  <w:num w:numId="83">
    <w:abstractNumId w:val="74"/>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369"/>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93"/>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09"/>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4D"/>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1CF"/>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出段落"/>
    <w:basedOn w:val="Normal"/>
    <w:link w:val="ListParagraphChar"/>
    <w:uiPriority w:val="99"/>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5CE650DF-295C-48BD-8CA2-908D1F5D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1221</Words>
  <Characters>6964</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 Liu</cp:lastModifiedBy>
  <cp:revision>2</cp:revision>
  <cp:lastPrinted>2014-11-07T12:38:00Z</cp:lastPrinted>
  <dcterms:created xsi:type="dcterms:W3CDTF">2021-09-08T05:23:00Z</dcterms:created>
  <dcterms:modified xsi:type="dcterms:W3CDTF">2021-09-08T05:23:00Z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1630977392</vt:lpwstr>
  </property>
</Properties>
</file>