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F4B03" w14:textId="1BCA9E89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BD2E41">
        <w:t>5</w:t>
      </w:r>
      <w:r w:rsidR="00CF4F41">
        <w:t>-e</w:t>
      </w:r>
      <w:r>
        <w:tab/>
      </w:r>
      <w:r w:rsidR="003455E9" w:rsidRPr="003455E9">
        <w:rPr>
          <w:sz w:val="22"/>
          <w:szCs w:val="22"/>
        </w:rPr>
        <w:t>R1-21</w:t>
      </w:r>
      <w:r w:rsidR="00C95255">
        <w:rPr>
          <w:sz w:val="22"/>
          <w:szCs w:val="22"/>
        </w:rPr>
        <w:t>xxxxx</w:t>
      </w:r>
    </w:p>
    <w:p w14:paraId="492457AB" w14:textId="53853A07" w:rsidR="00B0348E" w:rsidRPr="00CE0424" w:rsidRDefault="001B2831" w:rsidP="00F17F5E">
      <w:pPr>
        <w:pStyle w:val="3GPPHeader"/>
        <w:spacing w:after="60"/>
      </w:pPr>
      <w:r>
        <w:t>e-</w:t>
      </w:r>
      <w:r w:rsidR="00127C0C" w:rsidRPr="00127C0C">
        <w:t xml:space="preserve">Meeting, </w:t>
      </w:r>
      <w:bookmarkStart w:id="0" w:name="_Hlk72614090"/>
      <w:r w:rsidR="00BD2E41" w:rsidRPr="00BD2E41">
        <w:t>May 10</w:t>
      </w:r>
      <w:r w:rsidR="00BD2E41" w:rsidRPr="00B37CB9">
        <w:rPr>
          <w:vertAlign w:val="superscript"/>
        </w:rPr>
        <w:t>th</w:t>
      </w:r>
      <w:r w:rsidR="00BD2E41" w:rsidRPr="00BD2E41">
        <w:t xml:space="preserve"> – 27</w:t>
      </w:r>
      <w:r w:rsidR="00BD2E41" w:rsidRPr="00B37CB9">
        <w:rPr>
          <w:vertAlign w:val="superscript"/>
        </w:rPr>
        <w:t>th</w:t>
      </w:r>
      <w:bookmarkEnd w:id="0"/>
      <w:r w:rsidR="00BD2E41" w:rsidRPr="00BD2E41">
        <w:t>, 2021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43352D87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5B0F5B" w:rsidRPr="007E412C">
        <w:rPr>
          <w:sz w:val="22"/>
          <w:szCs w:val="22"/>
          <w:lang w:val="en-US"/>
        </w:rPr>
        <w:t>8</w:t>
      </w:r>
      <w:r w:rsidR="00615904" w:rsidRPr="007E412C">
        <w:rPr>
          <w:sz w:val="22"/>
          <w:szCs w:val="22"/>
          <w:lang w:val="en-US"/>
        </w:rPr>
        <w:t>.</w:t>
      </w:r>
      <w:r w:rsidR="005B0F5B" w:rsidRPr="007E412C">
        <w:rPr>
          <w:sz w:val="22"/>
          <w:szCs w:val="22"/>
          <w:lang w:val="en-US"/>
        </w:rPr>
        <w:t>9</w:t>
      </w:r>
      <w:r w:rsidR="00615904" w:rsidRPr="007E412C">
        <w:rPr>
          <w:sz w:val="22"/>
          <w:szCs w:val="22"/>
          <w:lang w:val="en-US"/>
        </w:rPr>
        <w:t>.</w:t>
      </w:r>
      <w:r w:rsidR="005B0F5B" w:rsidRPr="007E412C">
        <w:rPr>
          <w:sz w:val="22"/>
          <w:szCs w:val="22"/>
          <w:lang w:val="en-US"/>
        </w:rPr>
        <w:t>2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1811710E" w:rsidR="00E90E49" w:rsidRPr="00CE0424" w:rsidRDefault="003D3C45" w:rsidP="003455E9">
      <w:pPr>
        <w:pStyle w:val="3GPPHeader"/>
        <w:ind w:left="1701" w:hanging="1701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3455E9" w:rsidRPr="003455E9">
        <w:rPr>
          <w:sz w:val="22"/>
          <w:szCs w:val="22"/>
        </w:rPr>
        <w:t xml:space="preserve">Feature Lead Summary </w:t>
      </w:r>
      <w:r w:rsidR="00DF41E2" w:rsidRPr="00DF41E2">
        <w:rPr>
          <w:sz w:val="22"/>
          <w:szCs w:val="22"/>
        </w:rPr>
        <w:t>[105-e-LTE-Rel17_NB_IoT_eMTC-02]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19EE0E59" w14:textId="4B31E981" w:rsidR="00770C89" w:rsidRPr="00D0713C" w:rsidRDefault="00A359F7" w:rsidP="00770C89">
      <w:pPr>
        <w:pStyle w:val="BodyText"/>
        <w:rPr>
          <w:rFonts w:ascii="Times New Roman" w:hAnsi="Times New Roman"/>
        </w:rPr>
      </w:pPr>
      <w:r w:rsidRPr="00D0713C">
        <w:rPr>
          <w:rFonts w:ascii="Times New Roman" w:hAnsi="Times New Roman"/>
        </w:rPr>
        <w:t>In t</w:t>
      </w:r>
      <w:r w:rsidR="00C95A0D" w:rsidRPr="00D0713C">
        <w:rPr>
          <w:rFonts w:ascii="Times New Roman" w:hAnsi="Times New Roman"/>
        </w:rPr>
        <w:t>he</w:t>
      </w:r>
      <w:r w:rsidR="001317D4" w:rsidRPr="00D0713C">
        <w:rPr>
          <w:rFonts w:ascii="Times New Roman" w:hAnsi="Times New Roman"/>
        </w:rPr>
        <w:t xml:space="preserve"> </w:t>
      </w:r>
      <w:r w:rsidR="00770C89" w:rsidRPr="00D0713C">
        <w:rPr>
          <w:rFonts w:ascii="Times New Roman" w:hAnsi="Times New Roman"/>
        </w:rPr>
        <w:t>Work Item (WI) on “</w:t>
      </w:r>
      <w:r w:rsidR="00540B70">
        <w:rPr>
          <w:rFonts w:ascii="Times New Roman" w:hAnsi="Times New Roman"/>
        </w:rPr>
        <w:t>Additional</w:t>
      </w:r>
      <w:r w:rsidR="00D53AC8" w:rsidRPr="00D53AC8">
        <w:rPr>
          <w:rFonts w:ascii="Times New Roman" w:hAnsi="Times New Roman"/>
        </w:rPr>
        <w:t xml:space="preserve"> enhancements for NB-IoT and LTE-MTC</w:t>
      </w:r>
      <w:r w:rsidR="00770C89" w:rsidRPr="00D0713C">
        <w:rPr>
          <w:rFonts w:ascii="Times New Roman" w:hAnsi="Times New Roman"/>
        </w:rPr>
        <w:t xml:space="preserve">” </w:t>
      </w:r>
      <w:r w:rsidR="00FB4A6C" w:rsidRPr="00D0713C">
        <w:rPr>
          <w:rFonts w:ascii="Times New Roman" w:hAnsi="Times New Roman"/>
        </w:rPr>
        <w:fldChar w:fldCharType="begin"/>
      </w:r>
      <w:r w:rsidR="00FB4A6C" w:rsidRPr="00D0713C">
        <w:rPr>
          <w:rFonts w:ascii="Times New Roman" w:hAnsi="Times New Roman"/>
        </w:rPr>
        <w:instrText xml:space="preserve"> REF _Ref525929513 \n \h </w:instrText>
      </w:r>
      <w:r w:rsidR="00E36C2C" w:rsidRPr="00D0713C">
        <w:rPr>
          <w:rFonts w:ascii="Times New Roman" w:hAnsi="Times New Roman"/>
        </w:rPr>
        <w:instrText xml:space="preserve"> \* MERGEFORMAT </w:instrText>
      </w:r>
      <w:r w:rsidR="00FB4A6C" w:rsidRPr="00D0713C">
        <w:rPr>
          <w:rFonts w:ascii="Times New Roman" w:hAnsi="Times New Roman"/>
        </w:rPr>
      </w:r>
      <w:r w:rsidR="00FB4A6C" w:rsidRPr="00D0713C">
        <w:rPr>
          <w:rFonts w:ascii="Times New Roman" w:hAnsi="Times New Roman"/>
        </w:rPr>
        <w:fldChar w:fldCharType="separate"/>
      </w:r>
      <w:r w:rsidR="00FB4A6C" w:rsidRPr="00D0713C">
        <w:rPr>
          <w:rFonts w:ascii="Times New Roman" w:hAnsi="Times New Roman"/>
        </w:rPr>
        <w:t>[1]</w:t>
      </w:r>
      <w:r w:rsidR="00FB4A6C" w:rsidRPr="00D0713C">
        <w:rPr>
          <w:rFonts w:ascii="Times New Roman" w:hAnsi="Times New Roman"/>
        </w:rPr>
        <w:fldChar w:fldCharType="end"/>
      </w:r>
      <w:r w:rsidR="00FB4A6C" w:rsidRPr="00D0713C">
        <w:rPr>
          <w:rFonts w:ascii="Times New Roman" w:hAnsi="Times New Roman"/>
        </w:rPr>
        <w:t>,</w:t>
      </w:r>
      <w:r w:rsidR="00DE0F8B" w:rsidRPr="00D0713C">
        <w:rPr>
          <w:rFonts w:ascii="Times New Roman" w:hAnsi="Times New Roman"/>
        </w:rPr>
        <w:t xml:space="preserve"> </w:t>
      </w:r>
      <w:r w:rsidR="00770C89" w:rsidRPr="00D0713C">
        <w:rPr>
          <w:rFonts w:ascii="Times New Roman" w:hAnsi="Times New Roman"/>
        </w:rPr>
        <w:t xml:space="preserve">one </w:t>
      </w:r>
      <w:r w:rsidR="00DE0F8B" w:rsidRPr="00D0713C">
        <w:rPr>
          <w:rFonts w:ascii="Times New Roman" w:hAnsi="Times New Roman"/>
        </w:rPr>
        <w:t xml:space="preserve">of the </w:t>
      </w:r>
      <w:r w:rsidR="00770C89" w:rsidRPr="00D0713C">
        <w:rPr>
          <w:rFonts w:ascii="Times New Roman" w:hAnsi="Times New Roman"/>
        </w:rPr>
        <w:t>objective</w:t>
      </w:r>
      <w:r w:rsidR="00DE0F8B" w:rsidRPr="00D0713C">
        <w:rPr>
          <w:rFonts w:ascii="Times New Roman" w:hAnsi="Times New Roman"/>
        </w:rPr>
        <w:t>s</w:t>
      </w:r>
      <w:r w:rsidR="00770C89" w:rsidRPr="00D0713C">
        <w:rPr>
          <w:rFonts w:ascii="Times New Roman" w:hAnsi="Times New Roman"/>
        </w:rPr>
        <w:t xml:space="preserve"> is to specify the following </w:t>
      </w:r>
      <w:r w:rsidR="00011D2B">
        <w:rPr>
          <w:rFonts w:ascii="Times New Roman" w:hAnsi="Times New Roman"/>
        </w:rPr>
        <w:t xml:space="preserve">enhancement </w:t>
      </w:r>
      <w:r w:rsidR="00770C89" w:rsidRPr="00D0713C">
        <w:rPr>
          <w:rFonts w:ascii="Times New Roman" w:hAnsi="Times New Roman"/>
        </w:rPr>
        <w:t xml:space="preserve">for </w:t>
      </w:r>
      <w:r w:rsidR="00615904">
        <w:rPr>
          <w:rFonts w:ascii="Times New Roman" w:hAnsi="Times New Roman"/>
        </w:rPr>
        <w:t>LTE-MTC</w:t>
      </w:r>
      <w:r w:rsidR="00770C89" w:rsidRPr="00D0713C">
        <w:rPr>
          <w:rFonts w:ascii="Times New Roman" w:hAnsi="Times New Roman"/>
        </w:rPr>
        <w:t>:</w:t>
      </w:r>
    </w:p>
    <w:tbl>
      <w:tblPr>
        <w:tblStyle w:val="TableGrid"/>
        <w:tblW w:w="965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770C89" w14:paraId="6FF1884E" w14:textId="77777777" w:rsidTr="00615904">
        <w:trPr>
          <w:trHeight w:val="564"/>
        </w:trPr>
        <w:tc>
          <w:tcPr>
            <w:tcW w:w="9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FA0D" w14:textId="6374B810" w:rsidR="00B74A08" w:rsidRPr="00615904" w:rsidRDefault="00615904" w:rsidP="00317933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DengXian" w:hAnsi="Times New Roman"/>
                <w:sz w:val="18"/>
                <w:lang w:val="en-US" w:eastAsia="zh-CN"/>
              </w:rPr>
            </w:pPr>
            <w:bookmarkStart w:id="1" w:name="_Hlk31052369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 xml:space="preserve">Support additional PDSCH scheduling delay for introduction of 14-HARQ processes in DL, for </w:t>
            </w:r>
            <w:bookmarkStart w:id="2" w:name="_Hlk31108863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>HD-FDD Cat M1 UEs</w:t>
            </w:r>
            <w:bookmarkEnd w:id="1"/>
            <w:bookmarkEnd w:id="2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>. [LTE-MTC] [RAN1]</w:t>
            </w:r>
          </w:p>
        </w:tc>
      </w:tr>
    </w:tbl>
    <w:p w14:paraId="2AF049EA" w14:textId="77777777" w:rsidR="00615904" w:rsidRDefault="00615904" w:rsidP="00F20FBC">
      <w:pPr>
        <w:pStyle w:val="BodyText"/>
        <w:spacing w:after="0"/>
        <w:rPr>
          <w:rFonts w:ascii="Times New Roman" w:hAnsi="Times New Roman"/>
        </w:rPr>
      </w:pPr>
    </w:p>
    <w:p w14:paraId="37B1C7A0" w14:textId="71AAEDD5" w:rsidR="007B4C6E" w:rsidRDefault="005B0F5B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 w:rsidR="003C76C4">
        <w:rPr>
          <w:rFonts w:ascii="Times New Roman" w:hAnsi="Times New Roman"/>
        </w:rPr>
        <w:t>e update performed on th</w:t>
      </w:r>
      <w:r w:rsidR="00A66EDF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feature lead summary </w:t>
      </w:r>
      <w:r w:rsidR="0066012F">
        <w:rPr>
          <w:rFonts w:ascii="Times New Roman" w:hAnsi="Times New Roman"/>
        </w:rPr>
        <w:t xml:space="preserve">(FLS) </w:t>
      </w:r>
      <w:r w:rsidR="003C76C4">
        <w:rPr>
          <w:rFonts w:ascii="Times New Roman" w:hAnsi="Times New Roman"/>
        </w:rPr>
        <w:t>accounts for</w:t>
      </w:r>
      <w:r w:rsidR="006617C9">
        <w:rPr>
          <w:rFonts w:ascii="Times New Roman" w:hAnsi="Times New Roman"/>
        </w:rPr>
        <w:t xml:space="preserve"> </w:t>
      </w:r>
      <w:r w:rsidR="003C76C4">
        <w:rPr>
          <w:rFonts w:ascii="Times New Roman" w:hAnsi="Times New Roman"/>
        </w:rPr>
        <w:t xml:space="preserve">the most </w:t>
      </w:r>
      <w:r w:rsidR="00C95255">
        <w:rPr>
          <w:rFonts w:ascii="Times New Roman" w:hAnsi="Times New Roman"/>
        </w:rPr>
        <w:t>recent agreements</w:t>
      </w:r>
      <w:r w:rsidR="00A66EDF">
        <w:rPr>
          <w:rFonts w:ascii="Times New Roman" w:hAnsi="Times New Roman"/>
        </w:rPr>
        <w:t xml:space="preserve"> made</w:t>
      </w:r>
      <w:r w:rsidR="003C76C4">
        <w:rPr>
          <w:rFonts w:ascii="Times New Roman" w:hAnsi="Times New Roman"/>
        </w:rPr>
        <w:t xml:space="preserve"> </w:t>
      </w:r>
      <w:r w:rsidR="00A66EDF">
        <w:rPr>
          <w:rFonts w:ascii="Times New Roman" w:hAnsi="Times New Roman"/>
        </w:rPr>
        <w:t xml:space="preserve">in RAN1# 105-e </w:t>
      </w:r>
      <w:r w:rsidR="003C76C4">
        <w:rPr>
          <w:rFonts w:ascii="Times New Roman" w:hAnsi="Times New Roman"/>
        </w:rPr>
        <w:t>as to</w:t>
      </w:r>
      <w:r w:rsidR="0066012F">
        <w:rPr>
          <w:rFonts w:ascii="Times New Roman" w:hAnsi="Times New Roman"/>
        </w:rPr>
        <w:t xml:space="preserve"> </w:t>
      </w:r>
      <w:r w:rsidR="003C76C4">
        <w:rPr>
          <w:rFonts w:ascii="Times New Roman" w:hAnsi="Times New Roman"/>
        </w:rPr>
        <w:t>prepare the new</w:t>
      </w:r>
      <w:r w:rsidR="00C95255">
        <w:rPr>
          <w:rFonts w:ascii="Times New Roman" w:hAnsi="Times New Roman"/>
        </w:rPr>
        <w:t xml:space="preserve"> </w:t>
      </w:r>
      <w:r w:rsidR="0066012F">
        <w:rPr>
          <w:rFonts w:ascii="Times New Roman" w:hAnsi="Times New Roman"/>
        </w:rPr>
        <w:t>potential agreements</w:t>
      </w:r>
      <w:r w:rsidR="001B0C0C">
        <w:rPr>
          <w:rFonts w:ascii="Times New Roman" w:hAnsi="Times New Roman"/>
        </w:rPr>
        <w:t>.</w:t>
      </w:r>
    </w:p>
    <w:p w14:paraId="5E7141AC" w14:textId="15E88DDB" w:rsidR="004B3C80" w:rsidRDefault="007B4C6E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Annex 1 contains the agreements reached in RAN1 #102</w:t>
      </w:r>
      <w:r w:rsidR="00EB138A">
        <w:rPr>
          <w:rFonts w:ascii="Times New Roman" w:hAnsi="Times New Roman"/>
        </w:rPr>
        <w:t>-</w:t>
      </w:r>
      <w:r>
        <w:rPr>
          <w:rFonts w:ascii="Times New Roman" w:hAnsi="Times New Roman"/>
        </w:rPr>
        <w:t>e</w:t>
      </w:r>
      <w:r w:rsidR="000D0312">
        <w:rPr>
          <w:rFonts w:ascii="Times New Roman" w:hAnsi="Times New Roman"/>
        </w:rPr>
        <w:t xml:space="preserve"> [</w:t>
      </w:r>
      <w:r w:rsidR="00BD2E41">
        <w:rPr>
          <w:rFonts w:ascii="Times New Roman" w:hAnsi="Times New Roman"/>
        </w:rPr>
        <w:t>7</w:t>
      </w:r>
      <w:r w:rsidR="000D0312">
        <w:rPr>
          <w:rFonts w:ascii="Times New Roman" w:hAnsi="Times New Roman"/>
        </w:rPr>
        <w:t>]</w:t>
      </w:r>
      <w:r w:rsidR="00EB138A">
        <w:rPr>
          <w:rFonts w:ascii="Times New Roman" w:hAnsi="Times New Roman"/>
        </w:rPr>
        <w:t>, RAN1 #103-e</w:t>
      </w:r>
      <w:r w:rsidR="000D0312">
        <w:rPr>
          <w:rFonts w:ascii="Times New Roman" w:hAnsi="Times New Roman"/>
        </w:rPr>
        <w:t xml:space="preserve"> </w:t>
      </w:r>
      <w:r w:rsidR="00BD2E41">
        <w:rPr>
          <w:rFonts w:ascii="Times New Roman" w:hAnsi="Times New Roman"/>
        </w:rPr>
        <w:t>[8</w:t>
      </w:r>
      <w:r w:rsidR="000D0312">
        <w:rPr>
          <w:rFonts w:ascii="Times New Roman" w:hAnsi="Times New Roman"/>
        </w:rPr>
        <w:t>]</w:t>
      </w:r>
      <w:r w:rsidR="00B00DED">
        <w:rPr>
          <w:rFonts w:ascii="Times New Roman" w:hAnsi="Times New Roman"/>
        </w:rPr>
        <w:t>, RAN1 #104-e [</w:t>
      </w:r>
      <w:r w:rsidR="00BD2E41">
        <w:rPr>
          <w:rFonts w:ascii="Times New Roman" w:hAnsi="Times New Roman"/>
        </w:rPr>
        <w:t>9</w:t>
      </w:r>
      <w:r w:rsidR="00B00DED">
        <w:rPr>
          <w:rFonts w:ascii="Times New Roman" w:hAnsi="Times New Roman"/>
        </w:rPr>
        <w:t>]</w:t>
      </w:r>
      <w:r w:rsidR="00BD2E41">
        <w:rPr>
          <w:rFonts w:ascii="Times New Roman" w:hAnsi="Times New Roman"/>
        </w:rPr>
        <w:t>, RAN1 #10</w:t>
      </w:r>
      <w:r w:rsidR="000D360E">
        <w:rPr>
          <w:rFonts w:ascii="Times New Roman" w:hAnsi="Times New Roman"/>
        </w:rPr>
        <w:t>4-bis</w:t>
      </w:r>
      <w:r w:rsidR="00BD2E41">
        <w:rPr>
          <w:rFonts w:ascii="Times New Roman" w:hAnsi="Times New Roman"/>
        </w:rPr>
        <w:t>-e [10]</w:t>
      </w:r>
      <w:r w:rsidR="00C95255">
        <w:rPr>
          <w:rFonts w:ascii="Times New Roman" w:hAnsi="Times New Roman"/>
        </w:rPr>
        <w:t xml:space="preserve"> and the one reached until now in RAN1 #105-e</w:t>
      </w:r>
      <w:r w:rsidR="00A62869">
        <w:rPr>
          <w:rFonts w:ascii="Times New Roman" w:hAnsi="Times New Roman"/>
        </w:rPr>
        <w:t xml:space="preserve"> [11]</w:t>
      </w:r>
      <w:r>
        <w:rPr>
          <w:rFonts w:ascii="Times New Roman" w:hAnsi="Times New Roman"/>
        </w:rPr>
        <w:t>.</w:t>
      </w:r>
    </w:p>
    <w:p w14:paraId="79F26B0D" w14:textId="63CDE701" w:rsidR="00FA347A" w:rsidRDefault="00230D18" w:rsidP="004B018B">
      <w:pPr>
        <w:pStyle w:val="Heading1"/>
      </w:pPr>
      <w:bookmarkStart w:id="3" w:name="_Ref178064866"/>
      <w:bookmarkStart w:id="4" w:name="_Hlk528365764"/>
      <w:r>
        <w:t>2</w:t>
      </w:r>
      <w:r>
        <w:tab/>
      </w:r>
      <w:bookmarkEnd w:id="3"/>
      <w:r w:rsidR="0066012F">
        <w:t>F</w:t>
      </w:r>
      <w:r w:rsidR="008A06D6">
        <w:t>LS on 14 HARQ processes in DL in LTE-MTC</w:t>
      </w:r>
      <w:bookmarkEnd w:id="4"/>
    </w:p>
    <w:p w14:paraId="31546375" w14:textId="5CF22E35" w:rsidR="006617B2" w:rsidRDefault="00A2457B" w:rsidP="00B35072">
      <w:pPr>
        <w:pStyle w:val="Heading2"/>
      </w:pPr>
      <w:r>
        <w:t>2.1</w:t>
      </w:r>
      <w:r>
        <w:tab/>
      </w:r>
      <w:r w:rsidR="00C95255">
        <w:t xml:space="preserve">DCI Design for PDSCH Scheduling delay and </w:t>
      </w:r>
      <w:r w:rsidR="006617B2">
        <w:t>HARQ-ACK delay</w:t>
      </w:r>
    </w:p>
    <w:p w14:paraId="02F81D36" w14:textId="618B7AA9" w:rsidR="006617B2" w:rsidRDefault="006617B2" w:rsidP="006617B2">
      <w:pPr>
        <w:jc w:val="both"/>
      </w:pPr>
      <w:r>
        <w:t>Background:</w:t>
      </w:r>
      <w:r w:rsidRPr="006617B2">
        <w:t xml:space="preserve"> </w:t>
      </w:r>
      <w:r>
        <w:t xml:space="preserve">In </w:t>
      </w:r>
      <w:r w:rsidR="00B35072">
        <w:t xml:space="preserve">relation with the “HARQ-ACK delay” solution, in </w:t>
      </w:r>
      <w:r>
        <w:t>RAN1 #10</w:t>
      </w:r>
      <w:r w:rsidR="00C95255">
        <w:t>5</w:t>
      </w:r>
      <w:r>
        <w:t xml:space="preserve">-e the following agreement was </w:t>
      </w:r>
      <w:r w:rsidR="00C95255">
        <w:t xml:space="preserve">recently </w:t>
      </w:r>
      <w:r>
        <w:t>reached [</w:t>
      </w:r>
      <w:r w:rsidR="00C4698C">
        <w:t>1</w:t>
      </w:r>
      <w:r w:rsidR="00A62869">
        <w:t>1</w:t>
      </w:r>
      <w:r>
        <w:t>]: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617B2" w14:paraId="6CF307A1" w14:textId="77777777" w:rsidTr="00615D93">
        <w:tc>
          <w:tcPr>
            <w:tcW w:w="9629" w:type="dxa"/>
          </w:tcPr>
          <w:p w14:paraId="5326F0A2" w14:textId="77777777" w:rsidR="00B35072" w:rsidRPr="00B35072" w:rsidRDefault="00B35072" w:rsidP="00B350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</w:p>
          <w:p w14:paraId="3076D5E1" w14:textId="77777777" w:rsidR="00A62869" w:rsidRPr="00A62869" w:rsidRDefault="00A62869" w:rsidP="00A628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 w:cs="Times"/>
                <w:b/>
                <w:bCs/>
                <w:sz w:val="18"/>
                <w:szCs w:val="20"/>
                <w:highlight w:val="green"/>
                <w:lang w:eastAsia="x-none"/>
              </w:rPr>
            </w:pPr>
            <w:r w:rsidRPr="00A62869">
              <w:rPr>
                <w:rFonts w:ascii="Times" w:eastAsia="Batang" w:hAnsi="Times" w:cs="Times"/>
                <w:b/>
                <w:bCs/>
                <w:sz w:val="18"/>
                <w:szCs w:val="20"/>
                <w:highlight w:val="green"/>
                <w:lang w:eastAsia="x-none"/>
              </w:rPr>
              <w:t>Agreement</w:t>
            </w:r>
          </w:p>
          <w:p w14:paraId="59F7EADC" w14:textId="77777777" w:rsidR="00A62869" w:rsidRPr="00A62869" w:rsidRDefault="00A62869" w:rsidP="00A62869">
            <w:pPr>
              <w:keepNext/>
              <w:keepLine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hAnsi="Times" w:cs="Times"/>
                <w:sz w:val="18"/>
                <w:szCs w:val="20"/>
                <w:lang w:val="en-US" w:eastAsia="en-US"/>
              </w:rPr>
            </w:pPr>
            <w:r w:rsidRPr="00A62869">
              <w:rPr>
                <w:rFonts w:ascii="Times" w:hAnsi="Times" w:cs="Times"/>
                <w:sz w:val="18"/>
                <w:szCs w:val="20"/>
                <w:lang w:val="en-US" w:eastAsia="en-US"/>
              </w:rPr>
              <w:t xml:space="preserve">In Rel-17, for the 14 HARQ process feature the HARQ-ACK delay solution will be supported with multiple solutions: </w:t>
            </w:r>
            <w:bookmarkStart w:id="5" w:name="_Hlk72615579"/>
            <w:r w:rsidRPr="00A62869">
              <w:rPr>
                <w:rFonts w:ascii="Times" w:hAnsi="Times" w:cs="Times"/>
                <w:sz w:val="18"/>
                <w:szCs w:val="20"/>
                <w:lang w:val="en-US" w:eastAsia="en-US"/>
              </w:rPr>
              <w:t xml:space="preserve">Alt-1 for full flexibility </w:t>
            </w:r>
            <w:bookmarkEnd w:id="5"/>
            <w:r w:rsidRPr="00A62869">
              <w:rPr>
                <w:rFonts w:ascii="Times" w:hAnsi="Times" w:cs="Times"/>
                <w:sz w:val="18"/>
                <w:szCs w:val="20"/>
                <w:lang w:val="en-US" w:eastAsia="en-US"/>
              </w:rPr>
              <w:t>and Alt-2e for support of legacy delay</w:t>
            </w:r>
          </w:p>
          <w:p w14:paraId="16F9D6C3" w14:textId="77777777" w:rsidR="00A62869" w:rsidRPr="00A62869" w:rsidRDefault="00A62869" w:rsidP="00A62869">
            <w:pPr>
              <w:overflowPunct/>
              <w:autoSpaceDE/>
              <w:autoSpaceDN/>
              <w:adjustRightInd/>
              <w:spacing w:after="0"/>
              <w:ind w:left="1134" w:hanging="567"/>
              <w:textAlignment w:val="auto"/>
              <w:rPr>
                <w:rFonts w:ascii="Times" w:hAnsi="Times" w:cs="Times"/>
                <w:sz w:val="18"/>
                <w:szCs w:val="20"/>
                <w:lang w:val="en-US" w:eastAsia="en-US"/>
              </w:rPr>
            </w:pPr>
            <w:r w:rsidRPr="00A62869">
              <w:rPr>
                <w:rFonts w:ascii="Times" w:hAnsi="Times" w:cs="Times"/>
                <w:sz w:val="18"/>
                <w:szCs w:val="20"/>
                <w:lang w:val="en-US" w:eastAsia="en-US"/>
              </w:rPr>
              <w:t>Alt-1: The HARQ-ACK delay is determined through an expression consisting of different subframe types (Using a similar principle as the PDSCH scheduling delay).</w:t>
            </w:r>
          </w:p>
          <w:p w14:paraId="09B0AC58" w14:textId="77777777" w:rsidR="00A62869" w:rsidRPr="00A62869" w:rsidRDefault="00A62869" w:rsidP="00A62869">
            <w:pPr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 w:cs="Times"/>
                <w:sz w:val="18"/>
                <w:szCs w:val="18"/>
                <w:lang w:val="en-US" w:eastAsia="x-none"/>
              </w:rPr>
            </w:pPr>
            <w:r w:rsidRPr="00A62869">
              <w:rPr>
                <w:rFonts w:ascii="Times" w:eastAsia="Batang" w:hAnsi="Times" w:cs="Times"/>
                <w:sz w:val="18"/>
                <w:szCs w:val="18"/>
                <w:lang w:val="en-US" w:eastAsia="x-none"/>
              </w:rPr>
              <w:t>Without using more than 6 bits</w:t>
            </w:r>
          </w:p>
          <w:p w14:paraId="59D0539B" w14:textId="77777777" w:rsidR="00A62869" w:rsidRPr="00A62869" w:rsidRDefault="00A62869" w:rsidP="00A62869">
            <w:pPr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 w:cs="Times"/>
                <w:sz w:val="18"/>
                <w:szCs w:val="18"/>
                <w:lang w:val="en-US" w:eastAsia="x-none"/>
              </w:rPr>
            </w:pPr>
            <w:r w:rsidRPr="00A62869">
              <w:rPr>
                <w:rFonts w:ascii="Times" w:eastAsia="Batang" w:hAnsi="Times" w:cs="Times"/>
                <w:sz w:val="18"/>
                <w:szCs w:val="18"/>
                <w:lang w:val="en-US" w:eastAsia="x-none"/>
              </w:rPr>
              <w:t>FFS: How to minimize the overhead by using joint encoding</w:t>
            </w:r>
          </w:p>
          <w:p w14:paraId="28243E85" w14:textId="77777777" w:rsidR="00A62869" w:rsidRPr="00A62869" w:rsidRDefault="00A62869" w:rsidP="00A62869">
            <w:pPr>
              <w:overflowPunct/>
              <w:autoSpaceDE/>
              <w:autoSpaceDN/>
              <w:adjustRightInd/>
              <w:spacing w:after="0"/>
              <w:ind w:left="1134" w:hanging="567"/>
              <w:textAlignment w:val="auto"/>
              <w:rPr>
                <w:rFonts w:ascii="Times" w:hAnsi="Times" w:cs="Times"/>
                <w:sz w:val="18"/>
                <w:szCs w:val="20"/>
                <w:lang w:val="en-US" w:eastAsia="en-US"/>
              </w:rPr>
            </w:pPr>
            <w:r w:rsidRPr="00A62869">
              <w:rPr>
                <w:rFonts w:ascii="Times" w:hAnsi="Times" w:cs="Times"/>
                <w:sz w:val="18"/>
                <w:szCs w:val="20"/>
                <w:lang w:val="en-US" w:eastAsia="en-US"/>
              </w:rPr>
              <w:t>Alt-2: The HARQ-ACK delay is determined following the legacy approach. That is, the “HARQ-ACK delay” is kept expressed in terms of “absolute subframes”.</w:t>
            </w:r>
          </w:p>
          <w:p w14:paraId="117F4CA9" w14:textId="77777777" w:rsidR="00A62869" w:rsidRPr="00A62869" w:rsidRDefault="00A62869" w:rsidP="00A62869">
            <w:pPr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 w:cs="Times"/>
                <w:sz w:val="18"/>
                <w:szCs w:val="18"/>
                <w:lang w:val="en-US" w:eastAsia="x-none"/>
              </w:rPr>
            </w:pPr>
            <w:r w:rsidRPr="00A62869">
              <w:rPr>
                <w:rFonts w:ascii="Times" w:eastAsia="Batang" w:hAnsi="Times" w:cs="Times"/>
                <w:sz w:val="18"/>
                <w:szCs w:val="18"/>
                <w:lang w:val="en-US" w:eastAsia="x-none"/>
              </w:rPr>
              <w:t>The HARQ-ACK delay values and the length of the HARQ-ACK delay set will be based on</w:t>
            </w:r>
          </w:p>
          <w:p w14:paraId="5BACA8CA" w14:textId="77777777" w:rsidR="00A62869" w:rsidRPr="00A62869" w:rsidRDefault="00A62869" w:rsidP="00A62869">
            <w:pPr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 w:cs="Times"/>
                <w:sz w:val="18"/>
                <w:szCs w:val="18"/>
                <w:lang w:val="en-US" w:eastAsia="x-none"/>
              </w:rPr>
            </w:pPr>
            <w:bookmarkStart w:id="6" w:name="_Hlk72617472"/>
            <w:r w:rsidRPr="00A62869">
              <w:rPr>
                <w:rFonts w:ascii="Times" w:eastAsia="Batang" w:hAnsi="Times" w:cs="Times"/>
                <w:sz w:val="18"/>
                <w:szCs w:val="18"/>
                <w:lang w:val="en-US" w:eastAsia="x-none"/>
              </w:rPr>
              <w:t>Alt-2e: “3 bits (same as legacy)”</w:t>
            </w:r>
          </w:p>
          <w:bookmarkEnd w:id="6"/>
          <w:p w14:paraId="09D42C78" w14:textId="77777777" w:rsidR="00A62869" w:rsidRPr="00A62869" w:rsidRDefault="00A62869" w:rsidP="00A62869">
            <w:pPr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 w:cs="Times"/>
                <w:sz w:val="18"/>
                <w:szCs w:val="18"/>
                <w:lang w:val="en-US" w:eastAsia="x-none"/>
              </w:rPr>
            </w:pPr>
            <w:r w:rsidRPr="00A62869">
              <w:rPr>
                <w:rFonts w:ascii="Times" w:eastAsia="Batang" w:hAnsi="Times" w:cs="Times"/>
                <w:sz w:val="18"/>
                <w:szCs w:val="18"/>
                <w:lang w:val="en-US" w:eastAsia="x-none"/>
              </w:rPr>
              <w:t>FFS: Whether HARQ delay set is to use range1 or range2</w:t>
            </w:r>
          </w:p>
          <w:p w14:paraId="2BBABE54" w14:textId="77777777" w:rsidR="00A62869" w:rsidRPr="00A62869" w:rsidRDefault="00A62869" w:rsidP="00A62869">
            <w:pPr>
              <w:overflowPunct/>
              <w:autoSpaceDE/>
              <w:autoSpaceDN/>
              <w:adjustRightInd/>
              <w:spacing w:after="0"/>
              <w:ind w:left="1134" w:hanging="567"/>
              <w:textAlignment w:val="auto"/>
              <w:rPr>
                <w:rFonts w:ascii="Times" w:hAnsi="Times" w:cs="Times"/>
                <w:sz w:val="18"/>
                <w:szCs w:val="20"/>
                <w:lang w:val="en-US" w:eastAsia="en-US"/>
              </w:rPr>
            </w:pPr>
            <w:r w:rsidRPr="00A62869">
              <w:rPr>
                <w:rFonts w:ascii="Times" w:hAnsi="Times" w:cs="Times"/>
                <w:sz w:val="18"/>
                <w:szCs w:val="20"/>
                <w:lang w:val="en-US" w:eastAsia="en-US"/>
              </w:rPr>
              <w:t>RRC signaling will be used to configure between Alt-1 and Alt-2e</w:t>
            </w:r>
          </w:p>
          <w:p w14:paraId="362461FA" w14:textId="77777777" w:rsidR="00A62869" w:rsidRPr="00A62869" w:rsidRDefault="00A62869" w:rsidP="00A62869">
            <w:pPr>
              <w:overflowPunct/>
              <w:autoSpaceDE/>
              <w:autoSpaceDN/>
              <w:adjustRightInd/>
              <w:spacing w:after="0"/>
              <w:ind w:left="1134" w:hanging="567"/>
              <w:textAlignment w:val="auto"/>
              <w:rPr>
                <w:rFonts w:ascii="Times" w:hAnsi="Times" w:cs="Times"/>
                <w:sz w:val="18"/>
                <w:szCs w:val="20"/>
                <w:lang w:val="en-US" w:eastAsia="en-US"/>
              </w:rPr>
            </w:pPr>
            <w:r w:rsidRPr="00A62869">
              <w:rPr>
                <w:rFonts w:ascii="Times" w:hAnsi="Times" w:cs="Times"/>
                <w:sz w:val="18"/>
                <w:szCs w:val="20"/>
                <w:lang w:val="en-US" w:eastAsia="en-US"/>
              </w:rPr>
              <w:t>FFS: Signaling details</w:t>
            </w:r>
          </w:p>
          <w:p w14:paraId="591F5B36" w14:textId="77777777" w:rsidR="006617B2" w:rsidRDefault="00A62869" w:rsidP="00A62869">
            <w:pPr>
              <w:overflowPunct/>
              <w:autoSpaceDE/>
              <w:autoSpaceDN/>
              <w:adjustRightInd/>
              <w:spacing w:after="0"/>
              <w:ind w:left="1134" w:hanging="567"/>
              <w:textAlignment w:val="auto"/>
              <w:rPr>
                <w:rFonts w:ascii="Times" w:hAnsi="Times" w:cs="Times"/>
                <w:sz w:val="18"/>
                <w:szCs w:val="20"/>
                <w:lang w:val="en-US" w:eastAsia="en-US"/>
              </w:rPr>
            </w:pPr>
            <w:r w:rsidRPr="00A62869">
              <w:rPr>
                <w:rFonts w:ascii="Times" w:hAnsi="Times" w:cs="Times"/>
                <w:sz w:val="18"/>
                <w:szCs w:val="20"/>
                <w:lang w:val="en-US" w:eastAsia="en-US"/>
              </w:rPr>
              <w:t>FFS: Joint encoding</w:t>
            </w:r>
          </w:p>
          <w:p w14:paraId="34138C1D" w14:textId="17DB74DF" w:rsidR="00A62869" w:rsidRPr="00A62869" w:rsidRDefault="00A62869" w:rsidP="00A62869">
            <w:pPr>
              <w:overflowPunct/>
              <w:autoSpaceDE/>
              <w:autoSpaceDN/>
              <w:adjustRightInd/>
              <w:spacing w:after="0"/>
              <w:ind w:left="1134" w:hanging="567"/>
              <w:textAlignment w:val="auto"/>
              <w:rPr>
                <w:rFonts w:ascii="Times" w:hAnsi="Times" w:cs="Times"/>
                <w:sz w:val="18"/>
                <w:szCs w:val="20"/>
                <w:lang w:val="en-US" w:eastAsia="en-US"/>
              </w:rPr>
            </w:pPr>
          </w:p>
        </w:tc>
      </w:tr>
    </w:tbl>
    <w:p w14:paraId="0B094E17" w14:textId="77777777" w:rsidR="00B35072" w:rsidRDefault="00B35072" w:rsidP="00B35072">
      <w:pPr>
        <w:spacing w:after="0"/>
        <w:jc w:val="both"/>
      </w:pPr>
    </w:p>
    <w:p w14:paraId="27267C17" w14:textId="72C4A5FB" w:rsidR="006617B2" w:rsidRDefault="006617B2" w:rsidP="006617B2">
      <w:pPr>
        <w:jc w:val="both"/>
      </w:pPr>
      <w:r>
        <w:t>In line with the previously cited agreement,</w:t>
      </w:r>
      <w:r w:rsidR="00A62869">
        <w:t xml:space="preserve"> below </w:t>
      </w:r>
      <w:r w:rsidR="004E7289">
        <w:t>it is described</w:t>
      </w:r>
      <w:r w:rsidR="00A62869">
        <w:t xml:space="preserve"> what needs to be considered towards analy</w:t>
      </w:r>
      <w:r w:rsidR="001620D1">
        <w:t>s</w:t>
      </w:r>
      <w:r w:rsidR="00A62869">
        <w:t xml:space="preserve">ing DCI </w:t>
      </w:r>
      <w:r w:rsidR="0033206F">
        <w:t xml:space="preserve">design </w:t>
      </w:r>
      <w:r w:rsidR="00A62869">
        <w:t>proposals when the PDSCH Scheduling delay solution is used along with Alt-1 or Alt-2</w:t>
      </w:r>
      <w:r w:rsidR="001620D1">
        <w:t>e</w:t>
      </w:r>
      <w:r w:rsidR="00A62869">
        <w:t xml:space="preserve"> depending on which of those two alternatives ha</w:t>
      </w:r>
      <w:r w:rsidR="0033206F">
        <w:t>s</w:t>
      </w:r>
      <w:r w:rsidR="00A62869">
        <w:t xml:space="preserve"> been configur</w:t>
      </w:r>
      <w:r w:rsidR="001620D1">
        <w:t xml:space="preserve">ed via RRC as the HARQ-ACK delay solution to be </w:t>
      </w:r>
      <w:r w:rsidR="004E7289">
        <w:t>in use</w:t>
      </w:r>
      <w:r>
        <w:t>:</w:t>
      </w:r>
    </w:p>
    <w:p w14:paraId="331F30B4" w14:textId="118CEE65" w:rsidR="001620D1" w:rsidRDefault="001620D1" w:rsidP="001620D1">
      <w:pPr>
        <w:pStyle w:val="Heading3"/>
      </w:pPr>
      <w:r>
        <w:t>2.1.1</w:t>
      </w:r>
      <w:r>
        <w:tab/>
      </w:r>
      <w:r w:rsidRPr="001620D1">
        <w:t>PDSCH Scheduling delay solution used along with Alt-1 configured via RRC as the HARQ-ACK delay solution</w:t>
      </w:r>
    </w:p>
    <w:p w14:paraId="63D9656C" w14:textId="6A696C93" w:rsidR="001620D1" w:rsidRDefault="001620D1" w:rsidP="001620D1">
      <w:r>
        <w:t>Below there are described the elements of the PDSCH Scheduling delay and the HARQ-ACK delay using “</w:t>
      </w:r>
      <w:r w:rsidRPr="001620D1">
        <w:t>Alt-1 for full flexibility</w:t>
      </w:r>
      <w:r>
        <w:t>”:</w:t>
      </w:r>
    </w:p>
    <w:p w14:paraId="6454188D" w14:textId="77777777" w:rsidR="001620D1" w:rsidRPr="006A3039" w:rsidRDefault="001620D1" w:rsidP="001620D1">
      <w:pPr>
        <w:pStyle w:val="ListParagraph"/>
        <w:numPr>
          <w:ilvl w:val="0"/>
          <w:numId w:val="37"/>
        </w:numPr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>PDSCH scheduling delay:</w:t>
      </w:r>
    </w:p>
    <w:p w14:paraId="093ECFC3" w14:textId="77777777" w:rsidR="001620D1" w:rsidRPr="006A3039" w:rsidRDefault="001620D1" w:rsidP="001620D1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</w:p>
    <w:p w14:paraId="49B52CF4" w14:textId="164E6145" w:rsidR="001620D1" w:rsidRPr="006A3039" w:rsidRDefault="001620D1" w:rsidP="001620D1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>2 BL/CE DL subframes</w:t>
      </w:r>
    </w:p>
    <w:p w14:paraId="468A608F" w14:textId="32DB6B7F" w:rsidR="001620D1" w:rsidRPr="006A3039" w:rsidRDefault="001620D1" w:rsidP="001620D1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>1 BL/CE DL subframe + 1 subframe + 3 BL/CE UL subframes + 1 subframe + 1 BL/CE DL subframe.</w:t>
      </w:r>
    </w:p>
    <w:p w14:paraId="45A73892" w14:textId="04967018" w:rsidR="001620D1" w:rsidRPr="006A3039" w:rsidRDefault="001620D1" w:rsidP="001620D1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>1 subframe + 3 BL/CE UL subframes + 1 subframe + 2 BL/CE DL subframes.</w:t>
      </w:r>
    </w:p>
    <w:p w14:paraId="1A5701D1" w14:textId="16ED7224" w:rsidR="006A3039" w:rsidRPr="006A3039" w:rsidRDefault="006A3039" w:rsidP="001620D1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</w:p>
    <w:p w14:paraId="584E5474" w14:textId="521A9E6B" w:rsidR="006A3039" w:rsidRPr="006A3039" w:rsidRDefault="006A3039" w:rsidP="006A3039">
      <w:pPr>
        <w:pStyle w:val="ListParagraph"/>
        <w:numPr>
          <w:ilvl w:val="0"/>
          <w:numId w:val="37"/>
        </w:numPr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>HARQ-ACK delay using “Alt-1 for full flexibility”:</w:t>
      </w:r>
    </w:p>
    <w:p w14:paraId="500AC8AC" w14:textId="77777777" w:rsidR="006A3039" w:rsidRPr="006A3039" w:rsidRDefault="006A3039" w:rsidP="006A3039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</w:p>
    <w:p w14:paraId="56B325F5" w14:textId="77777777" w:rsidR="006A3039" w:rsidRPr="006A3039" w:rsidRDefault="006A3039" w:rsidP="006A3039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>(y) BL/CE DL subframe + 1 subframe (any type) + (z) BL/CE UL subframes.</w:t>
      </w:r>
    </w:p>
    <w:p w14:paraId="31C3FF5F" w14:textId="27849106" w:rsidR="006A3039" w:rsidRPr="006A3039" w:rsidRDefault="006A3039" w:rsidP="006A3039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>
        <w:rPr>
          <w:rFonts w:ascii="Times New Roman" w:eastAsia="SimSun" w:hAnsi="Times New Roman"/>
          <w:sz w:val="20"/>
          <w:szCs w:val="20"/>
          <w:lang w:val="en-GB" w:eastAsia="ja-JP"/>
        </w:rPr>
        <w:t>w</w:t>
      </w: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>here:</w:t>
      </w:r>
    </w:p>
    <w:p w14:paraId="4728B169" w14:textId="6F485B21" w:rsidR="006A3039" w:rsidRPr="006A3039" w:rsidRDefault="006A3039" w:rsidP="006A3039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>•</w:t>
      </w: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ab/>
        <w:t>y = {0,1,2,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 xml:space="preserve"> </w:t>
      </w: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>…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 xml:space="preserve"> </w:t>
      </w: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 xml:space="preserve">,11} </w:t>
      </w:r>
    </w:p>
    <w:p w14:paraId="2E407FEF" w14:textId="7F2AD112" w:rsidR="006A3039" w:rsidRPr="004454C0" w:rsidRDefault="006A3039" w:rsidP="006A3039">
      <w:pPr>
        <w:pStyle w:val="ListParagraph"/>
        <w:jc w:val="both"/>
        <w:rPr>
          <w:rFonts w:ascii="Times New Roman" w:hAnsi="Times New Roman"/>
          <w:sz w:val="20"/>
          <w:szCs w:val="20"/>
        </w:rPr>
      </w:pP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>•</w:t>
      </w: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ab/>
        <w:t xml:space="preserve">z = {1,2,3}   </w:t>
      </w:r>
    </w:p>
    <w:p w14:paraId="56E32D77" w14:textId="1C593D6B" w:rsidR="001620D1" w:rsidRDefault="006A3039" w:rsidP="006A3039">
      <w:pPr>
        <w:pStyle w:val="Heading4"/>
        <w:ind w:left="1134" w:hanging="1134"/>
        <w:rPr>
          <w:lang w:val="en-US"/>
        </w:rPr>
      </w:pPr>
      <w:r>
        <w:rPr>
          <w:lang w:val="en-US"/>
        </w:rPr>
        <w:t>2.1.1.1</w:t>
      </w:r>
      <w:r>
        <w:rPr>
          <w:lang w:val="en-US"/>
        </w:rPr>
        <w:tab/>
        <w:t>Using independent DCI fields: PDSCH Scheduling delay and HARQ-ACK delay using “</w:t>
      </w:r>
      <w:r w:rsidRPr="006A3039">
        <w:rPr>
          <w:lang w:val="en-US"/>
        </w:rPr>
        <w:t>Alt-1 for full flexibility</w:t>
      </w:r>
      <w:r>
        <w:rPr>
          <w:lang w:val="en-US"/>
        </w:rPr>
        <w:t xml:space="preserve">” </w:t>
      </w:r>
    </w:p>
    <w:p w14:paraId="76DBD4C4" w14:textId="4CF998BF" w:rsidR="006A3039" w:rsidRDefault="006A3039" w:rsidP="006A3039">
      <w:pPr>
        <w:rPr>
          <w:lang w:val="en-US"/>
        </w:rPr>
      </w:pPr>
      <w:r>
        <w:rPr>
          <w:lang w:val="en-US"/>
        </w:rPr>
        <w:t>If independent DCI fields were used</w:t>
      </w:r>
      <w:r w:rsidR="001172C4">
        <w:rPr>
          <w:lang w:val="en-US"/>
        </w:rPr>
        <w:t xml:space="preserve"> for the PDSCH Scheduling delay and the </w:t>
      </w:r>
      <w:r w:rsidR="001172C4" w:rsidRPr="001172C4">
        <w:rPr>
          <w:lang w:val="en-US"/>
        </w:rPr>
        <w:t>HARQ-ACK delay using “Alt-1 for full flexibility”</w:t>
      </w:r>
      <w:r w:rsidR="001172C4">
        <w:rPr>
          <w:lang w:val="en-US"/>
        </w:rPr>
        <w:t>, then the following number of bits would be required:</w:t>
      </w:r>
    </w:p>
    <w:p w14:paraId="4C20F9AC" w14:textId="21B2A2B2" w:rsidR="001172C4" w:rsidRPr="001172C4" w:rsidRDefault="001172C4" w:rsidP="001172C4">
      <w:pPr>
        <w:pStyle w:val="ListParagraph"/>
        <w:numPr>
          <w:ilvl w:val="0"/>
          <w:numId w:val="37"/>
        </w:numPr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>PDSCH scheduling delay: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 xml:space="preserve"> 2 bits.</w:t>
      </w:r>
    </w:p>
    <w:p w14:paraId="48EC80E3" w14:textId="1A6CB6CF" w:rsidR="001172C4" w:rsidRDefault="001172C4" w:rsidP="001172C4">
      <w:pPr>
        <w:pStyle w:val="ListParagraph"/>
        <w:numPr>
          <w:ilvl w:val="0"/>
          <w:numId w:val="37"/>
        </w:numPr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>HARQ-ACK delay using “Alt-1 for full flexibility”: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 xml:space="preserve"> (4-bits for “y” and 2-bits for “z”) 6 bits.</w:t>
      </w:r>
    </w:p>
    <w:p w14:paraId="1E65AA56" w14:textId="245DC156" w:rsidR="001172C4" w:rsidRDefault="001172C4" w:rsidP="006A3039">
      <w:pPr>
        <w:pStyle w:val="ListParagraph"/>
        <w:numPr>
          <w:ilvl w:val="0"/>
          <w:numId w:val="37"/>
        </w:numPr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>
        <w:rPr>
          <w:rFonts w:ascii="Times New Roman" w:eastAsia="SimSun" w:hAnsi="Times New Roman"/>
          <w:sz w:val="20"/>
          <w:szCs w:val="20"/>
          <w:lang w:val="en-GB" w:eastAsia="ja-JP"/>
        </w:rPr>
        <w:t>Total Number of bits if independent DCI fields were used: 8 bits.</w:t>
      </w:r>
    </w:p>
    <w:p w14:paraId="3BCEC76D" w14:textId="77777777" w:rsidR="001172C4" w:rsidRPr="001172C4" w:rsidRDefault="001172C4" w:rsidP="001172C4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</w:p>
    <w:p w14:paraId="3C1F81A2" w14:textId="471DCA4F" w:rsidR="006A3039" w:rsidRDefault="006A3039" w:rsidP="006A3039">
      <w:pPr>
        <w:pStyle w:val="Heading4"/>
        <w:ind w:left="1134" w:hanging="1134"/>
        <w:rPr>
          <w:lang w:val="en-US"/>
        </w:rPr>
      </w:pPr>
      <w:r>
        <w:rPr>
          <w:lang w:val="en-US"/>
        </w:rPr>
        <w:t>2.1.1.2</w:t>
      </w:r>
      <w:r>
        <w:rPr>
          <w:lang w:val="en-US"/>
        </w:rPr>
        <w:tab/>
        <w:t>Using a joint encoding solution: PDSCH Scheduling delay and HARQ-ACK delay using “</w:t>
      </w:r>
      <w:r w:rsidRPr="006A3039">
        <w:rPr>
          <w:lang w:val="en-US"/>
        </w:rPr>
        <w:t>Alt-1 for full flexibility</w:t>
      </w:r>
      <w:r>
        <w:rPr>
          <w:lang w:val="en-US"/>
        </w:rPr>
        <w:t xml:space="preserve">” </w:t>
      </w:r>
    </w:p>
    <w:p w14:paraId="7327D7FF" w14:textId="75D21736" w:rsidR="00B42754" w:rsidRDefault="00B42754" w:rsidP="00B42754">
      <w:pPr>
        <w:rPr>
          <w:lang w:val="en-US"/>
        </w:rPr>
      </w:pPr>
      <w:r>
        <w:rPr>
          <w:lang w:val="en-US"/>
        </w:rPr>
        <w:t xml:space="preserve">If a joint encoding solution were used for the PDSCH Scheduling delay and the </w:t>
      </w:r>
      <w:r w:rsidRPr="001172C4">
        <w:rPr>
          <w:lang w:val="en-US"/>
        </w:rPr>
        <w:t>HARQ-ACK delay using “Alt-1 for full flexibility”</w:t>
      </w:r>
      <w:r>
        <w:rPr>
          <w:lang w:val="en-US"/>
        </w:rPr>
        <w:t>, then the following number of bits would be required:</w:t>
      </w:r>
    </w:p>
    <w:p w14:paraId="5A96519D" w14:textId="17666D8A" w:rsidR="00B42754" w:rsidRPr="001172C4" w:rsidRDefault="00B42754" w:rsidP="00B42754">
      <w:pPr>
        <w:pStyle w:val="ListParagraph"/>
        <w:numPr>
          <w:ilvl w:val="0"/>
          <w:numId w:val="37"/>
        </w:numPr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>PDSCH scheduling delay: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 xml:space="preserve"> T</w:t>
      </w:r>
      <w:r w:rsidRPr="00B42754">
        <w:rPr>
          <w:rFonts w:ascii="Times New Roman" w:eastAsia="SimSun" w:hAnsi="Times New Roman"/>
          <w:sz w:val="20"/>
          <w:szCs w:val="20"/>
          <w:lang w:val="en-GB" w:eastAsia="ja-JP"/>
        </w:rPr>
        <w:t>here are 3 different expressions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>.</w:t>
      </w:r>
    </w:p>
    <w:p w14:paraId="53C5D72A" w14:textId="378FD3BA" w:rsidR="00B42754" w:rsidRDefault="00B42754" w:rsidP="00B42754">
      <w:pPr>
        <w:pStyle w:val="ListParagraph"/>
        <w:numPr>
          <w:ilvl w:val="0"/>
          <w:numId w:val="37"/>
        </w:numPr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>HARQ-ACK delay using “Alt-1 for full flexibility”: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 xml:space="preserve"> There are </w:t>
      </w:r>
      <w:r w:rsidRPr="00B42754">
        <w:rPr>
          <w:rFonts w:ascii="Times New Roman" w:eastAsia="SimSun" w:hAnsi="Times New Roman"/>
          <w:sz w:val="20"/>
          <w:szCs w:val="20"/>
          <w:lang w:val="en-GB" w:eastAsia="ja-JP"/>
        </w:rPr>
        <w:t>12 values for “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>y</w:t>
      </w:r>
      <w:r w:rsidRPr="00B42754">
        <w:rPr>
          <w:rFonts w:ascii="Times New Roman" w:eastAsia="SimSun" w:hAnsi="Times New Roman"/>
          <w:sz w:val="20"/>
          <w:szCs w:val="20"/>
          <w:lang w:val="en-GB" w:eastAsia="ja-JP"/>
        </w:rPr>
        <w:t>” and 3 values for “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>z</w:t>
      </w:r>
      <w:r w:rsidRPr="00B42754">
        <w:rPr>
          <w:rFonts w:ascii="Times New Roman" w:eastAsia="SimSun" w:hAnsi="Times New Roman"/>
          <w:sz w:val="20"/>
          <w:szCs w:val="20"/>
          <w:lang w:val="en-GB" w:eastAsia="ja-JP"/>
        </w:rPr>
        <w:t>”.</w:t>
      </w:r>
    </w:p>
    <w:p w14:paraId="23BA5E50" w14:textId="2D42328B" w:rsidR="00B42754" w:rsidRDefault="00B42754" w:rsidP="00B42754">
      <w:pPr>
        <w:pStyle w:val="ListParagraph"/>
        <w:numPr>
          <w:ilvl w:val="0"/>
          <w:numId w:val="37"/>
        </w:numPr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>
        <w:rPr>
          <w:rFonts w:ascii="Times New Roman" w:eastAsia="SimSun" w:hAnsi="Times New Roman"/>
          <w:sz w:val="20"/>
          <w:szCs w:val="20"/>
          <w:lang w:val="en-GB" w:eastAsia="ja-JP"/>
        </w:rPr>
        <w:t xml:space="preserve">The joint encoding solution will require: </w:t>
      </w:r>
      <w:r w:rsidR="00C04D72" w:rsidRPr="00C04D72">
        <w:rPr>
          <w:rFonts w:ascii="Times New Roman" w:eastAsia="SimSun" w:hAnsi="Times New Roman"/>
          <w:sz w:val="20"/>
          <w:szCs w:val="20"/>
          <w:lang w:val="en-GB" w:eastAsia="ja-JP"/>
        </w:rPr>
        <w:t>12(3)</w:t>
      </w:r>
      <w:r w:rsidR="00C04D72">
        <w:rPr>
          <w:rFonts w:ascii="Times New Roman" w:eastAsia="SimSun" w:hAnsi="Times New Roman"/>
          <w:sz w:val="20"/>
          <w:szCs w:val="20"/>
          <w:lang w:val="en-GB" w:eastAsia="ja-JP"/>
        </w:rPr>
        <w:t xml:space="preserve"> </w:t>
      </w:r>
      <w:r w:rsidR="00C04D72" w:rsidRPr="00C04D72">
        <w:rPr>
          <w:rFonts w:ascii="Times New Roman" w:eastAsia="SimSun" w:hAnsi="Times New Roman"/>
          <w:sz w:val="20"/>
          <w:szCs w:val="20"/>
          <w:lang w:val="en-GB" w:eastAsia="ja-JP"/>
        </w:rPr>
        <w:t>+</w:t>
      </w:r>
      <w:r w:rsidR="00C04D72">
        <w:rPr>
          <w:rFonts w:ascii="Times New Roman" w:eastAsia="SimSun" w:hAnsi="Times New Roman"/>
          <w:sz w:val="20"/>
          <w:szCs w:val="20"/>
          <w:lang w:val="en-GB" w:eastAsia="ja-JP"/>
        </w:rPr>
        <w:t xml:space="preserve"> </w:t>
      </w:r>
      <w:r w:rsidR="00C04D72" w:rsidRPr="00C04D72">
        <w:rPr>
          <w:rFonts w:ascii="Times New Roman" w:eastAsia="SimSun" w:hAnsi="Times New Roman"/>
          <w:sz w:val="20"/>
          <w:szCs w:val="20"/>
          <w:lang w:val="en-GB" w:eastAsia="ja-JP"/>
        </w:rPr>
        <w:t>12(3)</w:t>
      </w:r>
      <w:r w:rsidR="00C04D72">
        <w:rPr>
          <w:rFonts w:ascii="Times New Roman" w:eastAsia="SimSun" w:hAnsi="Times New Roman"/>
          <w:sz w:val="20"/>
          <w:szCs w:val="20"/>
          <w:lang w:val="en-GB" w:eastAsia="ja-JP"/>
        </w:rPr>
        <w:t xml:space="preserve"> </w:t>
      </w:r>
      <w:r w:rsidR="00C04D72" w:rsidRPr="00C04D72">
        <w:rPr>
          <w:rFonts w:ascii="Times New Roman" w:eastAsia="SimSun" w:hAnsi="Times New Roman"/>
          <w:sz w:val="20"/>
          <w:szCs w:val="20"/>
          <w:lang w:val="en-GB" w:eastAsia="ja-JP"/>
        </w:rPr>
        <w:t>+</w:t>
      </w:r>
      <w:r w:rsidR="00C04D72">
        <w:rPr>
          <w:rFonts w:ascii="Times New Roman" w:eastAsia="SimSun" w:hAnsi="Times New Roman"/>
          <w:sz w:val="20"/>
          <w:szCs w:val="20"/>
          <w:lang w:val="en-GB" w:eastAsia="ja-JP"/>
        </w:rPr>
        <w:t xml:space="preserve"> </w:t>
      </w:r>
      <w:r w:rsidR="00C04D72" w:rsidRPr="00C04D72">
        <w:rPr>
          <w:rFonts w:ascii="Times New Roman" w:eastAsia="SimSun" w:hAnsi="Times New Roman"/>
          <w:sz w:val="20"/>
          <w:szCs w:val="20"/>
          <w:lang w:val="en-GB" w:eastAsia="ja-JP"/>
        </w:rPr>
        <w:t>12(3) = 108 states, meaning that we will need 7-bits for a fully</w:t>
      </w:r>
      <w:r w:rsidR="00C04D72">
        <w:rPr>
          <w:rFonts w:ascii="Times New Roman" w:eastAsia="SimSun" w:hAnsi="Times New Roman"/>
          <w:sz w:val="20"/>
          <w:szCs w:val="20"/>
          <w:lang w:val="en-GB" w:eastAsia="ja-JP"/>
        </w:rPr>
        <w:t xml:space="preserve"> </w:t>
      </w:r>
      <w:r w:rsidR="00C04D72" w:rsidRPr="00C04D72">
        <w:rPr>
          <w:rFonts w:ascii="Times New Roman" w:eastAsia="SimSun" w:hAnsi="Times New Roman"/>
          <w:sz w:val="20"/>
          <w:szCs w:val="20"/>
          <w:lang w:val="en-GB" w:eastAsia="ja-JP"/>
        </w:rPr>
        <w:t>flexible joint-encoding solution</w:t>
      </w:r>
    </w:p>
    <w:p w14:paraId="303F704B" w14:textId="72EABC3C" w:rsidR="006A3039" w:rsidRDefault="00B42754" w:rsidP="006A3039">
      <w:pPr>
        <w:pStyle w:val="ListParagraph"/>
        <w:numPr>
          <w:ilvl w:val="0"/>
          <w:numId w:val="37"/>
        </w:numPr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>
        <w:rPr>
          <w:rFonts w:ascii="Times New Roman" w:eastAsia="SimSun" w:hAnsi="Times New Roman"/>
          <w:sz w:val="20"/>
          <w:szCs w:val="20"/>
          <w:lang w:val="en-GB" w:eastAsia="ja-JP"/>
        </w:rPr>
        <w:t xml:space="preserve">Total Number of bits if </w:t>
      </w:r>
      <w:r w:rsidR="007B7CF2">
        <w:rPr>
          <w:rFonts w:ascii="Times New Roman" w:eastAsia="SimSun" w:hAnsi="Times New Roman"/>
          <w:sz w:val="20"/>
          <w:szCs w:val="20"/>
          <w:lang w:val="en-GB" w:eastAsia="ja-JP"/>
        </w:rPr>
        <w:t>a joint encoding solution</w:t>
      </w:r>
      <w:r w:rsidR="00BF5568">
        <w:rPr>
          <w:rFonts w:ascii="Times New Roman" w:eastAsia="SimSun" w:hAnsi="Times New Roman"/>
          <w:sz w:val="20"/>
          <w:szCs w:val="20"/>
          <w:lang w:val="en-GB" w:eastAsia="ja-JP"/>
        </w:rPr>
        <w:t xml:space="preserve"> in DCI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 xml:space="preserve"> were used: </w:t>
      </w:r>
      <w:r w:rsidR="00C04D72">
        <w:rPr>
          <w:rFonts w:ascii="Times New Roman" w:eastAsia="SimSun" w:hAnsi="Times New Roman"/>
          <w:sz w:val="20"/>
          <w:szCs w:val="20"/>
          <w:lang w:val="en-GB" w:eastAsia="ja-JP"/>
        </w:rPr>
        <w:t>7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 xml:space="preserve"> bits.</w:t>
      </w:r>
    </w:p>
    <w:p w14:paraId="0DA0867C" w14:textId="77777777" w:rsidR="00B42754" w:rsidRPr="00B42754" w:rsidRDefault="00B42754" w:rsidP="00B42754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</w:p>
    <w:p w14:paraId="460B0401" w14:textId="2A919C6D" w:rsidR="001620D1" w:rsidRDefault="001620D1" w:rsidP="001620D1">
      <w:pPr>
        <w:pStyle w:val="Heading3"/>
      </w:pPr>
      <w:r>
        <w:t>2.1.2</w:t>
      </w:r>
      <w:r>
        <w:tab/>
      </w:r>
      <w:r w:rsidRPr="001620D1">
        <w:t>PDSCH Scheduling delay solution used along with Alt-</w:t>
      </w:r>
      <w:r>
        <w:t>2e</w:t>
      </w:r>
      <w:r w:rsidRPr="001620D1">
        <w:t xml:space="preserve"> configured via RRC as the HARQ-ACK delay solution</w:t>
      </w:r>
    </w:p>
    <w:p w14:paraId="7DDF42C4" w14:textId="76438766" w:rsidR="00424B8D" w:rsidRDefault="00424B8D" w:rsidP="00424B8D">
      <w:r>
        <w:t xml:space="preserve">Below there are described the elements of the PDSCH Scheduling delay and the HARQ-ACK delay using </w:t>
      </w:r>
      <w:r w:rsidR="00E35362" w:rsidRPr="00E35362">
        <w:t>Alt-2e: “3 bits (same as legacy)”</w:t>
      </w:r>
      <w:r>
        <w:t>:</w:t>
      </w:r>
    </w:p>
    <w:p w14:paraId="791164DE" w14:textId="77777777" w:rsidR="00424B8D" w:rsidRPr="006A3039" w:rsidRDefault="00424B8D" w:rsidP="00424B8D">
      <w:pPr>
        <w:pStyle w:val="ListParagraph"/>
        <w:numPr>
          <w:ilvl w:val="0"/>
          <w:numId w:val="37"/>
        </w:numPr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>PDSCH scheduling delay:</w:t>
      </w:r>
    </w:p>
    <w:p w14:paraId="2B5788AB" w14:textId="77777777" w:rsidR="00424B8D" w:rsidRPr="006A3039" w:rsidRDefault="00424B8D" w:rsidP="00424B8D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</w:p>
    <w:p w14:paraId="5822D0E0" w14:textId="77777777" w:rsidR="00424B8D" w:rsidRPr="006A3039" w:rsidRDefault="00424B8D" w:rsidP="00424B8D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>2 BL/CE DL subframes</w:t>
      </w:r>
    </w:p>
    <w:p w14:paraId="4AB40986" w14:textId="77777777" w:rsidR="00424B8D" w:rsidRPr="006A3039" w:rsidRDefault="00424B8D" w:rsidP="00424B8D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lastRenderedPageBreak/>
        <w:t>1 BL/CE DL subframe + 1 subframe + 3 BL/CE UL subframes + 1 subframe + 1 BL/CE DL subframe.</w:t>
      </w:r>
    </w:p>
    <w:p w14:paraId="77DE45F3" w14:textId="77777777" w:rsidR="00424B8D" w:rsidRPr="006A3039" w:rsidRDefault="00424B8D" w:rsidP="00424B8D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>1 subframe + 3 BL/CE UL subframes + 1 subframe + 2 BL/CE DL subframes.</w:t>
      </w:r>
    </w:p>
    <w:p w14:paraId="252E672D" w14:textId="77777777" w:rsidR="00424B8D" w:rsidRPr="006A3039" w:rsidRDefault="00424B8D" w:rsidP="00424B8D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</w:p>
    <w:p w14:paraId="0038F268" w14:textId="34B164BD" w:rsidR="00424B8D" w:rsidRPr="00424B8D" w:rsidRDefault="00424B8D" w:rsidP="00424B8D">
      <w:pPr>
        <w:pStyle w:val="ListParagraph"/>
        <w:numPr>
          <w:ilvl w:val="0"/>
          <w:numId w:val="37"/>
        </w:numPr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 xml:space="preserve">HARQ-ACK delay using </w:t>
      </w:r>
      <w:r w:rsidRPr="00424B8D">
        <w:rPr>
          <w:rFonts w:ascii="Times New Roman" w:eastAsia="SimSun" w:hAnsi="Times New Roman"/>
          <w:sz w:val="20"/>
          <w:szCs w:val="20"/>
          <w:lang w:val="en-GB" w:eastAsia="ja-JP"/>
        </w:rPr>
        <w:t>Alt-2e: “3 bits (same as legacy)”</w:t>
      </w:r>
      <w:r w:rsidRPr="00424B8D">
        <w:t>:</w:t>
      </w:r>
    </w:p>
    <w:p w14:paraId="23B83715" w14:textId="77777777" w:rsidR="00424B8D" w:rsidRPr="006A3039" w:rsidRDefault="00424B8D" w:rsidP="00424B8D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</w:p>
    <w:p w14:paraId="7916419E" w14:textId="4978438D" w:rsidR="00424B8D" w:rsidRDefault="00424B8D" w:rsidP="00424B8D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>
        <w:rPr>
          <w:rFonts w:ascii="Times New Roman" w:eastAsia="SimSun" w:hAnsi="Times New Roman"/>
          <w:sz w:val="20"/>
          <w:szCs w:val="20"/>
          <w:lang w:val="en-GB" w:eastAsia="ja-JP"/>
        </w:rPr>
        <w:t>3-bits HARQ-ACK delay set</w:t>
      </w: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 xml:space="preserve"> = {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>a, b, c, d, e, f, g, h</w:t>
      </w: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>}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>.</w:t>
      </w:r>
    </w:p>
    <w:p w14:paraId="25C4634C" w14:textId="77777777" w:rsidR="00424B8D" w:rsidRDefault="00424B8D" w:rsidP="00424B8D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</w:p>
    <w:p w14:paraId="78A1F658" w14:textId="67AF7B8E" w:rsidR="00424B8D" w:rsidRDefault="00424B8D" w:rsidP="00424B8D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>
        <w:rPr>
          <w:rFonts w:ascii="Times New Roman" w:eastAsia="SimSun" w:hAnsi="Times New Roman"/>
          <w:sz w:val="20"/>
          <w:szCs w:val="20"/>
          <w:lang w:val="en-GB" w:eastAsia="ja-JP"/>
        </w:rPr>
        <w:t>Note: The delay values in the HARQ-ACK delay set dependent on the resolution of the following “</w:t>
      </w:r>
      <w:r w:rsidRPr="00424B8D">
        <w:rPr>
          <w:rFonts w:ascii="Times New Roman" w:eastAsia="SimSun" w:hAnsi="Times New Roman"/>
          <w:i/>
          <w:iCs/>
          <w:sz w:val="20"/>
          <w:szCs w:val="20"/>
          <w:lang w:val="en-GB" w:eastAsia="ja-JP"/>
        </w:rPr>
        <w:t>FFS: Whether HARQ delay set is to use range1 or range2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>”.</w:t>
      </w:r>
    </w:p>
    <w:p w14:paraId="26700869" w14:textId="091EAE6D" w:rsidR="00424B8D" w:rsidRPr="00424B8D" w:rsidRDefault="00424B8D" w:rsidP="00424B8D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424B8D">
        <w:rPr>
          <w:rFonts w:ascii="Times New Roman" w:eastAsia="SimSun" w:hAnsi="Times New Roman"/>
          <w:sz w:val="20"/>
          <w:szCs w:val="20"/>
          <w:lang w:val="en-GB" w:eastAsia="ja-JP"/>
        </w:rPr>
        <w:t xml:space="preserve">  </w:t>
      </w:r>
    </w:p>
    <w:p w14:paraId="32FF5C6B" w14:textId="13FC70D2" w:rsidR="00424B8D" w:rsidRDefault="00424B8D" w:rsidP="00424B8D">
      <w:pPr>
        <w:pStyle w:val="Heading4"/>
        <w:ind w:left="1134" w:hanging="1134"/>
        <w:rPr>
          <w:lang w:val="en-US"/>
        </w:rPr>
      </w:pPr>
      <w:r>
        <w:rPr>
          <w:lang w:val="en-US"/>
        </w:rPr>
        <w:t>2.1.</w:t>
      </w:r>
      <w:r w:rsidR="0049463C">
        <w:rPr>
          <w:lang w:val="en-US"/>
        </w:rPr>
        <w:t>2</w:t>
      </w:r>
      <w:r>
        <w:rPr>
          <w:lang w:val="en-US"/>
        </w:rPr>
        <w:t>.1</w:t>
      </w:r>
      <w:r>
        <w:rPr>
          <w:lang w:val="en-US"/>
        </w:rPr>
        <w:tab/>
        <w:t>Using independent DCI fields: PDSCH Scheduling delay and HARQ-ACK delay using “</w:t>
      </w:r>
      <w:r w:rsidRPr="006A3039">
        <w:rPr>
          <w:lang w:val="en-US"/>
        </w:rPr>
        <w:t>Alt-</w:t>
      </w:r>
      <w:r w:rsidR="009B6C77">
        <w:rPr>
          <w:lang w:val="en-US"/>
        </w:rPr>
        <w:t>2-e</w:t>
      </w:r>
      <w:r>
        <w:rPr>
          <w:lang w:val="en-US"/>
        </w:rPr>
        <w:t xml:space="preserve">” </w:t>
      </w:r>
    </w:p>
    <w:p w14:paraId="09893829" w14:textId="0C3029CB" w:rsidR="00424B8D" w:rsidRDefault="00424B8D" w:rsidP="00424B8D">
      <w:pPr>
        <w:rPr>
          <w:lang w:val="en-US"/>
        </w:rPr>
      </w:pPr>
      <w:r>
        <w:rPr>
          <w:lang w:val="en-US"/>
        </w:rPr>
        <w:t xml:space="preserve">If independent DCI fields were used for the PDSCH Scheduling delay and the </w:t>
      </w:r>
      <w:r w:rsidRPr="001172C4">
        <w:rPr>
          <w:lang w:val="en-US"/>
        </w:rPr>
        <w:t xml:space="preserve">HARQ-ACK delay using </w:t>
      </w:r>
      <w:r w:rsidRPr="00424B8D">
        <w:rPr>
          <w:lang w:val="en-US"/>
        </w:rPr>
        <w:t>Alt-2e: “3 bits (same as legacy)”</w:t>
      </w:r>
      <w:r>
        <w:rPr>
          <w:lang w:val="en-US"/>
        </w:rPr>
        <w:t>, then the following number of bits would be required:</w:t>
      </w:r>
    </w:p>
    <w:p w14:paraId="703C34B7" w14:textId="77777777" w:rsidR="00424B8D" w:rsidRPr="001172C4" w:rsidRDefault="00424B8D" w:rsidP="00424B8D">
      <w:pPr>
        <w:pStyle w:val="ListParagraph"/>
        <w:numPr>
          <w:ilvl w:val="0"/>
          <w:numId w:val="37"/>
        </w:numPr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>PDSCH scheduling delay: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 xml:space="preserve"> 2 bits.</w:t>
      </w:r>
    </w:p>
    <w:p w14:paraId="50BF36AF" w14:textId="20111733" w:rsidR="00424B8D" w:rsidRPr="00424B8D" w:rsidRDefault="00424B8D" w:rsidP="00424B8D">
      <w:pPr>
        <w:pStyle w:val="ListParagraph"/>
        <w:numPr>
          <w:ilvl w:val="0"/>
          <w:numId w:val="37"/>
        </w:numPr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 xml:space="preserve">HARQ-ACK delay using </w:t>
      </w:r>
      <w:r w:rsidRPr="00424B8D">
        <w:rPr>
          <w:rFonts w:ascii="Times New Roman" w:eastAsia="SimSun" w:hAnsi="Times New Roman"/>
          <w:sz w:val="20"/>
          <w:szCs w:val="20"/>
          <w:lang w:val="en-GB" w:eastAsia="ja-JP"/>
        </w:rPr>
        <w:t>Alt-2e: “3 bits (same as legacy)”</w:t>
      </w:r>
      <w:r w:rsidRPr="00C916AF">
        <w:rPr>
          <w:rFonts w:ascii="Times New Roman" w:eastAsia="SimSun" w:hAnsi="Times New Roman"/>
          <w:sz w:val="20"/>
          <w:szCs w:val="20"/>
          <w:lang w:val="en-GB" w:eastAsia="ja-JP"/>
        </w:rPr>
        <w:t>: 3 bits.</w:t>
      </w:r>
    </w:p>
    <w:p w14:paraId="52A1A81F" w14:textId="6D372464" w:rsidR="00424B8D" w:rsidRDefault="00424B8D" w:rsidP="00424B8D">
      <w:pPr>
        <w:pStyle w:val="ListParagraph"/>
        <w:numPr>
          <w:ilvl w:val="0"/>
          <w:numId w:val="37"/>
        </w:numPr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>
        <w:rPr>
          <w:rFonts w:ascii="Times New Roman" w:eastAsia="SimSun" w:hAnsi="Times New Roman"/>
          <w:sz w:val="20"/>
          <w:szCs w:val="20"/>
          <w:lang w:val="en-GB" w:eastAsia="ja-JP"/>
        </w:rPr>
        <w:t>Total Number of bits if independent DCI fields were used: 5 bits.</w:t>
      </w:r>
    </w:p>
    <w:p w14:paraId="1EBB9138" w14:textId="77777777" w:rsidR="00424B8D" w:rsidRPr="001172C4" w:rsidRDefault="00424B8D" w:rsidP="00424B8D">
      <w:pPr>
        <w:pStyle w:val="ListParagraph"/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</w:p>
    <w:p w14:paraId="1CBED0A9" w14:textId="2B69FE1F" w:rsidR="00424B8D" w:rsidRDefault="00424B8D" w:rsidP="00424B8D">
      <w:pPr>
        <w:pStyle w:val="Heading4"/>
        <w:ind w:left="1134" w:hanging="1134"/>
        <w:rPr>
          <w:lang w:val="en-US"/>
        </w:rPr>
      </w:pPr>
      <w:r>
        <w:rPr>
          <w:lang w:val="en-US"/>
        </w:rPr>
        <w:t>2.1.</w:t>
      </w:r>
      <w:r w:rsidR="0049463C">
        <w:rPr>
          <w:lang w:val="en-US"/>
        </w:rPr>
        <w:t>2</w:t>
      </w:r>
      <w:r>
        <w:rPr>
          <w:lang w:val="en-US"/>
        </w:rPr>
        <w:t>.2</w:t>
      </w:r>
      <w:r>
        <w:rPr>
          <w:lang w:val="en-US"/>
        </w:rPr>
        <w:tab/>
        <w:t>Using a joint encoding solution: PDSCH Scheduling delay and HARQ-ACK delay using “</w:t>
      </w:r>
      <w:r w:rsidRPr="006A3039">
        <w:rPr>
          <w:lang w:val="en-US"/>
        </w:rPr>
        <w:t>Alt-</w:t>
      </w:r>
      <w:r w:rsidR="009B6C77">
        <w:rPr>
          <w:lang w:val="en-US"/>
        </w:rPr>
        <w:t>2-e</w:t>
      </w:r>
      <w:r>
        <w:rPr>
          <w:lang w:val="en-US"/>
        </w:rPr>
        <w:t xml:space="preserve">” </w:t>
      </w:r>
    </w:p>
    <w:p w14:paraId="5F57A987" w14:textId="5B5C6A2D" w:rsidR="00424B8D" w:rsidRDefault="00424B8D" w:rsidP="00424B8D">
      <w:pPr>
        <w:rPr>
          <w:lang w:val="en-US"/>
        </w:rPr>
      </w:pPr>
      <w:r>
        <w:rPr>
          <w:lang w:val="en-US"/>
        </w:rPr>
        <w:t xml:space="preserve">If a joint encoding solution were used for the PDSCH Scheduling delay and the </w:t>
      </w:r>
      <w:r w:rsidRPr="001172C4">
        <w:rPr>
          <w:lang w:val="en-US"/>
        </w:rPr>
        <w:t xml:space="preserve">HARQ-ACK delay using </w:t>
      </w:r>
      <w:bookmarkStart w:id="7" w:name="_Hlk72620232"/>
      <w:r w:rsidR="008615D2" w:rsidRPr="008615D2">
        <w:rPr>
          <w:lang w:val="en-US"/>
        </w:rPr>
        <w:t>Alt-2e: “3 bits (same as legacy)”</w:t>
      </w:r>
      <w:bookmarkEnd w:id="7"/>
      <w:r>
        <w:rPr>
          <w:lang w:val="en-US"/>
        </w:rPr>
        <w:t>, then the following number of bits would be required:</w:t>
      </w:r>
    </w:p>
    <w:p w14:paraId="410F7A7B" w14:textId="77777777" w:rsidR="00424B8D" w:rsidRPr="001172C4" w:rsidRDefault="00424B8D" w:rsidP="00424B8D">
      <w:pPr>
        <w:pStyle w:val="ListParagraph"/>
        <w:numPr>
          <w:ilvl w:val="0"/>
          <w:numId w:val="37"/>
        </w:numPr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>PDSCH scheduling delay: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 xml:space="preserve"> T</w:t>
      </w:r>
      <w:r w:rsidRPr="00B42754">
        <w:rPr>
          <w:rFonts w:ascii="Times New Roman" w:eastAsia="SimSun" w:hAnsi="Times New Roman"/>
          <w:sz w:val="20"/>
          <w:szCs w:val="20"/>
          <w:lang w:val="en-GB" w:eastAsia="ja-JP"/>
        </w:rPr>
        <w:t>here are 3 different expressions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>.</w:t>
      </w:r>
    </w:p>
    <w:p w14:paraId="09DAA3BE" w14:textId="68F73662" w:rsidR="00424B8D" w:rsidRPr="008615D2" w:rsidRDefault="00424B8D" w:rsidP="008615D2">
      <w:pPr>
        <w:pStyle w:val="ListParagraph"/>
        <w:numPr>
          <w:ilvl w:val="0"/>
          <w:numId w:val="37"/>
        </w:numPr>
        <w:rPr>
          <w:rFonts w:ascii="Times New Roman" w:eastAsia="SimSun" w:hAnsi="Times New Roman"/>
          <w:sz w:val="20"/>
          <w:szCs w:val="20"/>
          <w:lang w:val="en-GB" w:eastAsia="ja-JP"/>
        </w:rPr>
      </w:pPr>
      <w:r w:rsidRPr="006A3039">
        <w:rPr>
          <w:rFonts w:ascii="Times New Roman" w:eastAsia="SimSun" w:hAnsi="Times New Roman"/>
          <w:sz w:val="20"/>
          <w:szCs w:val="20"/>
          <w:lang w:val="en-GB" w:eastAsia="ja-JP"/>
        </w:rPr>
        <w:t xml:space="preserve">HARQ-ACK delay using </w:t>
      </w:r>
      <w:r w:rsidR="008615D2" w:rsidRPr="008615D2">
        <w:rPr>
          <w:rFonts w:ascii="Times New Roman" w:eastAsia="SimSun" w:hAnsi="Times New Roman"/>
          <w:sz w:val="20"/>
          <w:szCs w:val="20"/>
          <w:lang w:val="en-GB" w:eastAsia="ja-JP"/>
        </w:rPr>
        <w:t>Alt-2e</w:t>
      </w:r>
      <w:r w:rsidRPr="008615D2">
        <w:rPr>
          <w:rFonts w:ascii="Times New Roman" w:eastAsia="SimSun" w:hAnsi="Times New Roman"/>
          <w:sz w:val="20"/>
          <w:szCs w:val="20"/>
          <w:lang w:val="en-GB" w:eastAsia="ja-JP"/>
        </w:rPr>
        <w:t xml:space="preserve">: </w:t>
      </w:r>
      <w:r w:rsidR="008615D2">
        <w:rPr>
          <w:rFonts w:ascii="Times New Roman" w:eastAsia="SimSun" w:hAnsi="Times New Roman"/>
          <w:sz w:val="20"/>
          <w:szCs w:val="20"/>
          <w:lang w:val="en-GB" w:eastAsia="ja-JP"/>
        </w:rPr>
        <w:t xml:space="preserve">The HARQ-ACK delay </w:t>
      </w:r>
      <w:r w:rsidR="00570F5D">
        <w:rPr>
          <w:rFonts w:ascii="Times New Roman" w:eastAsia="SimSun" w:hAnsi="Times New Roman"/>
          <w:sz w:val="20"/>
          <w:szCs w:val="20"/>
          <w:lang w:val="en-GB" w:eastAsia="ja-JP"/>
        </w:rPr>
        <w:t xml:space="preserve">e.g., </w:t>
      </w:r>
      <w:r w:rsidR="008615D2">
        <w:rPr>
          <w:rFonts w:ascii="Times New Roman" w:eastAsia="SimSun" w:hAnsi="Times New Roman"/>
          <w:sz w:val="20"/>
          <w:szCs w:val="20"/>
          <w:lang w:val="en-GB" w:eastAsia="ja-JP"/>
        </w:rPr>
        <w:t xml:space="preserve">would </w:t>
      </w:r>
      <w:r w:rsidR="0075621A">
        <w:rPr>
          <w:rFonts w:ascii="Times New Roman" w:eastAsia="SimSun" w:hAnsi="Times New Roman"/>
          <w:sz w:val="20"/>
          <w:szCs w:val="20"/>
          <w:lang w:val="en-GB" w:eastAsia="ja-JP"/>
        </w:rPr>
        <w:t xml:space="preserve">aim to </w:t>
      </w:r>
      <w:r w:rsidR="008615D2">
        <w:rPr>
          <w:rFonts w:ascii="Times New Roman" w:eastAsia="SimSun" w:hAnsi="Times New Roman"/>
          <w:sz w:val="20"/>
          <w:szCs w:val="20"/>
          <w:lang w:val="en-GB" w:eastAsia="ja-JP"/>
        </w:rPr>
        <w:t xml:space="preserve">get </w:t>
      </w:r>
      <w:r w:rsidR="00BB02FF">
        <w:rPr>
          <w:rFonts w:ascii="Times New Roman" w:eastAsia="SimSun" w:hAnsi="Times New Roman"/>
          <w:sz w:val="20"/>
          <w:szCs w:val="20"/>
          <w:lang w:val="en-GB" w:eastAsia="ja-JP"/>
        </w:rPr>
        <w:t>most</w:t>
      </w:r>
      <w:r w:rsidR="008615D2">
        <w:rPr>
          <w:rFonts w:ascii="Times New Roman" w:eastAsia="SimSun" w:hAnsi="Times New Roman"/>
          <w:sz w:val="20"/>
          <w:szCs w:val="20"/>
          <w:lang w:val="en-GB" w:eastAsia="ja-JP"/>
        </w:rPr>
        <w:t xml:space="preserve"> of the 5-bits used by the joint encoding solution as to provide 10 delays values instead of 8 delay values for the HARQ-ACK delay set</w:t>
      </w:r>
      <w:r w:rsidR="00E21A43">
        <w:rPr>
          <w:rFonts w:ascii="Times New Roman" w:eastAsia="SimSun" w:hAnsi="Times New Roman"/>
          <w:sz w:val="20"/>
          <w:szCs w:val="20"/>
          <w:lang w:val="en-GB" w:eastAsia="ja-JP"/>
        </w:rPr>
        <w:t xml:space="preserve"> with the same 5-bits</w:t>
      </w:r>
      <w:r w:rsidR="008615D2">
        <w:rPr>
          <w:rFonts w:ascii="Times New Roman" w:eastAsia="SimSun" w:hAnsi="Times New Roman"/>
          <w:sz w:val="20"/>
          <w:szCs w:val="20"/>
          <w:lang w:val="en-GB" w:eastAsia="ja-JP"/>
        </w:rPr>
        <w:t xml:space="preserve">. That is, the </w:t>
      </w:r>
      <w:r w:rsidR="008615D2" w:rsidRPr="008615D2">
        <w:rPr>
          <w:rFonts w:ascii="Times New Roman" w:eastAsia="SimSun" w:hAnsi="Times New Roman"/>
          <w:sz w:val="20"/>
          <w:szCs w:val="20"/>
          <w:lang w:val="en-GB" w:eastAsia="ja-JP"/>
        </w:rPr>
        <w:t>HARQ-ACK delay set</w:t>
      </w:r>
      <w:r w:rsidR="008615D2">
        <w:rPr>
          <w:rFonts w:ascii="Times New Roman" w:eastAsia="SimSun" w:hAnsi="Times New Roman"/>
          <w:sz w:val="20"/>
          <w:szCs w:val="20"/>
          <w:lang w:val="en-GB" w:eastAsia="ja-JP"/>
        </w:rPr>
        <w:t xml:space="preserve"> would be</w:t>
      </w:r>
      <w:r w:rsidR="002C75F2">
        <w:rPr>
          <w:rFonts w:ascii="Times New Roman" w:eastAsia="SimSun" w:hAnsi="Times New Roman"/>
          <w:sz w:val="20"/>
          <w:szCs w:val="20"/>
          <w:lang w:val="en-GB" w:eastAsia="ja-JP"/>
        </w:rPr>
        <w:t>come</w:t>
      </w:r>
      <w:r w:rsidR="008615D2" w:rsidRPr="008615D2">
        <w:rPr>
          <w:rFonts w:ascii="Times New Roman" w:eastAsia="SimSun" w:hAnsi="Times New Roman"/>
          <w:sz w:val="20"/>
          <w:szCs w:val="20"/>
          <w:lang w:val="en-GB" w:eastAsia="ja-JP"/>
        </w:rPr>
        <w:t xml:space="preserve"> = {a, b, c, d, e, f, g, h</w:t>
      </w:r>
      <w:r w:rsidR="008615D2">
        <w:rPr>
          <w:rFonts w:ascii="Times New Roman" w:eastAsia="SimSun" w:hAnsi="Times New Roman"/>
          <w:sz w:val="20"/>
          <w:szCs w:val="20"/>
          <w:lang w:val="en-GB" w:eastAsia="ja-JP"/>
        </w:rPr>
        <w:t>, i, j</w:t>
      </w:r>
      <w:r w:rsidR="008615D2" w:rsidRPr="008615D2">
        <w:rPr>
          <w:rFonts w:ascii="Times New Roman" w:eastAsia="SimSun" w:hAnsi="Times New Roman"/>
          <w:sz w:val="20"/>
          <w:szCs w:val="20"/>
          <w:lang w:val="en-GB" w:eastAsia="ja-JP"/>
        </w:rPr>
        <w:t>}</w:t>
      </w:r>
      <w:r w:rsidR="008615D2">
        <w:rPr>
          <w:rFonts w:ascii="Times New Roman" w:eastAsia="SimSun" w:hAnsi="Times New Roman"/>
          <w:sz w:val="20"/>
          <w:szCs w:val="20"/>
          <w:lang w:val="en-GB" w:eastAsia="ja-JP"/>
        </w:rPr>
        <w:t>.</w:t>
      </w:r>
    </w:p>
    <w:p w14:paraId="23C86872" w14:textId="7DBFE798" w:rsidR="00424B8D" w:rsidRDefault="00424B8D" w:rsidP="00424B8D">
      <w:pPr>
        <w:pStyle w:val="ListParagraph"/>
        <w:numPr>
          <w:ilvl w:val="0"/>
          <w:numId w:val="37"/>
        </w:numPr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>
        <w:rPr>
          <w:rFonts w:ascii="Times New Roman" w:eastAsia="SimSun" w:hAnsi="Times New Roman"/>
          <w:sz w:val="20"/>
          <w:szCs w:val="20"/>
          <w:lang w:val="en-GB" w:eastAsia="ja-JP"/>
        </w:rPr>
        <w:t xml:space="preserve">The joint encoding solution will require: </w:t>
      </w:r>
      <w:r w:rsidR="008615D2">
        <w:rPr>
          <w:rFonts w:ascii="Times New Roman" w:eastAsia="SimSun" w:hAnsi="Times New Roman"/>
          <w:sz w:val="20"/>
          <w:szCs w:val="20"/>
          <w:lang w:val="en-GB" w:eastAsia="ja-JP"/>
        </w:rPr>
        <w:t>10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 xml:space="preserve"> </w:t>
      </w:r>
      <w:r w:rsidRPr="00C04D72">
        <w:rPr>
          <w:rFonts w:ascii="Times New Roman" w:eastAsia="SimSun" w:hAnsi="Times New Roman"/>
          <w:sz w:val="20"/>
          <w:szCs w:val="20"/>
          <w:lang w:val="en-GB" w:eastAsia="ja-JP"/>
        </w:rPr>
        <w:t>+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 xml:space="preserve"> </w:t>
      </w:r>
      <w:r w:rsidRPr="00C04D72">
        <w:rPr>
          <w:rFonts w:ascii="Times New Roman" w:eastAsia="SimSun" w:hAnsi="Times New Roman"/>
          <w:sz w:val="20"/>
          <w:szCs w:val="20"/>
          <w:lang w:val="en-GB" w:eastAsia="ja-JP"/>
        </w:rPr>
        <w:t>1</w:t>
      </w:r>
      <w:r w:rsidR="008615D2">
        <w:rPr>
          <w:rFonts w:ascii="Times New Roman" w:eastAsia="SimSun" w:hAnsi="Times New Roman"/>
          <w:sz w:val="20"/>
          <w:szCs w:val="20"/>
          <w:lang w:val="en-GB" w:eastAsia="ja-JP"/>
        </w:rPr>
        <w:t>0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 xml:space="preserve"> </w:t>
      </w:r>
      <w:r w:rsidRPr="00C04D72">
        <w:rPr>
          <w:rFonts w:ascii="Times New Roman" w:eastAsia="SimSun" w:hAnsi="Times New Roman"/>
          <w:sz w:val="20"/>
          <w:szCs w:val="20"/>
          <w:lang w:val="en-GB" w:eastAsia="ja-JP"/>
        </w:rPr>
        <w:t>+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 xml:space="preserve"> </w:t>
      </w:r>
      <w:r w:rsidRPr="00C04D72">
        <w:rPr>
          <w:rFonts w:ascii="Times New Roman" w:eastAsia="SimSun" w:hAnsi="Times New Roman"/>
          <w:sz w:val="20"/>
          <w:szCs w:val="20"/>
          <w:lang w:val="en-GB" w:eastAsia="ja-JP"/>
        </w:rPr>
        <w:t>1</w:t>
      </w:r>
      <w:r w:rsidR="008615D2">
        <w:rPr>
          <w:rFonts w:ascii="Times New Roman" w:eastAsia="SimSun" w:hAnsi="Times New Roman"/>
          <w:sz w:val="20"/>
          <w:szCs w:val="20"/>
          <w:lang w:val="en-GB" w:eastAsia="ja-JP"/>
        </w:rPr>
        <w:t>0</w:t>
      </w:r>
      <w:r w:rsidRPr="00C04D72">
        <w:rPr>
          <w:rFonts w:ascii="Times New Roman" w:eastAsia="SimSun" w:hAnsi="Times New Roman"/>
          <w:sz w:val="20"/>
          <w:szCs w:val="20"/>
          <w:lang w:val="en-GB" w:eastAsia="ja-JP"/>
        </w:rPr>
        <w:t xml:space="preserve"> = </w:t>
      </w:r>
      <w:r w:rsidR="008615D2">
        <w:rPr>
          <w:rFonts w:ascii="Times New Roman" w:eastAsia="SimSun" w:hAnsi="Times New Roman"/>
          <w:sz w:val="20"/>
          <w:szCs w:val="20"/>
          <w:lang w:val="en-GB" w:eastAsia="ja-JP"/>
        </w:rPr>
        <w:t>30</w:t>
      </w:r>
      <w:r w:rsidRPr="00C04D72">
        <w:rPr>
          <w:rFonts w:ascii="Times New Roman" w:eastAsia="SimSun" w:hAnsi="Times New Roman"/>
          <w:sz w:val="20"/>
          <w:szCs w:val="20"/>
          <w:lang w:val="en-GB" w:eastAsia="ja-JP"/>
        </w:rPr>
        <w:t xml:space="preserve"> states, meaning that we will need </w:t>
      </w:r>
      <w:r w:rsidR="008615D2">
        <w:rPr>
          <w:rFonts w:ascii="Times New Roman" w:eastAsia="SimSun" w:hAnsi="Times New Roman"/>
          <w:sz w:val="20"/>
          <w:szCs w:val="20"/>
          <w:lang w:val="en-GB" w:eastAsia="ja-JP"/>
        </w:rPr>
        <w:t>5</w:t>
      </w:r>
      <w:r w:rsidRPr="00C04D72">
        <w:rPr>
          <w:rFonts w:ascii="Times New Roman" w:eastAsia="SimSun" w:hAnsi="Times New Roman"/>
          <w:sz w:val="20"/>
          <w:szCs w:val="20"/>
          <w:lang w:val="en-GB" w:eastAsia="ja-JP"/>
        </w:rPr>
        <w:t>-bits for a fully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 xml:space="preserve"> </w:t>
      </w:r>
      <w:r w:rsidRPr="00C04D72">
        <w:rPr>
          <w:rFonts w:ascii="Times New Roman" w:eastAsia="SimSun" w:hAnsi="Times New Roman"/>
          <w:sz w:val="20"/>
          <w:szCs w:val="20"/>
          <w:lang w:val="en-GB" w:eastAsia="ja-JP"/>
        </w:rPr>
        <w:t>flexible joint-encoding solution</w:t>
      </w:r>
    </w:p>
    <w:p w14:paraId="2F2AC88E" w14:textId="46895341" w:rsidR="001620D1" w:rsidRPr="005E6E8D" w:rsidRDefault="00424B8D" w:rsidP="001620D1">
      <w:pPr>
        <w:pStyle w:val="ListParagraph"/>
        <w:numPr>
          <w:ilvl w:val="0"/>
          <w:numId w:val="37"/>
        </w:numPr>
        <w:jc w:val="both"/>
        <w:rPr>
          <w:rFonts w:ascii="Times New Roman" w:eastAsia="SimSun" w:hAnsi="Times New Roman"/>
          <w:sz w:val="20"/>
          <w:szCs w:val="20"/>
          <w:lang w:val="en-GB" w:eastAsia="ja-JP"/>
        </w:rPr>
      </w:pPr>
      <w:r>
        <w:rPr>
          <w:rFonts w:ascii="Times New Roman" w:eastAsia="SimSun" w:hAnsi="Times New Roman"/>
          <w:sz w:val="20"/>
          <w:szCs w:val="20"/>
          <w:lang w:val="en-GB" w:eastAsia="ja-JP"/>
        </w:rPr>
        <w:t xml:space="preserve">Total Number of bits if </w:t>
      </w:r>
      <w:r w:rsidR="007B7CF2">
        <w:rPr>
          <w:rFonts w:ascii="Times New Roman" w:eastAsia="SimSun" w:hAnsi="Times New Roman"/>
          <w:sz w:val="20"/>
          <w:szCs w:val="20"/>
          <w:lang w:val="en-GB" w:eastAsia="ja-JP"/>
        </w:rPr>
        <w:t>a joint encoding solution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 xml:space="preserve"> </w:t>
      </w:r>
      <w:r w:rsidR="00BF5568">
        <w:rPr>
          <w:rFonts w:ascii="Times New Roman" w:eastAsia="SimSun" w:hAnsi="Times New Roman"/>
          <w:sz w:val="20"/>
          <w:szCs w:val="20"/>
          <w:lang w:val="en-GB" w:eastAsia="ja-JP"/>
        </w:rPr>
        <w:t xml:space="preserve">in DCI 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 xml:space="preserve">were used: </w:t>
      </w:r>
      <w:r w:rsidR="002C75F2">
        <w:rPr>
          <w:rFonts w:ascii="Times New Roman" w:eastAsia="SimSun" w:hAnsi="Times New Roman"/>
          <w:sz w:val="20"/>
          <w:szCs w:val="20"/>
          <w:lang w:val="en-GB" w:eastAsia="ja-JP"/>
        </w:rPr>
        <w:t>5</w:t>
      </w:r>
      <w:r>
        <w:rPr>
          <w:rFonts w:ascii="Times New Roman" w:eastAsia="SimSun" w:hAnsi="Times New Roman"/>
          <w:sz w:val="20"/>
          <w:szCs w:val="20"/>
          <w:lang w:val="en-GB" w:eastAsia="ja-JP"/>
        </w:rPr>
        <w:t xml:space="preserve"> bits.</w:t>
      </w:r>
    </w:p>
    <w:p w14:paraId="4EB30C14" w14:textId="18D92DFF" w:rsidR="00121E65" w:rsidRPr="00B416A6" w:rsidRDefault="00121E65" w:rsidP="00121E65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lastRenderedPageBreak/>
        <w:t>Potential Agreement</w:t>
      </w:r>
      <w:r w:rsidR="00ED0B2F">
        <w:rPr>
          <w:b/>
          <w:bCs/>
          <w:highlight w:val="yellow"/>
        </w:rPr>
        <w:t xml:space="preserve"> 1</w:t>
      </w:r>
      <w:r w:rsidRPr="005D7B90">
        <w:rPr>
          <w:b/>
          <w:bCs/>
          <w:highlight w:val="yellow"/>
        </w:rPr>
        <w:t>:</w:t>
      </w:r>
    </w:p>
    <w:p w14:paraId="0582C9CC" w14:textId="13C1A222" w:rsidR="00121E65" w:rsidRDefault="009B6C77" w:rsidP="002C75F2">
      <w:pPr>
        <w:keepNext/>
        <w:keepLines/>
        <w:jc w:val="both"/>
        <w:rPr>
          <w:rFonts w:eastAsia="Calibri"/>
          <w:b/>
          <w:bCs/>
          <w:lang w:val="en-US" w:eastAsia="en-US"/>
        </w:rPr>
      </w:pPr>
      <w:r w:rsidRPr="009B6C77">
        <w:rPr>
          <w:rFonts w:eastAsia="Calibri"/>
          <w:b/>
          <w:bCs/>
          <w:lang w:val="en-US" w:eastAsia="en-US"/>
        </w:rPr>
        <w:t xml:space="preserve">The following aspects will be considered </w:t>
      </w:r>
      <w:r w:rsidR="00AF6F9F">
        <w:rPr>
          <w:rFonts w:eastAsia="Calibri"/>
          <w:b/>
          <w:bCs/>
          <w:lang w:val="en-US" w:eastAsia="en-US"/>
        </w:rPr>
        <w:t>towards selecting in RAN1# 106-e</w:t>
      </w:r>
      <w:r>
        <w:rPr>
          <w:rFonts w:eastAsia="Calibri"/>
          <w:b/>
          <w:bCs/>
          <w:lang w:val="en-US" w:eastAsia="en-US"/>
        </w:rPr>
        <w:t xml:space="preserve"> the DCI designs </w:t>
      </w:r>
      <w:r w:rsidR="00AF6F9F">
        <w:rPr>
          <w:rFonts w:eastAsia="Calibri"/>
          <w:b/>
          <w:bCs/>
          <w:lang w:val="en-US" w:eastAsia="en-US"/>
        </w:rPr>
        <w:t>for</w:t>
      </w:r>
      <w:r>
        <w:rPr>
          <w:rFonts w:eastAsia="Calibri"/>
          <w:b/>
          <w:bCs/>
          <w:lang w:val="en-US" w:eastAsia="en-US"/>
        </w:rPr>
        <w:t xml:space="preserve"> the PDSCH Scheduling delay and HARQ-ACK delay</w:t>
      </w:r>
      <w:r w:rsidR="00AF6F9F">
        <w:rPr>
          <w:rFonts w:eastAsia="Calibri"/>
          <w:b/>
          <w:bCs/>
          <w:lang w:val="en-US" w:eastAsia="en-US"/>
        </w:rPr>
        <w:t xml:space="preserve"> solutions</w:t>
      </w:r>
      <w:r>
        <w:rPr>
          <w:rFonts w:eastAsia="Calibri"/>
          <w:b/>
          <w:bCs/>
          <w:lang w:val="en-US" w:eastAsia="en-US"/>
        </w:rPr>
        <w:t>:</w:t>
      </w:r>
    </w:p>
    <w:p w14:paraId="7D667673" w14:textId="51152083" w:rsidR="009B6C77" w:rsidRPr="009B6C77" w:rsidRDefault="005E6E8D" w:rsidP="009B6C77">
      <w:pPr>
        <w:pStyle w:val="ListParagraph"/>
        <w:keepNext/>
        <w:keepLines/>
        <w:numPr>
          <w:ilvl w:val="0"/>
          <w:numId w:val="39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For the </w:t>
      </w:r>
      <w:r w:rsidR="009B6C77" w:rsidRPr="009B6C77">
        <w:rPr>
          <w:rFonts w:ascii="Times New Roman" w:hAnsi="Times New Roman"/>
          <w:b/>
          <w:bCs/>
          <w:sz w:val="20"/>
          <w:szCs w:val="20"/>
          <w:lang w:val="en-US"/>
        </w:rPr>
        <w:t xml:space="preserve">PDSCH Scheduling delay solution used along with </w:t>
      </w:r>
      <w:r w:rsidR="005A71DC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9B6C77" w:rsidRPr="009B6C77">
        <w:rPr>
          <w:rFonts w:ascii="Times New Roman" w:hAnsi="Times New Roman"/>
          <w:b/>
          <w:bCs/>
          <w:sz w:val="20"/>
          <w:szCs w:val="20"/>
          <w:lang w:val="en-US"/>
        </w:rPr>
        <w:t xml:space="preserve">Alt-1 </w:t>
      </w:r>
      <w:r w:rsidR="005A71DC" w:rsidRPr="009B6C77">
        <w:rPr>
          <w:rFonts w:ascii="Times New Roman" w:hAnsi="Times New Roman"/>
          <w:b/>
          <w:bCs/>
          <w:sz w:val="20"/>
          <w:szCs w:val="20"/>
          <w:lang w:val="en-US"/>
        </w:rPr>
        <w:t>for full flexibility</w:t>
      </w:r>
      <w:r w:rsidR="005A71DC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5A71DC" w:rsidRPr="009B6C77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9B6C77" w:rsidRPr="009B6C77">
        <w:rPr>
          <w:rFonts w:ascii="Times New Roman" w:hAnsi="Times New Roman"/>
          <w:b/>
          <w:bCs/>
          <w:sz w:val="20"/>
          <w:szCs w:val="20"/>
          <w:lang w:val="en-US"/>
        </w:rPr>
        <w:t>configured via RRC as the HARQ-ACK delay solution</w:t>
      </w:r>
      <w:r w:rsidR="005A71DC">
        <w:rPr>
          <w:rFonts w:ascii="Times New Roman" w:hAnsi="Times New Roman"/>
          <w:b/>
          <w:bCs/>
          <w:sz w:val="20"/>
          <w:szCs w:val="20"/>
          <w:lang w:val="en-US"/>
        </w:rPr>
        <w:t>:</w:t>
      </w:r>
    </w:p>
    <w:p w14:paraId="608D4DB7" w14:textId="77777777" w:rsidR="009B6C77" w:rsidRPr="009B6C77" w:rsidRDefault="009B6C77" w:rsidP="009B6C77">
      <w:pPr>
        <w:pStyle w:val="ListParagraph"/>
        <w:keepNext/>
        <w:keepLines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0B97CD63" w14:textId="02504672" w:rsidR="00C916AF" w:rsidRPr="009B6C77" w:rsidRDefault="00C916AF" w:rsidP="00C916AF">
      <w:pPr>
        <w:pStyle w:val="ListParagraph"/>
        <w:keepNext/>
        <w:keepLines/>
        <w:numPr>
          <w:ilvl w:val="1"/>
          <w:numId w:val="39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9B6C77">
        <w:rPr>
          <w:rFonts w:ascii="Times New Roman" w:hAnsi="Times New Roman"/>
          <w:b/>
          <w:bCs/>
          <w:sz w:val="20"/>
          <w:szCs w:val="20"/>
          <w:lang w:val="en-US"/>
        </w:rPr>
        <w:t xml:space="preserve">DCI designs </w:t>
      </w:r>
      <w:r w:rsidR="00555BF4">
        <w:rPr>
          <w:rFonts w:ascii="Times New Roman" w:hAnsi="Times New Roman"/>
          <w:b/>
          <w:bCs/>
          <w:sz w:val="20"/>
          <w:szCs w:val="20"/>
          <w:lang w:val="en-US"/>
        </w:rPr>
        <w:t xml:space="preserve">for </w:t>
      </w:r>
      <w:r w:rsidR="00555BF4" w:rsidRPr="009B6C77">
        <w:rPr>
          <w:rFonts w:ascii="Times New Roman" w:hAnsi="Times New Roman"/>
          <w:b/>
          <w:bCs/>
          <w:sz w:val="20"/>
          <w:szCs w:val="20"/>
          <w:lang w:val="en-US"/>
        </w:rPr>
        <w:t xml:space="preserve">the “PDSCH Scheduling delay” and </w:t>
      </w:r>
      <w:r w:rsidR="00555BF4">
        <w:rPr>
          <w:rFonts w:ascii="Times New Roman" w:hAnsi="Times New Roman"/>
          <w:b/>
          <w:bCs/>
          <w:sz w:val="20"/>
          <w:szCs w:val="20"/>
          <w:lang w:val="en-US"/>
        </w:rPr>
        <w:t xml:space="preserve">the </w:t>
      </w:r>
      <w:r w:rsidR="00555BF4" w:rsidRPr="009B6C77">
        <w:rPr>
          <w:rFonts w:ascii="Times New Roman" w:hAnsi="Times New Roman"/>
          <w:b/>
          <w:bCs/>
          <w:sz w:val="20"/>
          <w:szCs w:val="20"/>
          <w:lang w:val="en-US"/>
        </w:rPr>
        <w:t xml:space="preserve">“HARQ-ACK delay” </w:t>
      </w:r>
      <w:r w:rsidRPr="009B6C77">
        <w:rPr>
          <w:rFonts w:ascii="Times New Roman" w:hAnsi="Times New Roman"/>
          <w:b/>
          <w:bCs/>
          <w:sz w:val="20"/>
          <w:szCs w:val="20"/>
          <w:lang w:val="en-US"/>
        </w:rPr>
        <w:t>using</w:t>
      </w:r>
      <w:r w:rsidR="00555BF4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9B6C77">
        <w:rPr>
          <w:rFonts w:ascii="Times New Roman" w:hAnsi="Times New Roman"/>
          <w:b/>
          <w:bCs/>
          <w:sz w:val="20"/>
          <w:szCs w:val="20"/>
          <w:lang w:val="en-US"/>
        </w:rPr>
        <w:t xml:space="preserve">independent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DCI </w:t>
      </w:r>
      <w:r w:rsidRPr="009B6C77">
        <w:rPr>
          <w:rFonts w:ascii="Times New Roman" w:hAnsi="Times New Roman"/>
          <w:b/>
          <w:bCs/>
          <w:sz w:val="20"/>
          <w:szCs w:val="20"/>
          <w:lang w:val="en-US"/>
        </w:rPr>
        <w:t>fields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 and joint encoding</w:t>
      </w:r>
      <w:r w:rsidRPr="009B6C77">
        <w:rPr>
          <w:rFonts w:ascii="Times New Roman" w:hAnsi="Times New Roman"/>
          <w:b/>
          <w:bCs/>
          <w:sz w:val="20"/>
          <w:szCs w:val="20"/>
          <w:lang w:val="en-US"/>
        </w:rPr>
        <w:t xml:space="preserve"> are considered.</w:t>
      </w:r>
    </w:p>
    <w:p w14:paraId="75002200" w14:textId="50FCD99F" w:rsidR="009B6C77" w:rsidRPr="009B6C77" w:rsidRDefault="009B6C77" w:rsidP="005A71DC">
      <w:pPr>
        <w:pStyle w:val="ListParagraph"/>
        <w:keepNext/>
        <w:keepLines/>
        <w:numPr>
          <w:ilvl w:val="2"/>
          <w:numId w:val="39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9B6C77">
        <w:rPr>
          <w:rFonts w:ascii="Times New Roman" w:hAnsi="Times New Roman"/>
          <w:b/>
          <w:bCs/>
          <w:sz w:val="20"/>
          <w:szCs w:val="20"/>
          <w:lang w:val="en-US"/>
        </w:rPr>
        <w:t>PDSCH scheduling delay: The 3 different expressions</w:t>
      </w:r>
      <w:r w:rsidR="005A71DC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813CCA">
        <w:rPr>
          <w:rFonts w:ascii="Times New Roman" w:hAnsi="Times New Roman"/>
          <w:b/>
          <w:bCs/>
          <w:sz w:val="20"/>
          <w:szCs w:val="20"/>
          <w:lang w:val="en-US"/>
        </w:rPr>
        <w:t>as agreed in RAN1# 103-e</w:t>
      </w:r>
      <w:r w:rsidR="00102536">
        <w:rPr>
          <w:rFonts w:ascii="Times New Roman" w:hAnsi="Times New Roman"/>
          <w:b/>
          <w:bCs/>
          <w:sz w:val="20"/>
          <w:szCs w:val="20"/>
          <w:lang w:val="en-US"/>
        </w:rPr>
        <w:t xml:space="preserve"> shall be</w:t>
      </w:r>
      <w:r w:rsidR="005A71DC">
        <w:rPr>
          <w:rFonts w:ascii="Times New Roman" w:hAnsi="Times New Roman"/>
          <w:b/>
          <w:bCs/>
          <w:sz w:val="20"/>
          <w:szCs w:val="20"/>
          <w:lang w:val="en-US"/>
        </w:rPr>
        <w:t xml:space="preserve"> consider</w:t>
      </w:r>
      <w:r w:rsidR="00102536">
        <w:rPr>
          <w:rFonts w:ascii="Times New Roman" w:hAnsi="Times New Roman"/>
          <w:b/>
          <w:bCs/>
          <w:sz w:val="20"/>
          <w:szCs w:val="20"/>
          <w:lang w:val="en-US"/>
        </w:rPr>
        <w:t>ed</w:t>
      </w:r>
      <w:r w:rsidRPr="009B6C77">
        <w:rPr>
          <w:rFonts w:ascii="Times New Roman" w:hAnsi="Times New Roman"/>
          <w:b/>
          <w:bCs/>
          <w:sz w:val="20"/>
          <w:szCs w:val="20"/>
          <w:lang w:val="en-US"/>
        </w:rPr>
        <w:t>.</w:t>
      </w:r>
    </w:p>
    <w:p w14:paraId="21254EE4" w14:textId="6BC6FA6B" w:rsidR="009B6C77" w:rsidRPr="005E6E8D" w:rsidRDefault="009B6C77" w:rsidP="005A71DC">
      <w:pPr>
        <w:pStyle w:val="ListParagraph"/>
        <w:keepNext/>
        <w:keepLines/>
        <w:numPr>
          <w:ilvl w:val="2"/>
          <w:numId w:val="39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9B6C77">
        <w:rPr>
          <w:rFonts w:ascii="Times New Roman" w:hAnsi="Times New Roman"/>
          <w:b/>
          <w:bCs/>
          <w:sz w:val="20"/>
          <w:szCs w:val="20"/>
          <w:lang w:val="en-US"/>
        </w:rPr>
        <w:t>HARQ-ACK delay using “Alt-1 for full flexibility”: T</w:t>
      </w:r>
      <w:r w:rsidR="005E6E8D">
        <w:rPr>
          <w:rFonts w:ascii="Times New Roman" w:hAnsi="Times New Roman"/>
          <w:b/>
          <w:bCs/>
          <w:sz w:val="20"/>
          <w:szCs w:val="20"/>
          <w:lang w:val="en-US"/>
        </w:rPr>
        <w:t xml:space="preserve">he structure of the expression is </w:t>
      </w:r>
      <w:r w:rsidR="005E6E8D" w:rsidRPr="005E6E8D">
        <w:rPr>
          <w:rFonts w:ascii="Times New Roman" w:hAnsi="Times New Roman"/>
          <w:b/>
          <w:bCs/>
          <w:sz w:val="20"/>
          <w:szCs w:val="20"/>
          <w:lang w:val="en-US"/>
        </w:rPr>
        <w:t>(y) BL/CE DL subframe + 1 subframe + (z) BL/CE UL subframes</w:t>
      </w:r>
      <w:r w:rsidR="005E6E8D">
        <w:rPr>
          <w:rFonts w:ascii="Times New Roman" w:hAnsi="Times New Roman"/>
          <w:b/>
          <w:bCs/>
          <w:sz w:val="20"/>
          <w:szCs w:val="20"/>
          <w:lang w:val="en-US"/>
        </w:rPr>
        <w:t>, where t</w:t>
      </w:r>
      <w:r w:rsidRPr="005E6E8D">
        <w:rPr>
          <w:rFonts w:ascii="Times New Roman" w:hAnsi="Times New Roman"/>
          <w:b/>
          <w:bCs/>
          <w:sz w:val="20"/>
          <w:szCs w:val="20"/>
          <w:lang w:val="en-US"/>
        </w:rPr>
        <w:t>here are 12 values</w:t>
      </w:r>
      <w:r w:rsidR="005E6E8D">
        <w:rPr>
          <w:rFonts w:ascii="Times New Roman" w:hAnsi="Times New Roman"/>
          <w:b/>
          <w:bCs/>
          <w:sz w:val="20"/>
          <w:szCs w:val="20"/>
          <w:lang w:val="en-US"/>
        </w:rPr>
        <w:t xml:space="preserve"> (i.e., y = {0, 1, 2, … 11})</w:t>
      </w:r>
      <w:r w:rsidRPr="005E6E8D">
        <w:rPr>
          <w:rFonts w:ascii="Times New Roman" w:hAnsi="Times New Roman"/>
          <w:b/>
          <w:bCs/>
          <w:sz w:val="20"/>
          <w:szCs w:val="20"/>
          <w:lang w:val="en-US"/>
        </w:rPr>
        <w:t xml:space="preserve"> for </w:t>
      </w:r>
      <w:r w:rsidR="00C04FFB" w:rsidRPr="005E6E8D">
        <w:rPr>
          <w:rFonts w:ascii="Times New Roman" w:hAnsi="Times New Roman"/>
          <w:b/>
          <w:bCs/>
          <w:sz w:val="20"/>
          <w:szCs w:val="20"/>
          <w:lang w:val="en-US"/>
        </w:rPr>
        <w:t xml:space="preserve">the variable associated to the </w:t>
      </w:r>
      <w:r w:rsidR="005E6E8D" w:rsidRPr="005E6E8D">
        <w:rPr>
          <w:rFonts w:ascii="Times New Roman" w:hAnsi="Times New Roman"/>
          <w:b/>
          <w:bCs/>
          <w:sz w:val="20"/>
          <w:szCs w:val="20"/>
          <w:lang w:val="en-US"/>
        </w:rPr>
        <w:t xml:space="preserve">term </w:t>
      </w:r>
      <w:r w:rsidR="00C04FFB" w:rsidRPr="005E6E8D">
        <w:rPr>
          <w:rFonts w:ascii="Times New Roman" w:hAnsi="Times New Roman"/>
          <w:b/>
          <w:bCs/>
          <w:sz w:val="20"/>
          <w:szCs w:val="20"/>
          <w:lang w:val="en-US"/>
        </w:rPr>
        <w:t xml:space="preserve">BL/CE DL subframe </w:t>
      </w:r>
      <w:r w:rsidRPr="005E6E8D">
        <w:rPr>
          <w:rFonts w:ascii="Times New Roman" w:hAnsi="Times New Roman"/>
          <w:b/>
          <w:bCs/>
          <w:sz w:val="20"/>
          <w:szCs w:val="20"/>
          <w:lang w:val="en-US"/>
        </w:rPr>
        <w:t xml:space="preserve">and 3 values </w:t>
      </w:r>
      <w:r w:rsidR="005E6E8D">
        <w:rPr>
          <w:rFonts w:ascii="Times New Roman" w:hAnsi="Times New Roman"/>
          <w:b/>
          <w:bCs/>
          <w:sz w:val="20"/>
          <w:szCs w:val="20"/>
          <w:lang w:val="en-US"/>
        </w:rPr>
        <w:t xml:space="preserve">(i.e., z = {1, 2, 3}) </w:t>
      </w:r>
      <w:r w:rsidRPr="005E6E8D">
        <w:rPr>
          <w:rFonts w:ascii="Times New Roman" w:hAnsi="Times New Roman"/>
          <w:b/>
          <w:bCs/>
          <w:sz w:val="20"/>
          <w:szCs w:val="20"/>
          <w:lang w:val="en-US"/>
        </w:rPr>
        <w:t xml:space="preserve">for </w:t>
      </w:r>
      <w:r w:rsidR="00C04FFB" w:rsidRPr="005E6E8D">
        <w:rPr>
          <w:rFonts w:ascii="Times New Roman" w:hAnsi="Times New Roman"/>
          <w:b/>
          <w:bCs/>
          <w:sz w:val="20"/>
          <w:szCs w:val="20"/>
          <w:lang w:val="en-US"/>
        </w:rPr>
        <w:t xml:space="preserve">the variable associated to the </w:t>
      </w:r>
      <w:r w:rsidR="005E6E8D" w:rsidRPr="005E6E8D">
        <w:rPr>
          <w:rFonts w:ascii="Times New Roman" w:hAnsi="Times New Roman"/>
          <w:b/>
          <w:bCs/>
          <w:sz w:val="20"/>
          <w:szCs w:val="20"/>
          <w:lang w:val="en-US"/>
        </w:rPr>
        <w:t xml:space="preserve">term </w:t>
      </w:r>
      <w:r w:rsidR="00C04FFB" w:rsidRPr="005E6E8D">
        <w:rPr>
          <w:rFonts w:ascii="Times New Roman" w:hAnsi="Times New Roman"/>
          <w:b/>
          <w:bCs/>
          <w:sz w:val="20"/>
          <w:szCs w:val="20"/>
          <w:lang w:val="en-US"/>
        </w:rPr>
        <w:t>BL/CE UL subframe</w:t>
      </w:r>
      <w:r w:rsidR="00102536">
        <w:rPr>
          <w:rFonts w:ascii="Times New Roman" w:hAnsi="Times New Roman"/>
          <w:b/>
          <w:bCs/>
          <w:sz w:val="20"/>
          <w:szCs w:val="20"/>
          <w:lang w:val="en-US"/>
        </w:rPr>
        <w:t>, which shall be considered</w:t>
      </w:r>
      <w:r w:rsidR="00C04FFB" w:rsidRPr="005E6E8D">
        <w:rPr>
          <w:rFonts w:ascii="Times New Roman" w:hAnsi="Times New Roman"/>
          <w:b/>
          <w:bCs/>
          <w:sz w:val="20"/>
          <w:szCs w:val="20"/>
          <w:lang w:val="en-US"/>
        </w:rPr>
        <w:t>.</w:t>
      </w:r>
    </w:p>
    <w:p w14:paraId="16FC1E72" w14:textId="77777777" w:rsidR="009B6C77" w:rsidRPr="009B6C77" w:rsidRDefault="009B6C77" w:rsidP="009B6C77">
      <w:pPr>
        <w:pStyle w:val="ListParagraph"/>
        <w:keepNext/>
        <w:keepLines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5A36430E" w14:textId="280369D1" w:rsidR="009B6C77" w:rsidRPr="009B6C77" w:rsidRDefault="005E6E8D" w:rsidP="009B6C77">
      <w:pPr>
        <w:pStyle w:val="ListParagraph"/>
        <w:keepNext/>
        <w:keepLines/>
        <w:numPr>
          <w:ilvl w:val="0"/>
          <w:numId w:val="39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For the </w:t>
      </w:r>
      <w:r w:rsidR="009B6C77" w:rsidRPr="009B6C77">
        <w:rPr>
          <w:rFonts w:ascii="Times New Roman" w:hAnsi="Times New Roman"/>
          <w:b/>
          <w:bCs/>
          <w:sz w:val="20"/>
          <w:szCs w:val="20"/>
          <w:lang w:val="en-US"/>
        </w:rPr>
        <w:t>PDSCH Scheduling delay solution used along with Alt-2e configured via RRC as the HARQ-ACK delay solution</w:t>
      </w:r>
      <w:r w:rsidR="00EB48FF">
        <w:rPr>
          <w:rFonts w:ascii="Times New Roman" w:hAnsi="Times New Roman"/>
          <w:b/>
          <w:bCs/>
          <w:sz w:val="20"/>
          <w:szCs w:val="20"/>
          <w:lang w:val="en-US"/>
        </w:rPr>
        <w:t>:</w:t>
      </w:r>
    </w:p>
    <w:p w14:paraId="1C00B9F8" w14:textId="77777777" w:rsidR="009B6C77" w:rsidRPr="009B6C77" w:rsidRDefault="009B6C77" w:rsidP="009B6C77">
      <w:pPr>
        <w:pStyle w:val="ListParagraph"/>
        <w:keepNext/>
        <w:keepLines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43A6E539" w14:textId="624C82B0" w:rsidR="00555BF4" w:rsidRPr="009B6C77" w:rsidRDefault="00555BF4" w:rsidP="00555BF4">
      <w:pPr>
        <w:pStyle w:val="ListParagraph"/>
        <w:keepNext/>
        <w:keepLines/>
        <w:numPr>
          <w:ilvl w:val="1"/>
          <w:numId w:val="39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9B6C77">
        <w:rPr>
          <w:rFonts w:ascii="Times New Roman" w:hAnsi="Times New Roman"/>
          <w:b/>
          <w:bCs/>
          <w:sz w:val="20"/>
          <w:szCs w:val="20"/>
          <w:lang w:val="en-US"/>
        </w:rPr>
        <w:t xml:space="preserve">DCI designs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for </w:t>
      </w:r>
      <w:r w:rsidRPr="009B6C77">
        <w:rPr>
          <w:rFonts w:ascii="Times New Roman" w:hAnsi="Times New Roman"/>
          <w:b/>
          <w:bCs/>
          <w:sz w:val="20"/>
          <w:szCs w:val="20"/>
          <w:lang w:val="en-US"/>
        </w:rPr>
        <w:t xml:space="preserve">the “PDSCH Scheduling delay” and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the </w:t>
      </w:r>
      <w:r w:rsidRPr="009B6C77">
        <w:rPr>
          <w:rFonts w:ascii="Times New Roman" w:hAnsi="Times New Roman"/>
          <w:b/>
          <w:bCs/>
          <w:sz w:val="20"/>
          <w:szCs w:val="20"/>
          <w:lang w:val="en-US"/>
        </w:rPr>
        <w:t>“HARQ-ACK delay” using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9B6C77">
        <w:rPr>
          <w:rFonts w:ascii="Times New Roman" w:hAnsi="Times New Roman"/>
          <w:b/>
          <w:bCs/>
          <w:sz w:val="20"/>
          <w:szCs w:val="20"/>
          <w:lang w:val="en-US"/>
        </w:rPr>
        <w:t xml:space="preserve">independent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DCI </w:t>
      </w:r>
      <w:r w:rsidRPr="009B6C77">
        <w:rPr>
          <w:rFonts w:ascii="Times New Roman" w:hAnsi="Times New Roman"/>
          <w:b/>
          <w:bCs/>
          <w:sz w:val="20"/>
          <w:szCs w:val="20"/>
          <w:lang w:val="en-US"/>
        </w:rPr>
        <w:t>fields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 and joint encoding</w:t>
      </w:r>
      <w:r w:rsidRPr="009B6C77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of</w:t>
      </w:r>
      <w:r w:rsidRPr="009B6C77">
        <w:rPr>
          <w:rFonts w:ascii="Times New Roman" w:hAnsi="Times New Roman"/>
          <w:b/>
          <w:bCs/>
          <w:sz w:val="20"/>
          <w:szCs w:val="20"/>
          <w:lang w:val="en-US"/>
        </w:rPr>
        <w:t xml:space="preserve"> are considered.</w:t>
      </w:r>
    </w:p>
    <w:p w14:paraId="396E9559" w14:textId="60BBE9EC" w:rsidR="009B6C77" w:rsidRPr="009B6C77" w:rsidRDefault="009B6C77" w:rsidP="00EB48FF">
      <w:pPr>
        <w:pStyle w:val="ListParagraph"/>
        <w:keepNext/>
        <w:keepLines/>
        <w:numPr>
          <w:ilvl w:val="2"/>
          <w:numId w:val="39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9B6C77">
        <w:rPr>
          <w:rFonts w:ascii="Times New Roman" w:hAnsi="Times New Roman"/>
          <w:b/>
          <w:bCs/>
          <w:sz w:val="20"/>
          <w:szCs w:val="20"/>
          <w:lang w:val="en-US"/>
        </w:rPr>
        <w:t>PDSCH scheduling delay: The 3 different expressions</w:t>
      </w:r>
      <w:r w:rsidR="005A71DC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813CCA">
        <w:rPr>
          <w:rFonts w:ascii="Times New Roman" w:hAnsi="Times New Roman"/>
          <w:b/>
          <w:bCs/>
          <w:sz w:val="20"/>
          <w:szCs w:val="20"/>
          <w:lang w:val="en-US"/>
        </w:rPr>
        <w:t xml:space="preserve">as agreed in RAN1# 103-e </w:t>
      </w:r>
      <w:r w:rsidR="00102536">
        <w:rPr>
          <w:rFonts w:ascii="Times New Roman" w:hAnsi="Times New Roman"/>
          <w:b/>
          <w:bCs/>
          <w:sz w:val="20"/>
          <w:szCs w:val="20"/>
          <w:lang w:val="en-US"/>
        </w:rPr>
        <w:t>shall be</w:t>
      </w:r>
      <w:r w:rsidR="005A71DC">
        <w:rPr>
          <w:rFonts w:ascii="Times New Roman" w:hAnsi="Times New Roman"/>
          <w:b/>
          <w:bCs/>
          <w:sz w:val="20"/>
          <w:szCs w:val="20"/>
          <w:lang w:val="en-US"/>
        </w:rPr>
        <w:t xml:space="preserve"> consider</w:t>
      </w:r>
      <w:r w:rsidR="00102536">
        <w:rPr>
          <w:rFonts w:ascii="Times New Roman" w:hAnsi="Times New Roman"/>
          <w:b/>
          <w:bCs/>
          <w:sz w:val="20"/>
          <w:szCs w:val="20"/>
          <w:lang w:val="en-US"/>
        </w:rPr>
        <w:t>ed</w:t>
      </w:r>
      <w:r w:rsidRPr="009B6C77">
        <w:rPr>
          <w:rFonts w:ascii="Times New Roman" w:hAnsi="Times New Roman"/>
          <w:b/>
          <w:bCs/>
          <w:sz w:val="20"/>
          <w:szCs w:val="20"/>
          <w:lang w:val="en-US"/>
        </w:rPr>
        <w:t>.</w:t>
      </w:r>
    </w:p>
    <w:p w14:paraId="5B3F9AB2" w14:textId="274674FD" w:rsidR="009B6C77" w:rsidRPr="009B6C77" w:rsidRDefault="009B6C77" w:rsidP="00EB48FF">
      <w:pPr>
        <w:pStyle w:val="ListParagraph"/>
        <w:keepNext/>
        <w:keepLines/>
        <w:numPr>
          <w:ilvl w:val="2"/>
          <w:numId w:val="39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9B6C77">
        <w:rPr>
          <w:rFonts w:ascii="Times New Roman" w:hAnsi="Times New Roman"/>
          <w:b/>
          <w:bCs/>
          <w:sz w:val="20"/>
          <w:szCs w:val="20"/>
          <w:lang w:val="en-US"/>
        </w:rPr>
        <w:t>HARQ-ACK delay using “Alt-</w:t>
      </w:r>
      <w:r w:rsidR="005E6E8D">
        <w:rPr>
          <w:rFonts w:ascii="Times New Roman" w:hAnsi="Times New Roman"/>
          <w:b/>
          <w:bCs/>
          <w:sz w:val="20"/>
          <w:szCs w:val="20"/>
          <w:lang w:val="en-US"/>
        </w:rPr>
        <w:t>2</w:t>
      </w:r>
      <w:r w:rsidR="00C916AF">
        <w:rPr>
          <w:rFonts w:ascii="Times New Roman" w:hAnsi="Times New Roman"/>
          <w:b/>
          <w:bCs/>
          <w:sz w:val="20"/>
          <w:szCs w:val="20"/>
          <w:lang w:val="en-US"/>
        </w:rPr>
        <w:t>-e</w:t>
      </w:r>
      <w:r w:rsidRPr="009B6C77">
        <w:rPr>
          <w:rFonts w:ascii="Times New Roman" w:hAnsi="Times New Roman"/>
          <w:b/>
          <w:bCs/>
          <w:sz w:val="20"/>
          <w:szCs w:val="20"/>
          <w:lang w:val="en-US"/>
        </w:rPr>
        <w:t xml:space="preserve">”: </w:t>
      </w:r>
      <w:r w:rsidR="00C916AF">
        <w:rPr>
          <w:rFonts w:ascii="Times New Roman" w:hAnsi="Times New Roman"/>
          <w:b/>
          <w:bCs/>
          <w:sz w:val="20"/>
          <w:szCs w:val="20"/>
          <w:lang w:val="en-US"/>
        </w:rPr>
        <w:t xml:space="preserve">The minimum of 8 delay values in </w:t>
      </w:r>
      <w:r w:rsidR="00AF6F9F">
        <w:rPr>
          <w:rFonts w:ascii="Times New Roman" w:hAnsi="Times New Roman"/>
          <w:b/>
          <w:bCs/>
          <w:sz w:val="20"/>
          <w:szCs w:val="20"/>
          <w:lang w:val="en-US"/>
        </w:rPr>
        <w:t xml:space="preserve">the </w:t>
      </w:r>
      <w:r w:rsidR="00C916AF">
        <w:rPr>
          <w:rFonts w:ascii="Times New Roman" w:hAnsi="Times New Roman"/>
          <w:b/>
          <w:bCs/>
          <w:sz w:val="20"/>
          <w:szCs w:val="20"/>
          <w:lang w:val="en-US"/>
        </w:rPr>
        <w:t xml:space="preserve">HARQ-ACK delay set provided by </w:t>
      </w:r>
      <w:r w:rsidR="00C916AF" w:rsidRPr="00C916AF">
        <w:rPr>
          <w:rFonts w:ascii="Times New Roman" w:hAnsi="Times New Roman"/>
          <w:b/>
          <w:bCs/>
          <w:sz w:val="20"/>
          <w:szCs w:val="20"/>
          <w:lang w:val="en-US"/>
        </w:rPr>
        <w:t>Alt-2e: “3 bits (same as legacy)”</w:t>
      </w:r>
      <w:r w:rsidR="00C916AF">
        <w:rPr>
          <w:rFonts w:ascii="Times New Roman" w:hAnsi="Times New Roman"/>
          <w:b/>
          <w:bCs/>
          <w:sz w:val="20"/>
          <w:szCs w:val="20"/>
          <w:lang w:val="en-US"/>
        </w:rPr>
        <w:t xml:space="preserve"> can be increased </w:t>
      </w:r>
      <w:r w:rsidR="003A50BF">
        <w:rPr>
          <w:rFonts w:ascii="Times New Roman" w:hAnsi="Times New Roman"/>
          <w:b/>
          <w:bCs/>
          <w:sz w:val="20"/>
          <w:szCs w:val="20"/>
          <w:lang w:val="en-US"/>
        </w:rPr>
        <w:t xml:space="preserve">(e.g., to 10 or more delay values) </w:t>
      </w:r>
      <w:r w:rsidR="00C916AF">
        <w:rPr>
          <w:rFonts w:ascii="Times New Roman" w:hAnsi="Times New Roman"/>
          <w:b/>
          <w:bCs/>
          <w:sz w:val="20"/>
          <w:szCs w:val="20"/>
          <w:lang w:val="en-US"/>
        </w:rPr>
        <w:t xml:space="preserve">depending on the </w:t>
      </w:r>
      <w:r w:rsidR="00AF6F9F">
        <w:rPr>
          <w:rFonts w:ascii="Times New Roman" w:hAnsi="Times New Roman"/>
          <w:b/>
          <w:bCs/>
          <w:sz w:val="20"/>
          <w:szCs w:val="20"/>
          <w:lang w:val="en-US"/>
        </w:rPr>
        <w:t xml:space="preserve">total </w:t>
      </w:r>
      <w:r w:rsidR="00C916AF">
        <w:rPr>
          <w:rFonts w:ascii="Times New Roman" w:hAnsi="Times New Roman"/>
          <w:b/>
          <w:bCs/>
          <w:sz w:val="20"/>
          <w:szCs w:val="20"/>
          <w:lang w:val="en-US"/>
        </w:rPr>
        <w:t>number of bits used in case of a joint encoding solution.</w:t>
      </w:r>
    </w:p>
    <w:p w14:paraId="38A9AF63" w14:textId="77777777" w:rsidR="00FD4B11" w:rsidRPr="00FD4B11" w:rsidRDefault="00FD4B11" w:rsidP="00FD4B11">
      <w:pPr>
        <w:pStyle w:val="ListParagraph"/>
        <w:keepNext/>
        <w:keepLines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1785"/>
        <w:gridCol w:w="6228"/>
      </w:tblGrid>
      <w:tr w:rsidR="00174ABF" w14:paraId="091E9551" w14:textId="77777777" w:rsidTr="00055CA2">
        <w:tc>
          <w:tcPr>
            <w:tcW w:w="1616" w:type="dxa"/>
          </w:tcPr>
          <w:p w14:paraId="10812877" w14:textId="77777777" w:rsidR="00174ABF" w:rsidRDefault="00174ABF" w:rsidP="00D0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785" w:type="dxa"/>
          </w:tcPr>
          <w:p w14:paraId="45FA0BB0" w14:textId="5CDB4269" w:rsidR="00174ABF" w:rsidRDefault="00ED0B2F" w:rsidP="00D0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Agree?</w:t>
            </w:r>
          </w:p>
        </w:tc>
        <w:tc>
          <w:tcPr>
            <w:tcW w:w="6228" w:type="dxa"/>
          </w:tcPr>
          <w:p w14:paraId="249F2A18" w14:textId="4E0D51DC" w:rsidR="00174ABF" w:rsidRDefault="00174ABF" w:rsidP="00D0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174ABF" w14:paraId="626C6F92" w14:textId="77777777" w:rsidTr="00055CA2">
        <w:tc>
          <w:tcPr>
            <w:tcW w:w="1616" w:type="dxa"/>
          </w:tcPr>
          <w:p w14:paraId="7552F98C" w14:textId="229B7CF5" w:rsidR="00174ABF" w:rsidRPr="00476797" w:rsidRDefault="00174ABF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1785" w:type="dxa"/>
          </w:tcPr>
          <w:p w14:paraId="0B3C67C0" w14:textId="405BF38F" w:rsidR="00174ABF" w:rsidRPr="00476797" w:rsidRDefault="00174ABF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6228" w:type="dxa"/>
          </w:tcPr>
          <w:p w14:paraId="2764D5D7" w14:textId="087D0CAD" w:rsidR="00476797" w:rsidRPr="00476797" w:rsidRDefault="00476797" w:rsidP="00ED6A6E">
            <w:pPr>
              <w:jc w:val="both"/>
              <w:rPr>
                <w:rFonts w:eastAsia="DengXian"/>
                <w:bCs/>
                <w:lang w:eastAsia="zh-CN"/>
              </w:rPr>
            </w:pPr>
          </w:p>
        </w:tc>
      </w:tr>
    </w:tbl>
    <w:p w14:paraId="1B9C47EB" w14:textId="4F2437B5" w:rsidR="00615D93" w:rsidRPr="00A2457B" w:rsidRDefault="00615D93" w:rsidP="006617B2"/>
    <w:p w14:paraId="576D7CFF" w14:textId="15592699" w:rsidR="003E6475" w:rsidRDefault="009203AE" w:rsidP="002C75F2">
      <w:pPr>
        <w:pStyle w:val="Heading2"/>
      </w:pPr>
      <w:r>
        <w:t>2.</w:t>
      </w:r>
      <w:r w:rsidR="003E6475">
        <w:t>2</w:t>
      </w:r>
      <w:r>
        <w:tab/>
      </w:r>
      <w:bookmarkStart w:id="8" w:name="_Hlk71842736"/>
      <w:r w:rsidR="003E6475">
        <w:t>Clarification on PUCCH with R=1: Postponement or No Postponement</w:t>
      </w:r>
      <w:bookmarkEnd w:id="8"/>
    </w:p>
    <w:p w14:paraId="5F7015EA" w14:textId="78E9AEC4" w:rsidR="002C75F2" w:rsidRDefault="003E6475" w:rsidP="0018759F">
      <w:pPr>
        <w:jc w:val="both"/>
      </w:pPr>
      <w:r>
        <w:t xml:space="preserve">Background: </w:t>
      </w:r>
      <w:r w:rsidR="008A13E2" w:rsidRPr="008A13E2">
        <w:t xml:space="preserve">In RAN1# 104-bis-e [2], it was discussed whether the legacy behaviour of PUCCH (when Repetition = 1) of no postponing the UL transmission in presence of a non-BL/CE UL subframes will be or not followed. </w:t>
      </w:r>
    </w:p>
    <w:p w14:paraId="4C7AD462" w14:textId="3E0F210F" w:rsidR="002C75F2" w:rsidRDefault="003D6A44" w:rsidP="002C75F2">
      <w:pPr>
        <w:jc w:val="both"/>
      </w:pPr>
      <w:r>
        <w:t>When</w:t>
      </w:r>
      <w:r w:rsidR="002C75F2">
        <w:t xml:space="preserve"> the HARQ-ACK delay solution </w:t>
      </w:r>
      <w:r>
        <w:t>follows</w:t>
      </w:r>
      <w:r w:rsidR="002C75F2">
        <w:t xml:space="preserve"> Alt-1, the legacy </w:t>
      </w:r>
      <w:r>
        <w:t>behaviour</w:t>
      </w:r>
      <w:r w:rsidR="002C75F2">
        <w:t xml:space="preserve"> of PUCCH (when Repetition = 1) is meaningless since Alt-1 overrides it.</w:t>
      </w:r>
    </w:p>
    <w:p w14:paraId="73E3BDB4" w14:textId="5E9C462D" w:rsidR="002C75F2" w:rsidRDefault="003D6A44" w:rsidP="002C75F2">
      <w:pPr>
        <w:jc w:val="both"/>
      </w:pPr>
      <w:r>
        <w:t xml:space="preserve">When </w:t>
      </w:r>
      <w:r w:rsidR="002C75F2">
        <w:t xml:space="preserve">the HARQ-ACK delay solution </w:t>
      </w:r>
      <w:r>
        <w:t>follows</w:t>
      </w:r>
      <w:r w:rsidR="002C75F2">
        <w:t xml:space="preserve"> Alt-2, the legacy </w:t>
      </w:r>
      <w:r>
        <w:t>behaviour</w:t>
      </w:r>
      <w:r w:rsidR="002C75F2">
        <w:t xml:space="preserve"> of PUCCH (when Repetition = 1) will be overridden when more than 10 HARQ processes will be used, whereas the legacy </w:t>
      </w:r>
      <w:r>
        <w:t>behaviour</w:t>
      </w:r>
      <w:r w:rsidR="002C75F2">
        <w:t xml:space="preserve"> of PUCCH (when Repetition = 1) could be followed when 10 or less HARQ processes will be used. This will lead to some sort of postponement/no-postponement changing dynamically via DCI depending on the number of HARQ processes in use.</w:t>
      </w:r>
    </w:p>
    <w:p w14:paraId="48A3E646" w14:textId="72D24B24" w:rsidR="003E6475" w:rsidRDefault="003D6A44" w:rsidP="0018759F">
      <w:pPr>
        <w:jc w:val="both"/>
      </w:pPr>
      <w:r>
        <w:t>Now that</w:t>
      </w:r>
      <w:r w:rsidR="002C75F2">
        <w:t xml:space="preserve"> it has been agreed that “</w:t>
      </w:r>
      <w:r w:rsidR="002C75F2" w:rsidRPr="002C75F2">
        <w:rPr>
          <w:i/>
          <w:iCs/>
        </w:rPr>
        <w:t>In Rel-17, for the 14 HARQ process feature the HARQ-ACK delay solution will be supported with multiple solutions: Alt-1 for full flexibility and Alt-2e for support of legacy delay</w:t>
      </w:r>
      <w:r w:rsidR="002C75F2">
        <w:t xml:space="preserve">” it is proposed to </w:t>
      </w:r>
      <w:r>
        <w:t>down-select one of</w:t>
      </w:r>
      <w:r w:rsidR="002C75F2">
        <w:t xml:space="preserve"> the following options:</w:t>
      </w:r>
    </w:p>
    <w:p w14:paraId="03EB2B51" w14:textId="7731BF65" w:rsidR="002C75F2" w:rsidRPr="00ED0B2F" w:rsidRDefault="002C75F2" w:rsidP="002C75F2">
      <w:pPr>
        <w:keepNext/>
        <w:keepLines/>
        <w:jc w:val="both"/>
        <w:rPr>
          <w:b/>
          <w:bCs/>
          <w:highlight w:val="yellow"/>
        </w:rPr>
      </w:pPr>
      <w:r w:rsidRPr="00ED0B2F">
        <w:rPr>
          <w:b/>
          <w:bCs/>
          <w:highlight w:val="yellow"/>
        </w:rPr>
        <w:lastRenderedPageBreak/>
        <w:t>Potential Agreement</w:t>
      </w:r>
      <w:r w:rsidR="00ED0B2F">
        <w:rPr>
          <w:b/>
          <w:bCs/>
          <w:highlight w:val="yellow"/>
        </w:rPr>
        <w:t xml:space="preserve"> 2</w:t>
      </w:r>
      <w:r w:rsidRPr="00ED0B2F">
        <w:rPr>
          <w:b/>
          <w:bCs/>
          <w:highlight w:val="yellow"/>
        </w:rPr>
        <w:t>:</w:t>
      </w:r>
    </w:p>
    <w:p w14:paraId="6FE96843" w14:textId="77777777" w:rsidR="002C75F2" w:rsidRPr="00C916AF" w:rsidRDefault="002C75F2" w:rsidP="002C75F2">
      <w:pPr>
        <w:keepNext/>
        <w:keepLines/>
        <w:jc w:val="both"/>
        <w:rPr>
          <w:b/>
          <w:bCs/>
        </w:rPr>
      </w:pPr>
      <w:r w:rsidRPr="00C916AF">
        <w:rPr>
          <w:b/>
          <w:bCs/>
        </w:rPr>
        <w:t>In Rel-17, for the 14 HARQ processes feature:</w:t>
      </w:r>
    </w:p>
    <w:p w14:paraId="21F5A478" w14:textId="77777777" w:rsidR="002C75F2" w:rsidRPr="00C916AF" w:rsidRDefault="002C75F2" w:rsidP="002C75F2">
      <w:pPr>
        <w:pStyle w:val="ListParagraph"/>
        <w:keepNext/>
        <w:keepLines/>
        <w:numPr>
          <w:ilvl w:val="0"/>
          <w:numId w:val="32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C916AF">
        <w:rPr>
          <w:rFonts w:ascii="Times New Roman" w:hAnsi="Times New Roman"/>
          <w:b/>
          <w:bCs/>
          <w:sz w:val="20"/>
          <w:szCs w:val="20"/>
        </w:rPr>
        <w:t>Opt-1</w:t>
      </w:r>
      <w:r w:rsidRPr="00C916AF">
        <w:rPr>
          <w:rFonts w:ascii="Times New Roman" w:hAnsi="Times New Roman"/>
          <w:b/>
          <w:bCs/>
          <w:sz w:val="20"/>
          <w:szCs w:val="20"/>
          <w:lang w:val="en-US"/>
        </w:rPr>
        <w:t>: PUCCH using Repetition = 1 is not postponed (legacy behavior).</w:t>
      </w:r>
    </w:p>
    <w:p w14:paraId="7552C8B8" w14:textId="1040161F" w:rsidR="002C75F2" w:rsidRPr="00C916AF" w:rsidRDefault="002C75F2" w:rsidP="002C75F2">
      <w:pPr>
        <w:pStyle w:val="ListParagraph"/>
        <w:keepNext/>
        <w:keepLines/>
        <w:numPr>
          <w:ilvl w:val="0"/>
          <w:numId w:val="32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bookmarkStart w:id="9" w:name="_Hlk72767242"/>
      <w:r w:rsidRPr="00C916AF">
        <w:rPr>
          <w:rFonts w:ascii="Times New Roman" w:hAnsi="Times New Roman"/>
          <w:b/>
          <w:bCs/>
          <w:sz w:val="20"/>
          <w:szCs w:val="20"/>
          <w:lang w:val="en-US"/>
        </w:rPr>
        <w:t>Opt-2: PUCCH using Repetition = 1 is postponed.</w:t>
      </w:r>
    </w:p>
    <w:bookmarkEnd w:id="9"/>
    <w:p w14:paraId="059D4AC1" w14:textId="1F97DCF3" w:rsidR="002C75F2" w:rsidRPr="00C916AF" w:rsidRDefault="002C75F2" w:rsidP="002C75F2">
      <w:pPr>
        <w:pStyle w:val="ListParagraph"/>
        <w:keepNext/>
        <w:keepLines/>
        <w:numPr>
          <w:ilvl w:val="0"/>
          <w:numId w:val="32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C916AF">
        <w:rPr>
          <w:rFonts w:ascii="Times New Roman" w:hAnsi="Times New Roman"/>
          <w:b/>
          <w:bCs/>
          <w:sz w:val="20"/>
          <w:szCs w:val="20"/>
          <w:lang w:val="en-US"/>
        </w:rPr>
        <w:t xml:space="preserve">Opt-3: </w:t>
      </w:r>
      <w:r w:rsidR="003D6A44" w:rsidRPr="00C916AF">
        <w:rPr>
          <w:rFonts w:ascii="Times New Roman" w:hAnsi="Times New Roman"/>
          <w:b/>
          <w:bCs/>
          <w:sz w:val="20"/>
          <w:szCs w:val="20"/>
          <w:lang w:val="en-US"/>
        </w:rPr>
        <w:t>When the HARQ-ACK delay is configured to use Alt-1 PUCCH using Repetition = 1 is postponed, whereas when the HARQ-ACK delay is configured to use Alt-2e PUCCH using Repetition = 1 is not postponed (legacy behavior).</w:t>
      </w:r>
    </w:p>
    <w:p w14:paraId="0CAF8161" w14:textId="77777777" w:rsidR="0018759F" w:rsidRDefault="0018759F" w:rsidP="008A13E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740"/>
        <w:gridCol w:w="6212"/>
      </w:tblGrid>
      <w:tr w:rsidR="003E6475" w14:paraId="7EE127CB" w14:textId="77777777" w:rsidTr="00055CA2">
        <w:tc>
          <w:tcPr>
            <w:tcW w:w="1677" w:type="dxa"/>
          </w:tcPr>
          <w:p w14:paraId="3F5CB890" w14:textId="77777777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740" w:type="dxa"/>
          </w:tcPr>
          <w:p w14:paraId="632152F6" w14:textId="23EB908F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3D6A44">
              <w:rPr>
                <w:b/>
                <w:bCs/>
              </w:rPr>
              <w:t>pt-1/Opt-2/Opt-3</w:t>
            </w:r>
          </w:p>
        </w:tc>
        <w:tc>
          <w:tcPr>
            <w:tcW w:w="6212" w:type="dxa"/>
          </w:tcPr>
          <w:p w14:paraId="1078A1BA" w14:textId="77777777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E6475" w14:paraId="105FF526" w14:textId="77777777" w:rsidTr="00055CA2">
        <w:tc>
          <w:tcPr>
            <w:tcW w:w="1677" w:type="dxa"/>
          </w:tcPr>
          <w:p w14:paraId="261E2E15" w14:textId="5FDC30E3" w:rsidR="003E6475" w:rsidRDefault="003E6475" w:rsidP="00796BFA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</w:tcPr>
          <w:p w14:paraId="6EDAAB33" w14:textId="77777777" w:rsidR="003E6475" w:rsidRDefault="003E6475" w:rsidP="00796BFA">
            <w:pPr>
              <w:jc w:val="center"/>
              <w:rPr>
                <w:b/>
                <w:bCs/>
              </w:rPr>
            </w:pPr>
          </w:p>
        </w:tc>
        <w:tc>
          <w:tcPr>
            <w:tcW w:w="6212" w:type="dxa"/>
          </w:tcPr>
          <w:p w14:paraId="55E6BFFB" w14:textId="2FBF7AF1" w:rsidR="003E6475" w:rsidRPr="00BE537B" w:rsidRDefault="003E6475" w:rsidP="00BE537B">
            <w:pPr>
              <w:jc w:val="both"/>
            </w:pPr>
          </w:p>
        </w:tc>
      </w:tr>
    </w:tbl>
    <w:p w14:paraId="7203AEF7" w14:textId="08077319" w:rsidR="00F507D1" w:rsidRPr="00CE0424" w:rsidRDefault="00DF5DE2" w:rsidP="00CE0424">
      <w:pPr>
        <w:pStyle w:val="Heading1"/>
      </w:pPr>
      <w:r>
        <w:t>5</w:t>
      </w:r>
      <w:r>
        <w:tab/>
      </w:r>
      <w:r w:rsidR="00F507D1" w:rsidRPr="00CE0424">
        <w:t>References</w:t>
      </w:r>
    </w:p>
    <w:bookmarkStart w:id="10" w:name="_Ref174151459"/>
    <w:bookmarkStart w:id="11" w:name="_Ref189809556"/>
    <w:bookmarkStart w:id="12" w:name="_Ref525824664"/>
    <w:bookmarkStart w:id="13" w:name="_Hlk4751152"/>
    <w:p w14:paraId="5AFBFE6D" w14:textId="69AB81B9" w:rsidR="00CF4F41" w:rsidRDefault="00CF4F41" w:rsidP="00CF4F41">
      <w:pPr>
        <w:pStyle w:val="Reference"/>
      </w:pPr>
      <w:r>
        <w:fldChar w:fldCharType="begin"/>
      </w:r>
      <w:r>
        <w:instrText xml:space="preserve"> HYPERLINK "http://www.3gpp.org/ftp/TSG_RAN/TSG_RAN/TSGR_88e/Docs/RP-201306.zip" </w:instrText>
      </w:r>
      <w:r>
        <w:fldChar w:fldCharType="separate"/>
      </w:r>
      <w:r w:rsidRPr="00D3494B">
        <w:rPr>
          <w:rStyle w:val="Hyperlink"/>
        </w:rPr>
        <w:t>RP-201306</w:t>
      </w:r>
      <w:r>
        <w:fldChar w:fldCharType="end"/>
      </w:r>
      <w:r w:rsidRPr="000227F6">
        <w:t xml:space="preserve">, </w:t>
      </w:r>
      <w:r w:rsidRPr="00106987">
        <w:t xml:space="preserve">WID: </w:t>
      </w:r>
      <w:r>
        <w:t>Additional</w:t>
      </w:r>
      <w:r w:rsidRPr="00875FFA">
        <w:t xml:space="preserve"> enhancements for NB-IoT and LTE-MTC</w:t>
      </w:r>
      <w:r w:rsidRPr="00106987">
        <w:t>, RAN #8</w:t>
      </w:r>
      <w:r>
        <w:t>8e</w:t>
      </w:r>
      <w:r w:rsidRPr="00106987">
        <w:t xml:space="preserve">, </w:t>
      </w:r>
      <w:r>
        <w:t>Electronic Meeting, June</w:t>
      </w:r>
      <w:r w:rsidRPr="00875FFA">
        <w:t xml:space="preserve"> </w:t>
      </w:r>
      <w:r>
        <w:t>2</w:t>
      </w:r>
      <w:r w:rsidRPr="00875FFA">
        <w:t>9</w:t>
      </w:r>
      <w:r w:rsidRPr="00875FFA">
        <w:rPr>
          <w:vertAlign w:val="superscript"/>
        </w:rPr>
        <w:t>th</w:t>
      </w:r>
      <w:r w:rsidRPr="00875FFA">
        <w:t>-</w:t>
      </w:r>
      <w:r>
        <w:t>3</w:t>
      </w:r>
      <w:r w:rsidRPr="00D3494B">
        <w:rPr>
          <w:vertAlign w:val="superscript"/>
        </w:rPr>
        <w:t>rd</w:t>
      </w:r>
      <w:r w:rsidRPr="00875FFA">
        <w:t>, 20</w:t>
      </w:r>
      <w:r>
        <w:t>20</w:t>
      </w:r>
      <w:r w:rsidRPr="000227F6">
        <w:t>.</w:t>
      </w:r>
    </w:p>
    <w:p w14:paraId="79D0576A" w14:textId="7BAD4C25" w:rsidR="00F20FBC" w:rsidRDefault="00D67184" w:rsidP="00CF4F41">
      <w:pPr>
        <w:pStyle w:val="Reference"/>
      </w:pPr>
      <w:hyperlink r:id="rId12" w:history="1">
        <w:r w:rsidR="005661BC">
          <w:rPr>
            <w:rStyle w:val="Hyperlink"/>
          </w:rPr>
          <w:t>R1-2104289</w:t>
        </w:r>
      </w:hyperlink>
      <w:r w:rsidR="00E67862">
        <w:t xml:space="preserve">, “Support of 14-HARQ processes in DL for HD-FDD MTC UEs,” </w:t>
      </w:r>
      <w:r w:rsidR="00457CBC">
        <w:t xml:space="preserve">Huawei, HiSilicon, </w:t>
      </w:r>
      <w:r w:rsidR="00D03FD6">
        <w:t>RAN1 #10</w:t>
      </w:r>
      <w:r w:rsidR="005661BC">
        <w:t>5</w:t>
      </w:r>
      <w:r w:rsidR="00D03FD6">
        <w:t xml:space="preserve">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E67862">
        <w:t>.</w:t>
      </w:r>
    </w:p>
    <w:p w14:paraId="3812DB8D" w14:textId="47BF8811" w:rsidR="000D0312" w:rsidRDefault="00D67184" w:rsidP="000D0312">
      <w:pPr>
        <w:pStyle w:val="Reference"/>
      </w:pPr>
      <w:hyperlink r:id="rId13" w:history="1">
        <w:r w:rsidR="003F2C7B">
          <w:rPr>
            <w:rStyle w:val="Hyperlink"/>
          </w:rPr>
          <w:t>R1-2104549</w:t>
        </w:r>
      </w:hyperlink>
      <w:r w:rsidR="000D0312">
        <w:t>, “</w:t>
      </w:r>
      <w:r w:rsidR="000D0312" w:rsidRPr="000D0312">
        <w:t>Support of 14-HARQ processes in DL for eMTC</w:t>
      </w:r>
      <w:r w:rsidR="000D0312">
        <w:t xml:space="preserve">,” </w:t>
      </w:r>
      <w:r w:rsidR="000D0312" w:rsidRPr="000D0312">
        <w:t>Nokia, Nokia Shanghai Bell</w:t>
      </w:r>
      <w:r w:rsidR="000D0312">
        <w:t xml:space="preserve">, </w:t>
      </w:r>
      <w:r w:rsidR="00D03FD6">
        <w:t>RAN1 #10</w:t>
      </w:r>
      <w:r w:rsidR="005661BC">
        <w:t>5</w:t>
      </w:r>
      <w:r w:rsidR="00D03FD6">
        <w:t xml:space="preserve">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D0312">
        <w:t>.</w:t>
      </w:r>
    </w:p>
    <w:p w14:paraId="270768DE" w14:textId="0CA0FD21" w:rsidR="000D0312" w:rsidRDefault="00D67184" w:rsidP="000D0312">
      <w:pPr>
        <w:pStyle w:val="Reference"/>
      </w:pPr>
      <w:hyperlink r:id="rId14" w:history="1">
        <w:r w:rsidR="003F2C7B">
          <w:rPr>
            <w:rStyle w:val="Hyperlink"/>
          </w:rPr>
          <w:t>R1-2104717</w:t>
        </w:r>
      </w:hyperlink>
      <w:r w:rsidR="000D0312">
        <w:t>, “</w:t>
      </w:r>
      <w:r w:rsidR="00D03FD6" w:rsidRPr="00D03FD6">
        <w:t>Remaining issues on 14-HARQ processes in DL for eMTC</w:t>
      </w:r>
      <w:r w:rsidR="000D0312">
        <w:t xml:space="preserve">,” ZTE, </w:t>
      </w:r>
      <w:r w:rsidR="00D03FD6">
        <w:t>RAN1 #10</w:t>
      </w:r>
      <w:r w:rsidR="005661BC">
        <w:t>5</w:t>
      </w:r>
      <w:r w:rsidR="00D03FD6">
        <w:t xml:space="preserve">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D0312">
        <w:t>.</w:t>
      </w:r>
    </w:p>
    <w:p w14:paraId="26549BC2" w14:textId="077AA8A2" w:rsidR="000E0770" w:rsidRDefault="00D67184" w:rsidP="000E0770">
      <w:pPr>
        <w:pStyle w:val="Reference"/>
      </w:pPr>
      <w:hyperlink r:id="rId15" w:history="1">
        <w:r w:rsidR="003F2C7B">
          <w:rPr>
            <w:rStyle w:val="Hyperlink"/>
          </w:rPr>
          <w:t>R1-2104821</w:t>
        </w:r>
      </w:hyperlink>
      <w:r w:rsidR="000E0770">
        <w:t>, “</w:t>
      </w:r>
      <w:r w:rsidR="000E0770" w:rsidRPr="000E0770">
        <w:t>Support of 14 HARQ processes and scheduling delay</w:t>
      </w:r>
      <w:r w:rsidR="000E0770">
        <w:t xml:space="preserve">,” Qualcomm Incorporated, </w:t>
      </w:r>
      <w:r w:rsidR="00D03FD6">
        <w:t xml:space="preserve">RAN1 </w:t>
      </w:r>
      <w:r w:rsidR="005661BC">
        <w:t xml:space="preserve">#105-e,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E0770">
        <w:t>.</w:t>
      </w:r>
    </w:p>
    <w:p w14:paraId="07251668" w14:textId="62AECB43" w:rsidR="000E0770" w:rsidRDefault="00D67184" w:rsidP="000E0770">
      <w:pPr>
        <w:pStyle w:val="Reference"/>
      </w:pPr>
      <w:hyperlink r:id="rId16" w:history="1">
        <w:r w:rsidR="003F2C7B">
          <w:rPr>
            <w:rStyle w:val="Hyperlink"/>
          </w:rPr>
          <w:t>R1-2105890</w:t>
        </w:r>
      </w:hyperlink>
      <w:r w:rsidR="000E0770">
        <w:t>, “</w:t>
      </w:r>
      <w:r w:rsidR="000E0770" w:rsidRPr="000E0770">
        <w:t>Support of 14 HARQ processes in DL in LTE-MTC</w:t>
      </w:r>
      <w:r w:rsidR="000E0770">
        <w:t xml:space="preserve">,” </w:t>
      </w:r>
      <w:r w:rsidR="003F2C7B">
        <w:t xml:space="preserve">Ericsson, </w:t>
      </w:r>
      <w:r w:rsidR="003F2C7B" w:rsidRPr="003F2C7B">
        <w:t>Verizon, Telefónica, SoftBank, Telstra</w:t>
      </w:r>
      <w:r w:rsidR="000E0770">
        <w:t xml:space="preserve">, RAN1 </w:t>
      </w:r>
      <w:r w:rsidR="005661BC">
        <w:t xml:space="preserve">#105-e,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E0770">
        <w:t>.</w:t>
      </w:r>
    </w:p>
    <w:p w14:paraId="773A6318" w14:textId="224AB938" w:rsidR="000D0312" w:rsidRDefault="000D0312" w:rsidP="000D0312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#102-e</w:t>
      </w:r>
      <w:r>
        <w:t xml:space="preserve">, </w:t>
      </w:r>
      <w:r w:rsidRPr="00F54552">
        <w:t>e-Meeting, August 17</w:t>
      </w:r>
      <w:r w:rsidRPr="00F54552">
        <w:rPr>
          <w:vertAlign w:val="superscript"/>
        </w:rPr>
        <w:t>th</w:t>
      </w:r>
      <w:r w:rsidRPr="00F54552">
        <w:t xml:space="preserve"> – 28</w:t>
      </w:r>
      <w:r w:rsidRPr="00F54552">
        <w:rPr>
          <w:vertAlign w:val="superscript"/>
        </w:rPr>
        <w:t>th</w:t>
      </w:r>
      <w:r w:rsidRPr="00F54552">
        <w:t>, 2020</w:t>
      </w:r>
      <w:r>
        <w:t>.</w:t>
      </w:r>
    </w:p>
    <w:p w14:paraId="27B06FAA" w14:textId="55C706DA" w:rsidR="000D0312" w:rsidRDefault="000D0312" w:rsidP="000D0312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3</w:t>
      </w:r>
      <w:r w:rsidRPr="00F54552">
        <w:t>-e</w:t>
      </w:r>
      <w:r>
        <w:t xml:space="preserve">, </w:t>
      </w:r>
      <w:r w:rsidRPr="00F54552">
        <w:t xml:space="preserve">e-Meeting, </w:t>
      </w:r>
      <w:r w:rsidRPr="000D0312">
        <w:t>October 26</w:t>
      </w:r>
      <w:r w:rsidRPr="000D0312">
        <w:rPr>
          <w:vertAlign w:val="superscript"/>
        </w:rPr>
        <w:t>th</w:t>
      </w:r>
      <w:r w:rsidRPr="000D0312">
        <w:t xml:space="preserve"> – November 13</w:t>
      </w:r>
      <w:r w:rsidRPr="000D0312">
        <w:rPr>
          <w:vertAlign w:val="superscript"/>
        </w:rPr>
        <w:t>th</w:t>
      </w:r>
      <w:r w:rsidRPr="000D0312">
        <w:t>, 2020</w:t>
      </w:r>
      <w:r>
        <w:t>.</w:t>
      </w:r>
    </w:p>
    <w:p w14:paraId="4897B162" w14:textId="732583D1" w:rsidR="000E7622" w:rsidRDefault="006154FF" w:rsidP="006154FF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4</w:t>
      </w:r>
      <w:r w:rsidRPr="00F54552">
        <w:t>-e</w:t>
      </w:r>
      <w:r>
        <w:t xml:space="preserve">, </w:t>
      </w:r>
      <w:r w:rsidRPr="00F54552">
        <w:t xml:space="preserve">e-Meeting, </w:t>
      </w:r>
      <w:r w:rsidRPr="006154FF">
        <w:t>January 25</w:t>
      </w:r>
      <w:r w:rsidRPr="006154FF">
        <w:rPr>
          <w:vertAlign w:val="superscript"/>
        </w:rPr>
        <w:t>th</w:t>
      </w:r>
      <w:r w:rsidRPr="006154FF">
        <w:t xml:space="preserve"> – February 5</w:t>
      </w:r>
      <w:r w:rsidRPr="006154FF">
        <w:rPr>
          <w:vertAlign w:val="superscript"/>
        </w:rPr>
        <w:t>th</w:t>
      </w:r>
      <w:r w:rsidRPr="006154FF">
        <w:t>, 2021</w:t>
      </w:r>
      <w:r>
        <w:t>.</w:t>
      </w:r>
      <w:bookmarkEnd w:id="10"/>
      <w:bookmarkEnd w:id="11"/>
      <w:bookmarkEnd w:id="12"/>
      <w:bookmarkEnd w:id="13"/>
    </w:p>
    <w:p w14:paraId="013EE47D" w14:textId="4FA47B7C" w:rsidR="00340DAA" w:rsidRDefault="00340DAA" w:rsidP="00340DAA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4-bis</w:t>
      </w:r>
      <w:r w:rsidRPr="00F54552">
        <w:t>-e</w:t>
      </w:r>
      <w:r>
        <w:t xml:space="preserve">, </w:t>
      </w:r>
      <w:r w:rsidRPr="00F54552">
        <w:t xml:space="preserve">e-Meeting, </w:t>
      </w:r>
      <w:r w:rsidRPr="00340DAA">
        <w:t>April 12</w:t>
      </w:r>
      <w:r w:rsidRPr="00340DAA">
        <w:rPr>
          <w:vertAlign w:val="superscript"/>
        </w:rPr>
        <w:t>th</w:t>
      </w:r>
      <w:r w:rsidRPr="00340DAA">
        <w:t xml:space="preserve"> – 20</w:t>
      </w:r>
      <w:r w:rsidRPr="00340DAA">
        <w:rPr>
          <w:vertAlign w:val="superscript"/>
        </w:rPr>
        <w:t>th</w:t>
      </w:r>
      <w:r w:rsidRPr="006154FF">
        <w:t>, 2021</w:t>
      </w:r>
      <w:r>
        <w:t>.</w:t>
      </w:r>
    </w:p>
    <w:p w14:paraId="7422186A" w14:textId="79F3DD41" w:rsidR="00C95255" w:rsidRDefault="00C95255" w:rsidP="00C95255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5</w:t>
      </w:r>
      <w:r w:rsidRPr="00F54552">
        <w:t>-e</w:t>
      </w:r>
      <w:r>
        <w:t xml:space="preserve">, </w:t>
      </w:r>
      <w:r w:rsidRPr="00F54552">
        <w:t xml:space="preserve">e-Meeting, </w:t>
      </w:r>
      <w:r w:rsidRPr="00C95255">
        <w:t>May 10</w:t>
      </w:r>
      <w:r w:rsidRPr="00C95255">
        <w:rPr>
          <w:vertAlign w:val="superscript"/>
        </w:rPr>
        <w:t>th</w:t>
      </w:r>
      <w:r w:rsidRPr="00C95255">
        <w:t xml:space="preserve"> – 27</w:t>
      </w:r>
      <w:r w:rsidRPr="00C95255">
        <w:rPr>
          <w:vertAlign w:val="superscript"/>
        </w:rPr>
        <w:t>th</w:t>
      </w:r>
      <w:r w:rsidRPr="006154FF">
        <w:t>, 2021</w:t>
      </w:r>
      <w:r>
        <w:t>.</w:t>
      </w:r>
    </w:p>
    <w:p w14:paraId="054E7513" w14:textId="05C19FE7" w:rsidR="007B4C6E" w:rsidRDefault="007B4C6E" w:rsidP="007B4C6E">
      <w:pPr>
        <w:pStyle w:val="Heading1"/>
      </w:pPr>
      <w:r>
        <w:t>Annex 1</w:t>
      </w:r>
    </w:p>
    <w:p w14:paraId="702005EE" w14:textId="4B97674F" w:rsidR="007B4C6E" w:rsidRDefault="003F0395" w:rsidP="003F0395">
      <w:pPr>
        <w:pStyle w:val="Heading2"/>
      </w:pPr>
      <w:r>
        <w:t>A</w:t>
      </w:r>
      <w:r w:rsidR="00FC2CDC">
        <w:t>1</w:t>
      </w:r>
      <w:r>
        <w:t xml:space="preserve">.1 </w:t>
      </w:r>
      <w:r w:rsidR="007B4C6E">
        <w:t>List of agreements from RAN1 #102</w:t>
      </w:r>
      <w:r>
        <w:t>-</w:t>
      </w:r>
      <w:r w:rsidR="007B4C6E">
        <w:t>e:</w:t>
      </w:r>
    </w:p>
    <w:p w14:paraId="323E8A7C" w14:textId="77777777" w:rsidR="007B4C6E" w:rsidRPr="00C259A3" w:rsidRDefault="007B4C6E" w:rsidP="007B4C6E">
      <w:pPr>
        <w:jc w:val="both"/>
        <w:rPr>
          <w:b/>
          <w:bCs/>
          <w:highlight w:val="green"/>
        </w:rPr>
      </w:pPr>
      <w:r w:rsidRPr="00C259A3">
        <w:rPr>
          <w:b/>
          <w:bCs/>
          <w:highlight w:val="green"/>
        </w:rPr>
        <w:t xml:space="preserve">Agreement </w:t>
      </w:r>
    </w:p>
    <w:p w14:paraId="337D1690" w14:textId="3172A90A" w:rsidR="007B4C6E" w:rsidRDefault="007B4C6E" w:rsidP="003F0395">
      <w:pPr>
        <w:jc w:val="both"/>
      </w:pPr>
      <w:r w:rsidRPr="00055CC7">
        <w:t xml:space="preserve">Introduce a new RRC configuration parameter to enable 14 HARQ processes. </w:t>
      </w:r>
    </w:p>
    <w:p w14:paraId="60D75DFD" w14:textId="77777777" w:rsidR="007B4C6E" w:rsidRPr="00055CC7" w:rsidRDefault="007B4C6E" w:rsidP="007B4C6E">
      <w:pPr>
        <w:jc w:val="both"/>
        <w:rPr>
          <w:b/>
          <w:bCs/>
          <w:highlight w:val="green"/>
        </w:rPr>
      </w:pPr>
      <w:r w:rsidRPr="00055CC7">
        <w:rPr>
          <w:b/>
          <w:bCs/>
          <w:highlight w:val="green"/>
        </w:rPr>
        <w:lastRenderedPageBreak/>
        <w:t>Agreement</w:t>
      </w:r>
    </w:p>
    <w:p w14:paraId="413D9E48" w14:textId="77777777" w:rsidR="007B4C6E" w:rsidRPr="00055CC7" w:rsidRDefault="007B4C6E" w:rsidP="007B4C6E">
      <w:pPr>
        <w:jc w:val="both"/>
      </w:pPr>
      <w:r w:rsidRPr="00055CC7">
        <w:t>For a UE configured with 14 HARQ processes, a PDSCH scheduling delay of 2 BL/CE DL subframes and 7 [FFS subframes type(s)] is supported at least in the PUCCH non-repetition case:</w:t>
      </w:r>
    </w:p>
    <w:p w14:paraId="73EE1528" w14:textId="77777777" w:rsidR="007B4C6E" w:rsidRPr="00055CC7" w:rsidRDefault="007B4C6E" w:rsidP="00BB15E0">
      <w:pPr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>FFS details of signaling.</w:t>
      </w:r>
    </w:p>
    <w:p w14:paraId="0FAE9A0B" w14:textId="77777777" w:rsidR="007B4C6E" w:rsidRPr="00055CC7" w:rsidRDefault="007B4C6E" w:rsidP="00BB15E0">
      <w:pPr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>FFS other delay values to account for the presence of non-BL/CE subframes in the PUCCH non-repetition case.</w:t>
      </w:r>
    </w:p>
    <w:p w14:paraId="38584AE0" w14:textId="77777777" w:rsidR="007B4C6E" w:rsidRPr="00055CC7" w:rsidRDefault="007B4C6E" w:rsidP="00BB15E0">
      <w:pPr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>FFS if the 14 HARQ processes feature is supported in PUCCH repetition case.</w:t>
      </w:r>
    </w:p>
    <w:p w14:paraId="2E3D33AA" w14:textId="77777777" w:rsidR="007B4C6E" w:rsidRDefault="007B4C6E" w:rsidP="007B4C6E">
      <w:pPr>
        <w:rPr>
          <w:lang w:eastAsia="x-none"/>
        </w:rPr>
      </w:pPr>
    </w:p>
    <w:p w14:paraId="7CF3D4C0" w14:textId="77777777" w:rsidR="007B4C6E" w:rsidRPr="00055CC7" w:rsidRDefault="007B4C6E" w:rsidP="007B4C6E">
      <w:pPr>
        <w:jc w:val="both"/>
        <w:rPr>
          <w:b/>
          <w:bCs/>
          <w:highlight w:val="darkYellow"/>
        </w:rPr>
      </w:pPr>
      <w:r w:rsidRPr="00055CC7">
        <w:rPr>
          <w:b/>
          <w:bCs/>
          <w:highlight w:val="darkYellow"/>
        </w:rPr>
        <w:t>Working Assumption</w:t>
      </w:r>
    </w:p>
    <w:p w14:paraId="3135BB58" w14:textId="7DC1CDFC" w:rsidR="007B4C6E" w:rsidRDefault="007B4C6E" w:rsidP="007B4C6E">
      <w:pPr>
        <w:jc w:val="both"/>
      </w:pPr>
      <w:r w:rsidRPr="00055CC7">
        <w:t>Introduce a new optional UE capability to support 14 HARQ processes</w:t>
      </w:r>
    </w:p>
    <w:p w14:paraId="774CBA66" w14:textId="0A6310D4" w:rsidR="003F0395" w:rsidRDefault="003F0395" w:rsidP="003F0395">
      <w:pPr>
        <w:pStyle w:val="Heading2"/>
      </w:pPr>
      <w:r>
        <w:t>A</w:t>
      </w:r>
      <w:r w:rsidR="00FC2CDC">
        <w:t>1</w:t>
      </w:r>
      <w:r>
        <w:t>.2 List of agreements from RAN1 #103-e:</w:t>
      </w:r>
    </w:p>
    <w:p w14:paraId="44D92C54" w14:textId="77777777" w:rsidR="003F0395" w:rsidRDefault="003F0395" w:rsidP="003F0395">
      <w:pPr>
        <w:rPr>
          <w:b/>
          <w:bCs/>
          <w:highlight w:val="green"/>
          <w:lang w:eastAsia="x-none"/>
        </w:rPr>
      </w:pPr>
      <w:r w:rsidRPr="00DC2A39">
        <w:rPr>
          <w:b/>
          <w:bCs/>
          <w:highlight w:val="green"/>
          <w:lang w:eastAsia="x-none"/>
        </w:rPr>
        <w:t>Agreement</w:t>
      </w:r>
    </w:p>
    <w:p w14:paraId="5A866443" w14:textId="77777777" w:rsidR="003F0395" w:rsidRPr="00CA1CBA" w:rsidRDefault="003F0395" w:rsidP="003F0395">
      <w:pPr>
        <w:rPr>
          <w:lang w:eastAsia="x-none"/>
        </w:rPr>
      </w:pPr>
      <w:r w:rsidRPr="00CA1CBA">
        <w:rPr>
          <w:lang w:eastAsia="x-none"/>
        </w:rPr>
        <w:t>The following working assumption is confirmed</w:t>
      </w:r>
    </w:p>
    <w:p w14:paraId="408F2322" w14:textId="741B25A8" w:rsidR="003F0395" w:rsidRDefault="003F0395" w:rsidP="003F0395">
      <w:pPr>
        <w:jc w:val="both"/>
      </w:pPr>
      <w:r w:rsidRPr="00DC2A39">
        <w:t>Introduce a new optional UE capability to support 14 HARQ processes</w:t>
      </w:r>
    </w:p>
    <w:p w14:paraId="4E439B8E" w14:textId="77777777" w:rsidR="003F0395" w:rsidRPr="00232C38" w:rsidRDefault="003F0395" w:rsidP="003F0395">
      <w:pPr>
        <w:rPr>
          <w:b/>
          <w:bCs/>
          <w:highlight w:val="green"/>
          <w:lang w:eastAsia="x-none"/>
        </w:rPr>
      </w:pPr>
      <w:r w:rsidRPr="00232C38">
        <w:rPr>
          <w:b/>
          <w:bCs/>
          <w:highlight w:val="green"/>
          <w:lang w:eastAsia="x-none"/>
        </w:rPr>
        <w:t>Agreement</w:t>
      </w:r>
    </w:p>
    <w:p w14:paraId="12B36603" w14:textId="77777777" w:rsidR="003F0395" w:rsidRPr="00232C38" w:rsidRDefault="003F0395" w:rsidP="003F0395">
      <w:pPr>
        <w:rPr>
          <w:lang w:eastAsia="x-none"/>
        </w:rPr>
      </w:pPr>
      <w:r w:rsidRPr="00232C38">
        <w:rPr>
          <w:lang w:eastAsia="x-none"/>
        </w:rPr>
        <w:t>The design of the 14 HARQ processes feature accounts for the presence of non-BL/CE UL and DL subframes in the PUCCH non-repetition case.</w:t>
      </w:r>
    </w:p>
    <w:p w14:paraId="075D4940" w14:textId="77777777" w:rsidR="003F0395" w:rsidRPr="00232C38" w:rsidRDefault="003F0395" w:rsidP="00BB15E0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PDSCH scheduling delays</w:t>
      </w:r>
    </w:p>
    <w:p w14:paraId="20CFCCA8" w14:textId="77777777" w:rsidR="003F0395" w:rsidRPr="00232C38" w:rsidRDefault="003F0395" w:rsidP="00BB15E0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HARQ-ACK delays</w:t>
      </w:r>
    </w:p>
    <w:p w14:paraId="5EEB098B" w14:textId="77777777" w:rsidR="003F0395" w:rsidRPr="00232C38" w:rsidRDefault="003F0395" w:rsidP="00BB15E0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Configurable/dynamic set of PDSCH delays/HARQ-ACK delays</w:t>
      </w:r>
    </w:p>
    <w:p w14:paraId="79DA0264" w14:textId="77777777" w:rsidR="003F0395" w:rsidRDefault="003F0395" w:rsidP="003F0395">
      <w:pPr>
        <w:rPr>
          <w:lang w:eastAsia="x-none"/>
        </w:rPr>
      </w:pPr>
    </w:p>
    <w:p w14:paraId="3B9AC1EC" w14:textId="77777777" w:rsidR="003F0395" w:rsidRPr="00232C38" w:rsidRDefault="003F0395" w:rsidP="003F0395">
      <w:pPr>
        <w:rPr>
          <w:b/>
          <w:lang w:eastAsia="x-none"/>
        </w:rPr>
      </w:pPr>
      <w:r w:rsidRPr="00232C38">
        <w:rPr>
          <w:b/>
          <w:lang w:eastAsia="x-none"/>
        </w:rPr>
        <w:t>For future meetings:</w:t>
      </w:r>
    </w:p>
    <w:p w14:paraId="50E03C05" w14:textId="34E0DC5D" w:rsidR="003F0395" w:rsidRDefault="003F0395" w:rsidP="003F0395">
      <w:pPr>
        <w:rPr>
          <w:lang w:eastAsia="x-none"/>
        </w:rPr>
      </w:pPr>
      <w:r w:rsidRPr="00232C38">
        <w:rPr>
          <w:lang w:eastAsia="x-none"/>
        </w:rPr>
        <w:t>Companies to further study on the impact of measurement gaps on the 14 HARQ processes feature.</w:t>
      </w:r>
    </w:p>
    <w:p w14:paraId="456B620F" w14:textId="77777777" w:rsidR="003F0395" w:rsidRPr="00064922" w:rsidRDefault="003F0395" w:rsidP="003F0395">
      <w:pPr>
        <w:keepNext/>
        <w:jc w:val="both"/>
        <w:rPr>
          <w:rFonts w:cs="Times"/>
          <w:b/>
          <w:bCs/>
          <w:highlight w:val="green"/>
          <w:lang w:val="en-US"/>
        </w:rPr>
      </w:pPr>
      <w:r w:rsidRPr="00064922">
        <w:rPr>
          <w:rFonts w:cs="Times"/>
          <w:b/>
          <w:bCs/>
          <w:highlight w:val="green"/>
          <w:lang w:val="en-US"/>
        </w:rPr>
        <w:t>Agreement</w:t>
      </w:r>
    </w:p>
    <w:p w14:paraId="439DB5E9" w14:textId="77777777" w:rsidR="003F0395" w:rsidRPr="003F0395" w:rsidRDefault="003F0395" w:rsidP="003F0395">
      <w:pPr>
        <w:keepNext/>
        <w:jc w:val="both"/>
        <w:rPr>
          <w:lang w:val="en-US" w:eastAsia="sv-SE"/>
        </w:rPr>
      </w:pPr>
      <w:r w:rsidRPr="00064922">
        <w:rPr>
          <w:rFonts w:cs="Times"/>
          <w:lang w:val="en-US"/>
        </w:rPr>
        <w:t xml:space="preserve">For the support of 14 HARQ processes, the solution to assign PDSCH scheduling delays should be able to minimize </w:t>
      </w:r>
      <w:r w:rsidRPr="003F0395">
        <w:rPr>
          <w:lang w:val="en-US"/>
        </w:rPr>
        <w:t>unnecessary waste of subframes derived from the presence of non-BL/CE DL subframes and non-BL/CE UL subframes.</w:t>
      </w:r>
    </w:p>
    <w:p w14:paraId="14588B08" w14:textId="77777777" w:rsidR="003F0395" w:rsidRPr="003F0395" w:rsidRDefault="003F0395" w:rsidP="00BB15E0">
      <w:pPr>
        <w:pStyle w:val="ListParagraph"/>
        <w:keepNext/>
        <w:numPr>
          <w:ilvl w:val="0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The following solutions will be further investigated:</w:t>
      </w:r>
    </w:p>
    <w:p w14:paraId="23DA6E27" w14:textId="77777777" w:rsidR="003F0395" w:rsidRPr="003F0395" w:rsidRDefault="003F0395" w:rsidP="00BB15E0">
      <w:pPr>
        <w:pStyle w:val="ListParagraph"/>
        <w:keepNext/>
        <w:numPr>
          <w:ilvl w:val="1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3F0395">
        <w:rPr>
          <w:rFonts w:ascii="Times New Roman" w:hAnsi="Times New Roman"/>
          <w:color w:val="FF0000"/>
          <w:sz w:val="20"/>
          <w:szCs w:val="20"/>
          <w:lang w:val="en-US"/>
        </w:rPr>
        <w:t>indication of</w:t>
      </w:r>
      <w:r w:rsidRPr="003F0395">
        <w:rPr>
          <w:rFonts w:ascii="Times New Roman" w:hAnsi="Times New Roman"/>
          <w:sz w:val="20"/>
          <w:szCs w:val="20"/>
          <w:lang w:val="en-US"/>
        </w:rPr>
        <w:t xml:space="preserve"> subframe types for the PDSCH scheduling delay of 7 are:</w:t>
      </w:r>
    </w:p>
    <w:p w14:paraId="0DC08325" w14:textId="77777777" w:rsidR="003F0395" w:rsidRPr="003F0395" w:rsidRDefault="003F0395" w:rsidP="00BB15E0">
      <w:pPr>
        <w:pStyle w:val="ListParagraph"/>
        <w:keepNext/>
        <w:numPr>
          <w:ilvl w:val="2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1 BL/CE DL subframe + 1 subframe + 3 [BL/CE UL subframes] + 1 subframe + 1 BL/CE DL subframe.</w:t>
      </w:r>
    </w:p>
    <w:p w14:paraId="2D73E607" w14:textId="77777777" w:rsidR="003F0395" w:rsidRPr="003F0395" w:rsidRDefault="003F0395" w:rsidP="00BB15E0">
      <w:pPr>
        <w:pStyle w:val="ListParagraph"/>
        <w:keepNext/>
        <w:numPr>
          <w:ilvl w:val="2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eastAsia="ja-JP"/>
        </w:rPr>
        <w:t>1 subframe + 3 [BL/CE UL subframes] + 1 subframe + 2 BL/CE DL subframes.</w:t>
      </w:r>
    </w:p>
    <w:p w14:paraId="524C6E3D" w14:textId="77777777" w:rsidR="003F0395" w:rsidRPr="003F0395" w:rsidRDefault="003F0395" w:rsidP="00BB15E0">
      <w:pPr>
        <w:pStyle w:val="ListParagraph"/>
        <w:keepNext/>
        <w:numPr>
          <w:ilvl w:val="1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Configurable delays including other values than 2 and 7.</w:t>
      </w:r>
    </w:p>
    <w:p w14:paraId="592DEFE0" w14:textId="77777777" w:rsidR="003F0395" w:rsidRPr="003F0395" w:rsidRDefault="003F0395" w:rsidP="00BB15E0">
      <w:pPr>
        <w:pStyle w:val="ListParagraph"/>
        <w:keepNext/>
        <w:numPr>
          <w:ilvl w:val="0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Other solutions are not precluded.</w:t>
      </w:r>
    </w:p>
    <w:p w14:paraId="22EC60E4" w14:textId="77777777" w:rsidR="003F0395" w:rsidRDefault="003F0395" w:rsidP="003F0395">
      <w:pPr>
        <w:rPr>
          <w:lang w:val="en-US" w:eastAsia="x-none"/>
        </w:rPr>
      </w:pPr>
    </w:p>
    <w:p w14:paraId="614DC472" w14:textId="77777777" w:rsidR="003F0395" w:rsidRPr="00EE58B1" w:rsidRDefault="003F0395" w:rsidP="003F0395">
      <w:pPr>
        <w:keepNext/>
        <w:keepLines/>
        <w:jc w:val="both"/>
        <w:rPr>
          <w:b/>
          <w:bCs/>
          <w:highlight w:val="green"/>
        </w:rPr>
      </w:pPr>
      <w:r w:rsidRPr="00EE58B1">
        <w:rPr>
          <w:b/>
          <w:bCs/>
          <w:highlight w:val="green"/>
        </w:rPr>
        <w:lastRenderedPageBreak/>
        <w:t>Agreement</w:t>
      </w:r>
    </w:p>
    <w:p w14:paraId="7F763D66" w14:textId="77777777" w:rsidR="003F0395" w:rsidRPr="003F0395" w:rsidRDefault="003F0395" w:rsidP="003F0395">
      <w:pPr>
        <w:keepNext/>
        <w:keepLines/>
        <w:jc w:val="both"/>
      </w:pPr>
      <w:r w:rsidRPr="003F0395">
        <w:t>For the support of 14 HARQ processes, the solution to assign HARQ-ACK delays should aim to maximize the number of HARQ processes that can be scheduled in presence of non-BL/CE DL subframes and non-BL/CE UL subframes.</w:t>
      </w:r>
    </w:p>
    <w:p w14:paraId="761E7926" w14:textId="77777777" w:rsidR="003F0395" w:rsidRPr="003F0395" w:rsidRDefault="003F0395" w:rsidP="00BB15E0">
      <w:pPr>
        <w:pStyle w:val="ListParagraph"/>
        <w:keepNext/>
        <w:keepLines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 w:rsidRPr="003F0395">
        <w:rPr>
          <w:rFonts w:ascii="Times New Roman" w:hAnsi="Times New Roman"/>
          <w:sz w:val="20"/>
          <w:szCs w:val="20"/>
        </w:rPr>
        <w:t xml:space="preserve">Different percentages of presence of non-BL/CE subframes can be analyzed as to </w:t>
      </w:r>
      <w:r w:rsidRPr="003F0395">
        <w:rPr>
          <w:rFonts w:ascii="Times New Roman" w:hAnsi="Times New Roman"/>
          <w:sz w:val="20"/>
          <w:szCs w:val="20"/>
          <w:lang w:val="en-US"/>
        </w:rPr>
        <w:t>represent</w:t>
      </w:r>
      <w:r w:rsidRPr="003F0395">
        <w:rPr>
          <w:rFonts w:ascii="Times New Roman" w:hAnsi="Times New Roman"/>
          <w:sz w:val="20"/>
          <w:szCs w:val="20"/>
        </w:rPr>
        <w:t xml:space="preserve"> typical scenarios and determine which HARQ-ACK delays should be included.</w:t>
      </w:r>
    </w:p>
    <w:p w14:paraId="0774535B" w14:textId="5F299E26" w:rsidR="00B00DED" w:rsidRDefault="00B00DED" w:rsidP="00B00DED">
      <w:pPr>
        <w:pStyle w:val="Heading2"/>
      </w:pPr>
      <w:r>
        <w:t>A1.3 List of agreements from RAN1 #104-e:</w:t>
      </w:r>
    </w:p>
    <w:p w14:paraId="39A74177" w14:textId="77777777" w:rsidR="00B00DED" w:rsidRPr="00B00DED" w:rsidRDefault="00B00DED" w:rsidP="00B00DED">
      <w:pPr>
        <w:overflowPunct/>
        <w:autoSpaceDE/>
        <w:autoSpaceDN/>
        <w:adjustRightInd/>
        <w:spacing w:after="0"/>
        <w:ind w:left="1440" w:hanging="1440"/>
        <w:textAlignment w:val="auto"/>
        <w:rPr>
          <w:rFonts w:ascii="Times" w:eastAsia="Batang" w:hAnsi="Times" w:cs="Times"/>
          <w:b/>
          <w:highlight w:val="green"/>
          <w:lang w:eastAsia="x-none"/>
        </w:rPr>
      </w:pPr>
      <w:r w:rsidRPr="00B00DED">
        <w:rPr>
          <w:rFonts w:ascii="Times" w:eastAsia="Batang" w:hAnsi="Times" w:cs="Times"/>
          <w:b/>
          <w:highlight w:val="green"/>
          <w:lang w:eastAsia="x-none"/>
        </w:rPr>
        <w:t>Agreement</w:t>
      </w:r>
    </w:p>
    <w:p w14:paraId="60873477" w14:textId="77777777" w:rsidR="00B00DED" w:rsidRPr="00B00DED" w:rsidRDefault="00B00DED" w:rsidP="00B00DED">
      <w:pPr>
        <w:spacing w:after="0"/>
        <w:jc w:val="both"/>
        <w:rPr>
          <w:rFonts w:ascii="Times" w:eastAsia="Times New Roman" w:hAnsi="Times" w:cs="Times"/>
          <w:lang w:eastAsia="zh-CN"/>
        </w:rPr>
      </w:pPr>
      <w:r w:rsidRPr="00B00DED">
        <w:rPr>
          <w:rFonts w:ascii="Times" w:eastAsia="Times New Roman" w:hAnsi="Times" w:cs="Times"/>
          <w:lang w:eastAsia="zh-CN"/>
        </w:rPr>
        <w:t>The PDSCH scheduling delay for the PUCCH non-repetition case (i.e., PUCCH repetitions = 1):</w:t>
      </w:r>
    </w:p>
    <w:p w14:paraId="3DF4A8F3" w14:textId="77777777" w:rsidR="00B00DED" w:rsidRPr="00B00DED" w:rsidRDefault="00B00DED" w:rsidP="00BB15E0">
      <w:pPr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2 BL/CE DL subframes.</w:t>
      </w:r>
    </w:p>
    <w:p w14:paraId="6E024572" w14:textId="77777777" w:rsidR="00B00DED" w:rsidRPr="00B00DED" w:rsidRDefault="00B00DED" w:rsidP="00BB15E0">
      <w:pPr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 xml:space="preserve">The PDSCH scheduling delay of 7 is expressed as: </w:t>
      </w:r>
    </w:p>
    <w:p w14:paraId="682F1814" w14:textId="77777777" w:rsidR="00B00DED" w:rsidRPr="00B00DED" w:rsidRDefault="00B00DED" w:rsidP="00BB15E0">
      <w:pPr>
        <w:numPr>
          <w:ilvl w:val="1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1 BL/CE DL subframe + 1 subframe + [3 subframes] + 1 subframe + 1 BL/CE DL subframe.</w:t>
      </w:r>
    </w:p>
    <w:p w14:paraId="71BBA63B" w14:textId="77777777" w:rsidR="00B00DED" w:rsidRPr="00B00DED" w:rsidRDefault="00B00DED" w:rsidP="00BB15E0">
      <w:pPr>
        <w:numPr>
          <w:ilvl w:val="1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1 subframe + [3 subframes] + 1 subframe + 2 BL/CE DL subframes.</w:t>
      </w:r>
    </w:p>
    <w:p w14:paraId="2290D29E" w14:textId="77777777" w:rsidR="00B00DED" w:rsidRPr="00B00DED" w:rsidRDefault="00B00DED" w:rsidP="006154FF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val="en-US" w:eastAsia="x-none"/>
        </w:rPr>
      </w:pPr>
    </w:p>
    <w:p w14:paraId="28ECCF71" w14:textId="77777777" w:rsidR="00B00DED" w:rsidRPr="00B00DED" w:rsidRDefault="00B00DED" w:rsidP="00B00DED">
      <w:pPr>
        <w:overflowPunct/>
        <w:autoSpaceDE/>
        <w:autoSpaceDN/>
        <w:adjustRightInd/>
        <w:spacing w:after="0"/>
        <w:ind w:left="1440" w:hanging="1440"/>
        <w:textAlignment w:val="auto"/>
        <w:rPr>
          <w:rFonts w:ascii="Times" w:eastAsia="Batang" w:hAnsi="Times" w:cs="Times"/>
          <w:b/>
          <w:highlight w:val="green"/>
          <w:lang w:eastAsia="x-none"/>
        </w:rPr>
      </w:pPr>
      <w:r w:rsidRPr="00B00DED">
        <w:rPr>
          <w:rFonts w:ascii="Times" w:eastAsia="Batang" w:hAnsi="Times" w:cs="Times"/>
          <w:b/>
          <w:highlight w:val="green"/>
          <w:lang w:eastAsia="x-none"/>
        </w:rPr>
        <w:t>Agreement</w:t>
      </w:r>
    </w:p>
    <w:p w14:paraId="1FDEE5F0" w14:textId="77777777" w:rsidR="00B00DED" w:rsidRPr="00B00DED" w:rsidRDefault="00B00DED" w:rsidP="00B00DED">
      <w:pPr>
        <w:spacing w:after="0"/>
        <w:jc w:val="both"/>
        <w:rPr>
          <w:rFonts w:ascii="Times" w:eastAsia="Times New Roman" w:hAnsi="Times" w:cs="Times"/>
          <w:lang w:eastAsia="zh-CN"/>
        </w:rPr>
      </w:pPr>
      <w:r w:rsidRPr="00B00DED">
        <w:rPr>
          <w:rFonts w:ascii="Times" w:eastAsia="Times New Roman" w:hAnsi="Times" w:cs="Times"/>
          <w:lang w:eastAsia="zh-CN"/>
        </w:rPr>
        <w:t>For the 14 HARQ processes feature, when PUCCH is used with 1 repetition and there is presence of non-BL/CE UL subframes (i.e., invalid UL subframes):</w:t>
      </w:r>
    </w:p>
    <w:p w14:paraId="4527F164" w14:textId="77777777" w:rsidR="00B00DED" w:rsidRPr="00B00DED" w:rsidRDefault="00B00DED" w:rsidP="00BB15E0">
      <w:pPr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The term surrounded by brackets in Solution 1 is resolved as 3 BL/CE UL subframes.</w:t>
      </w:r>
    </w:p>
    <w:p w14:paraId="77D34D5A" w14:textId="29C0691F" w:rsidR="00B35072" w:rsidRDefault="00B35072" w:rsidP="00B35072">
      <w:pPr>
        <w:pStyle w:val="Heading2"/>
      </w:pPr>
      <w:r>
        <w:t>A1.4 List of agreements from RAN1 #104-bis-e:</w:t>
      </w:r>
    </w:p>
    <w:p w14:paraId="358EFA23" w14:textId="77777777" w:rsidR="00B35072" w:rsidRPr="00B35072" w:rsidRDefault="00B35072" w:rsidP="00B35072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Calibri" w:hAnsi="Times"/>
          <w:b/>
          <w:bCs/>
          <w:szCs w:val="24"/>
          <w:highlight w:val="green"/>
          <w:lang w:val="en-US" w:eastAsia="en-US"/>
        </w:rPr>
      </w:pPr>
      <w:r w:rsidRPr="00B35072">
        <w:rPr>
          <w:rFonts w:ascii="Times" w:eastAsia="Calibri" w:hAnsi="Times"/>
          <w:b/>
          <w:bCs/>
          <w:szCs w:val="24"/>
          <w:highlight w:val="green"/>
          <w:lang w:val="en-US" w:eastAsia="en-US"/>
        </w:rPr>
        <w:t>Agreement</w:t>
      </w:r>
    </w:p>
    <w:p w14:paraId="491EE89B" w14:textId="77777777" w:rsidR="00B35072" w:rsidRPr="00B35072" w:rsidRDefault="00B35072" w:rsidP="00B35072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 w:cs="Times"/>
          <w:lang w:eastAsia="en-US"/>
        </w:rPr>
      </w:pPr>
      <w:r w:rsidRPr="00B35072">
        <w:rPr>
          <w:rFonts w:ascii="Times" w:eastAsia="Calibri" w:hAnsi="Times" w:cs="Times"/>
          <w:szCs w:val="24"/>
          <w:lang w:val="en-US" w:eastAsia="en-US"/>
        </w:rPr>
        <w:t>In Rel-17, for the 14 HARQ processes feature,</w:t>
      </w:r>
      <w:r w:rsidRPr="00B35072">
        <w:rPr>
          <w:rFonts w:ascii="Times" w:eastAsia="Batang" w:hAnsi="Times" w:cs="Times"/>
          <w:lang w:val="en-US" w:eastAsia="en-US"/>
        </w:rPr>
        <w:t xml:space="preserve"> PUCCH repetition is not supported with HARQ-ACK bundling.</w:t>
      </w:r>
    </w:p>
    <w:p w14:paraId="41CE5E9F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</w:p>
    <w:p w14:paraId="2510CB36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b/>
          <w:bCs/>
          <w:szCs w:val="24"/>
          <w:lang w:eastAsia="x-none"/>
        </w:rPr>
      </w:pPr>
      <w:r w:rsidRPr="00B35072">
        <w:rPr>
          <w:rFonts w:ascii="Times" w:eastAsia="Batang" w:hAnsi="Times"/>
          <w:b/>
          <w:bCs/>
          <w:szCs w:val="24"/>
          <w:lang w:eastAsia="x-none"/>
        </w:rPr>
        <w:t>Conclusion</w:t>
      </w:r>
    </w:p>
    <w:p w14:paraId="10509B1B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In Rel-17, the 14 HARQ processes feature is not supported when the multi-TB grant feature is enabled.</w:t>
      </w:r>
    </w:p>
    <w:p w14:paraId="7F5B0F08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</w:p>
    <w:p w14:paraId="635C96E5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b/>
          <w:szCs w:val="24"/>
          <w:lang w:eastAsia="x-none"/>
        </w:rPr>
        <w:t>R1-2103860</w:t>
      </w:r>
      <w:r w:rsidRPr="00B35072">
        <w:rPr>
          <w:rFonts w:ascii="Times" w:eastAsia="Batang" w:hAnsi="Times"/>
          <w:szCs w:val="24"/>
          <w:lang w:eastAsia="x-none"/>
        </w:rPr>
        <w:tab/>
        <w:t>Feature Lead Summary [104b-e-LTE-Rel17_NB_IoT_eMTC-02]: 2nd check point</w:t>
      </w:r>
      <w:r w:rsidRPr="00B35072">
        <w:rPr>
          <w:rFonts w:ascii="Times" w:eastAsia="Batang" w:hAnsi="Times"/>
          <w:szCs w:val="24"/>
          <w:lang w:eastAsia="x-none"/>
        </w:rPr>
        <w:tab/>
        <w:t>Moderator (Ericsson)</w:t>
      </w:r>
    </w:p>
    <w:p w14:paraId="7215CC18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</w:p>
    <w:p w14:paraId="4943AD0E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B35072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4452C123" w14:textId="77777777" w:rsidR="00B35072" w:rsidRPr="00B35072" w:rsidRDefault="00B35072" w:rsidP="00B35072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Calibri" w:hAnsi="Times"/>
          <w:szCs w:val="24"/>
          <w:lang w:val="en-US" w:eastAsia="en-US"/>
        </w:rPr>
      </w:pPr>
      <w:r w:rsidRPr="00B35072">
        <w:rPr>
          <w:rFonts w:ascii="Times" w:eastAsia="Calibri" w:hAnsi="Times"/>
          <w:szCs w:val="24"/>
          <w:lang w:val="en-US" w:eastAsia="en-US"/>
        </w:rPr>
        <w:t>In Rel-17, for the 14 HARQ process feature the HARQ-ACK delay solution will be down-selected in RAN1#105-e from:</w:t>
      </w:r>
    </w:p>
    <w:p w14:paraId="35C82765" w14:textId="77777777" w:rsidR="00B35072" w:rsidRPr="00B35072" w:rsidRDefault="00B35072" w:rsidP="00BB15E0">
      <w:pPr>
        <w:numPr>
          <w:ilvl w:val="0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Alt-1: The HARQ-ACK delay is determined through an expression consisting of different subframe types (Using a similar principle as the PDSCH scheduling delay).</w:t>
      </w:r>
    </w:p>
    <w:p w14:paraId="5A9C12B3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The expression consisting of different subframe types.</w:t>
      </w:r>
    </w:p>
    <w:p w14:paraId="30864208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Signaling Details.</w:t>
      </w:r>
    </w:p>
    <w:p w14:paraId="29A0010D" w14:textId="77777777" w:rsidR="00B35072" w:rsidRPr="00B35072" w:rsidRDefault="00B35072" w:rsidP="00BB15E0">
      <w:pPr>
        <w:numPr>
          <w:ilvl w:val="0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Alt-2: The HARQ-ACK delay is determined following the legacy approach. That is, the “HARQ-ACK delay” is kept expressed in terms of “absolute subframes”.</w:t>
      </w:r>
    </w:p>
    <w:p w14:paraId="7A5528E2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The percentage of presence of non-BL/CE DL subframes and non-BL/CE UL subframes to be handled.</w:t>
      </w:r>
    </w:p>
    <w:p w14:paraId="300E6C26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HARQ-ACK delay values and length of the HARQ-ACK delay set.</w:t>
      </w:r>
    </w:p>
    <w:p w14:paraId="3457C5FF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Signaling Details.</w:t>
      </w:r>
    </w:p>
    <w:p w14:paraId="26539976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Calibri" w:hAnsi="Times"/>
          <w:szCs w:val="24"/>
          <w:lang w:val="en-US" w:eastAsia="en-US"/>
        </w:rPr>
      </w:pPr>
      <w:r w:rsidRPr="00B35072">
        <w:rPr>
          <w:rFonts w:ascii="Times" w:eastAsia="Calibri" w:hAnsi="Times"/>
          <w:szCs w:val="24"/>
          <w:lang w:val="en-US" w:eastAsia="en-US"/>
        </w:rPr>
        <w:t>The following aspects will be considered towards the down-selection of one of the two alternatives (i.e., Alt-1 or Alt-2) for the HARQ-ACK delay solution:</w:t>
      </w:r>
    </w:p>
    <w:p w14:paraId="703304D4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Total number of bits required in DCI</w:t>
      </w:r>
    </w:p>
    <w:p w14:paraId="704D255C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Scenarios that can be handled, including:</w:t>
      </w:r>
    </w:p>
    <w:p w14:paraId="5A9F2D6F" w14:textId="77777777" w:rsidR="00B35072" w:rsidRPr="00B35072" w:rsidRDefault="00B35072" w:rsidP="00B35072">
      <w:pPr>
        <w:overflowPunct/>
        <w:autoSpaceDE/>
        <w:autoSpaceDN/>
        <w:adjustRightInd/>
        <w:spacing w:after="0"/>
        <w:ind w:leftChars="400" w:left="80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(a) different numbers of scheduled HARQ processes per burst (including dynamically switching between more than 10 HARQ processes and 10 or less HARQ processes)</w:t>
      </w:r>
    </w:p>
    <w:p w14:paraId="279EF4A3" w14:textId="77777777" w:rsidR="00B35072" w:rsidRPr="00B35072" w:rsidRDefault="00B35072" w:rsidP="00B35072">
      <w:pPr>
        <w:overflowPunct/>
        <w:autoSpaceDE/>
        <w:autoSpaceDN/>
        <w:adjustRightInd/>
        <w:spacing w:after="0"/>
        <w:ind w:leftChars="400" w:left="80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(b) different % of invalid subframes for both 10 and 40 SF long bitmaps</w:t>
      </w:r>
    </w:p>
    <w:p w14:paraId="181BC79E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Robustness against loss of DCIs</w:t>
      </w:r>
    </w:p>
    <w:p w14:paraId="7CC5A6ED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 xml:space="preserve">Flexibility </w:t>
      </w:r>
    </w:p>
    <w:p w14:paraId="45A1CA95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RRC signaling overhead</w:t>
      </w:r>
    </w:p>
    <w:p w14:paraId="19601644" w14:textId="77777777" w:rsidR="008845A6" w:rsidRPr="00B00DED" w:rsidRDefault="008845A6" w:rsidP="008845A6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</w:p>
    <w:p w14:paraId="1642F5F6" w14:textId="1D225588" w:rsidR="008845A6" w:rsidRDefault="008845A6" w:rsidP="008845A6">
      <w:pPr>
        <w:pStyle w:val="Heading2"/>
      </w:pPr>
      <w:r>
        <w:lastRenderedPageBreak/>
        <w:t>A1.5 List of agreements from RAN1 #105-bis-e until Week 1:</w:t>
      </w:r>
    </w:p>
    <w:p w14:paraId="03A427FC" w14:textId="77777777" w:rsidR="008845A6" w:rsidRPr="008845A6" w:rsidRDefault="008845A6" w:rsidP="008845A6">
      <w:pPr>
        <w:rPr>
          <w:rFonts w:cs="Times"/>
          <w:b/>
          <w:bCs/>
          <w:highlight w:val="green"/>
          <w:lang w:eastAsia="x-none"/>
        </w:rPr>
      </w:pPr>
      <w:r w:rsidRPr="008845A6">
        <w:rPr>
          <w:rFonts w:cs="Times"/>
          <w:b/>
          <w:bCs/>
          <w:highlight w:val="green"/>
          <w:lang w:eastAsia="x-none"/>
        </w:rPr>
        <w:t>Agreement</w:t>
      </w:r>
    </w:p>
    <w:p w14:paraId="4B9E95E2" w14:textId="77777777" w:rsidR="008845A6" w:rsidRPr="008845A6" w:rsidRDefault="008845A6" w:rsidP="008845A6">
      <w:pPr>
        <w:keepNext/>
        <w:keepLines/>
        <w:jc w:val="both"/>
        <w:rPr>
          <w:rFonts w:eastAsia="Calibri" w:cs="Times"/>
          <w:lang w:val="en-US"/>
        </w:rPr>
      </w:pPr>
      <w:r w:rsidRPr="008845A6">
        <w:rPr>
          <w:rFonts w:eastAsia="Calibri" w:cs="Times"/>
          <w:lang w:val="en-US"/>
        </w:rPr>
        <w:t>In Rel-17, for the 14 HARQ process feature the HARQ-ACK delay solution will be supported with multiple solutions: Alt-1 for full flexibility and Alt-2e for support of legacy delay</w:t>
      </w:r>
    </w:p>
    <w:p w14:paraId="1DE8E6CE" w14:textId="77777777" w:rsidR="008845A6" w:rsidRPr="008845A6" w:rsidRDefault="008845A6" w:rsidP="008845A6">
      <w:pPr>
        <w:ind w:left="1134" w:hanging="567"/>
        <w:rPr>
          <w:rFonts w:eastAsia="Calibri" w:cs="Times"/>
          <w:lang w:val="en-US"/>
        </w:rPr>
      </w:pPr>
      <w:r w:rsidRPr="008845A6">
        <w:rPr>
          <w:rFonts w:eastAsia="Calibri" w:cs="Times"/>
          <w:lang w:val="en-US"/>
        </w:rPr>
        <w:t>Alt-1: The HARQ-ACK delay is determined through an expression consisting of different subframe types (Using a similar principle as the PDSCH scheduling delay).</w:t>
      </w:r>
    </w:p>
    <w:p w14:paraId="0AEB2F4D" w14:textId="77777777" w:rsidR="008845A6" w:rsidRPr="008845A6" w:rsidRDefault="008845A6" w:rsidP="008845A6">
      <w:pPr>
        <w:pStyle w:val="ListParagraph"/>
        <w:numPr>
          <w:ilvl w:val="1"/>
          <w:numId w:val="29"/>
        </w:numPr>
        <w:rPr>
          <w:rFonts w:cs="Times"/>
          <w:sz w:val="20"/>
          <w:szCs w:val="20"/>
          <w:lang w:val="en-US"/>
        </w:rPr>
      </w:pPr>
      <w:r w:rsidRPr="008845A6">
        <w:rPr>
          <w:rFonts w:cs="Times"/>
          <w:sz w:val="20"/>
          <w:szCs w:val="20"/>
          <w:lang w:val="en-US"/>
        </w:rPr>
        <w:t>Without using more than 6 bits</w:t>
      </w:r>
    </w:p>
    <w:p w14:paraId="7B8254DE" w14:textId="77777777" w:rsidR="008845A6" w:rsidRPr="008845A6" w:rsidRDefault="008845A6" w:rsidP="008845A6">
      <w:pPr>
        <w:pStyle w:val="ListParagraph"/>
        <w:numPr>
          <w:ilvl w:val="1"/>
          <w:numId w:val="29"/>
        </w:numPr>
        <w:rPr>
          <w:rFonts w:cs="Times"/>
          <w:sz w:val="20"/>
          <w:szCs w:val="20"/>
          <w:lang w:val="en-US"/>
        </w:rPr>
      </w:pPr>
      <w:r w:rsidRPr="008845A6">
        <w:rPr>
          <w:rFonts w:cs="Times"/>
          <w:sz w:val="20"/>
          <w:szCs w:val="20"/>
          <w:lang w:val="en-US"/>
        </w:rPr>
        <w:t>FFS: How to minimize the overhead by using joint encoding</w:t>
      </w:r>
    </w:p>
    <w:p w14:paraId="51FEB5D1" w14:textId="77777777" w:rsidR="008845A6" w:rsidRPr="008845A6" w:rsidRDefault="008845A6" w:rsidP="008845A6">
      <w:pPr>
        <w:ind w:left="1134" w:hanging="567"/>
        <w:rPr>
          <w:rFonts w:eastAsia="Calibri" w:cs="Times"/>
          <w:lang w:val="en-US"/>
        </w:rPr>
      </w:pPr>
      <w:r w:rsidRPr="008845A6">
        <w:rPr>
          <w:rFonts w:eastAsia="Calibri" w:cs="Times"/>
          <w:lang w:val="en-US"/>
        </w:rPr>
        <w:t>Alt-2: The HARQ-ACK delay is determined following the legacy approach. That is, the “HARQ-ACK delay” is kept expressed in terms of “absolute subframes”.</w:t>
      </w:r>
    </w:p>
    <w:p w14:paraId="339205CB" w14:textId="77777777" w:rsidR="008845A6" w:rsidRPr="008845A6" w:rsidRDefault="008845A6" w:rsidP="008845A6">
      <w:pPr>
        <w:pStyle w:val="ListParagraph"/>
        <w:numPr>
          <w:ilvl w:val="1"/>
          <w:numId w:val="29"/>
        </w:numPr>
        <w:rPr>
          <w:rFonts w:cs="Times"/>
          <w:sz w:val="20"/>
          <w:szCs w:val="20"/>
          <w:lang w:val="en-US"/>
        </w:rPr>
      </w:pPr>
      <w:r w:rsidRPr="008845A6">
        <w:rPr>
          <w:rFonts w:cs="Times"/>
          <w:sz w:val="20"/>
          <w:szCs w:val="20"/>
          <w:lang w:val="en-US"/>
        </w:rPr>
        <w:t>The HARQ-ACK delay values and the length of the HARQ-ACK delay set will be based on</w:t>
      </w:r>
    </w:p>
    <w:p w14:paraId="03F501AF" w14:textId="77777777" w:rsidR="008845A6" w:rsidRPr="008845A6" w:rsidRDefault="008845A6" w:rsidP="008845A6">
      <w:pPr>
        <w:pStyle w:val="ListParagraph"/>
        <w:numPr>
          <w:ilvl w:val="2"/>
          <w:numId w:val="29"/>
        </w:numPr>
        <w:rPr>
          <w:rFonts w:cs="Times"/>
          <w:sz w:val="20"/>
          <w:szCs w:val="20"/>
          <w:lang w:val="en-US"/>
        </w:rPr>
      </w:pPr>
      <w:r w:rsidRPr="008845A6">
        <w:rPr>
          <w:rFonts w:cs="Times"/>
          <w:sz w:val="20"/>
          <w:szCs w:val="20"/>
          <w:lang w:val="en-US"/>
        </w:rPr>
        <w:t>Alt-2e: “3 bits (same as legacy)”</w:t>
      </w:r>
    </w:p>
    <w:p w14:paraId="694E4E3E" w14:textId="77777777" w:rsidR="008845A6" w:rsidRPr="008845A6" w:rsidRDefault="008845A6" w:rsidP="008845A6">
      <w:pPr>
        <w:pStyle w:val="ListParagraph"/>
        <w:numPr>
          <w:ilvl w:val="2"/>
          <w:numId w:val="29"/>
        </w:numPr>
        <w:rPr>
          <w:rFonts w:cs="Times"/>
          <w:sz w:val="20"/>
          <w:szCs w:val="20"/>
          <w:lang w:val="en-US"/>
        </w:rPr>
      </w:pPr>
      <w:r w:rsidRPr="008845A6">
        <w:rPr>
          <w:rFonts w:cs="Times"/>
          <w:sz w:val="20"/>
          <w:szCs w:val="20"/>
          <w:lang w:val="en-US"/>
        </w:rPr>
        <w:t>FFS: Whether HARQ delay set is to use range1 or range2</w:t>
      </w:r>
    </w:p>
    <w:p w14:paraId="7C1C9F26" w14:textId="77777777" w:rsidR="008845A6" w:rsidRPr="008845A6" w:rsidRDefault="008845A6" w:rsidP="008845A6">
      <w:pPr>
        <w:ind w:left="1134" w:hanging="567"/>
        <w:rPr>
          <w:rFonts w:eastAsia="Calibri" w:cs="Times"/>
          <w:lang w:val="en-US"/>
        </w:rPr>
      </w:pPr>
      <w:r w:rsidRPr="008845A6">
        <w:rPr>
          <w:rFonts w:eastAsia="Calibri" w:cs="Times"/>
          <w:lang w:val="en-US"/>
        </w:rPr>
        <w:t>RRC signaling will be used to configure between Alt-1 and Alt-2e</w:t>
      </w:r>
    </w:p>
    <w:p w14:paraId="711273F5" w14:textId="77777777" w:rsidR="008845A6" w:rsidRPr="008845A6" w:rsidRDefault="008845A6" w:rsidP="008845A6">
      <w:pPr>
        <w:ind w:left="1134" w:hanging="567"/>
        <w:rPr>
          <w:rFonts w:eastAsia="Calibri" w:cs="Times"/>
          <w:lang w:val="en-US"/>
        </w:rPr>
      </w:pPr>
      <w:r w:rsidRPr="008845A6">
        <w:rPr>
          <w:rFonts w:eastAsia="Calibri" w:cs="Times"/>
          <w:lang w:val="en-US"/>
        </w:rPr>
        <w:t>FFS: Signaling details</w:t>
      </w:r>
    </w:p>
    <w:p w14:paraId="4937FAFA" w14:textId="43837621" w:rsidR="008845A6" w:rsidRPr="008845A6" w:rsidRDefault="008845A6" w:rsidP="008845A6">
      <w:pPr>
        <w:ind w:left="1134" w:hanging="567"/>
        <w:rPr>
          <w:rFonts w:eastAsia="Calibri" w:cs="Times"/>
          <w:lang w:val="en-US"/>
        </w:rPr>
      </w:pPr>
      <w:r w:rsidRPr="008845A6">
        <w:rPr>
          <w:rFonts w:eastAsia="Calibri" w:cs="Times"/>
          <w:lang w:val="en-US"/>
        </w:rPr>
        <w:t>FFS: Joint encoding</w:t>
      </w:r>
    </w:p>
    <w:sectPr w:rsidR="008845A6" w:rsidRPr="008845A6" w:rsidSect="007F4FA6">
      <w:headerReference w:type="even" r:id="rId17"/>
      <w:footerReference w:type="defaul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A4763" w14:textId="77777777" w:rsidR="00D67184" w:rsidRDefault="00D67184">
      <w:r>
        <w:separator/>
      </w:r>
    </w:p>
  </w:endnote>
  <w:endnote w:type="continuationSeparator" w:id="0">
    <w:p w14:paraId="28A09AF0" w14:textId="77777777" w:rsidR="00D67184" w:rsidRDefault="00D67184">
      <w:r>
        <w:continuationSeparator/>
      </w:r>
    </w:p>
  </w:endnote>
  <w:endnote w:type="continuationNotice" w:id="1">
    <w:p w14:paraId="13876FAC" w14:textId="77777777" w:rsidR="00D67184" w:rsidRDefault="00D6718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EBFE1" w14:textId="77777777" w:rsidR="001620D1" w:rsidRDefault="001620D1" w:rsidP="00313FD6">
    <w:pPr>
      <w:pStyle w:val="Footer"/>
      <w:tabs>
        <w:tab w:val="center" w:pos="4820"/>
        <w:tab w:val="right" w:pos="9639"/>
      </w:tabs>
      <w:jc w:val="left"/>
    </w:pPr>
    <w:r>
      <w:rPr>
        <w:rStyle w:val="PageNumber"/>
      </w:rPr>
      <w:tab/>
    </w:r>
  </w:p>
  <w:p w14:paraId="65A3CE2D" w14:textId="77777777" w:rsidR="001620D1" w:rsidRDefault="001620D1"/>
  <w:p w14:paraId="582975B7" w14:textId="77777777" w:rsidR="001620D1" w:rsidRDefault="001620D1"/>
  <w:p w14:paraId="4995DC13" w14:textId="77777777" w:rsidR="001620D1" w:rsidRDefault="001620D1" w:rsidP="004B018B">
    <w:pPr>
      <w:pStyle w:val="Reference"/>
      <w:numPr>
        <w:ilvl w:val="0"/>
        <w:numId w:val="0"/>
      </w:numPr>
      <w:ind w:left="567" w:hanging="567"/>
    </w:pPr>
  </w:p>
  <w:p w14:paraId="7BFAF85D" w14:textId="53C59729" w:rsidR="001620D1" w:rsidRDefault="001620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E55F8" w14:textId="77777777" w:rsidR="00D67184" w:rsidRDefault="00D67184">
      <w:r>
        <w:separator/>
      </w:r>
    </w:p>
  </w:footnote>
  <w:footnote w:type="continuationSeparator" w:id="0">
    <w:p w14:paraId="338CF80D" w14:textId="77777777" w:rsidR="00D67184" w:rsidRDefault="00D67184">
      <w:r>
        <w:continuationSeparator/>
      </w:r>
    </w:p>
  </w:footnote>
  <w:footnote w:type="continuationNotice" w:id="1">
    <w:p w14:paraId="3269A9D6" w14:textId="77777777" w:rsidR="00D67184" w:rsidRDefault="00D6718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698EA" w14:textId="77777777" w:rsidR="001620D1" w:rsidRDefault="001620D1">
    <w:r>
      <w:br/>
      <w:t>Draft prETS 300 ???: Month YYYY</w:t>
    </w:r>
  </w:p>
  <w:p w14:paraId="6302E21F" w14:textId="77777777" w:rsidR="001620D1" w:rsidRDefault="001620D1"/>
  <w:p w14:paraId="00A9A877" w14:textId="77777777" w:rsidR="001620D1" w:rsidRDefault="001620D1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4EF7F95"/>
    <w:multiLevelType w:val="hybridMultilevel"/>
    <w:tmpl w:val="DD361D0E"/>
    <w:lvl w:ilvl="0" w:tplc="041D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FF72C7E"/>
    <w:multiLevelType w:val="hybridMultilevel"/>
    <w:tmpl w:val="2B3046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45014"/>
    <w:multiLevelType w:val="hybridMultilevel"/>
    <w:tmpl w:val="FF6A4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0338E"/>
    <w:multiLevelType w:val="multilevel"/>
    <w:tmpl w:val="2D463B8A"/>
    <w:lvl w:ilvl="0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6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1FDF6A5A"/>
    <w:multiLevelType w:val="hybridMultilevel"/>
    <w:tmpl w:val="8FFEAD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3615B4"/>
    <w:multiLevelType w:val="multilevel"/>
    <w:tmpl w:val="913088FE"/>
    <w:lvl w:ilvl="0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243666D7"/>
    <w:multiLevelType w:val="hybridMultilevel"/>
    <w:tmpl w:val="377E4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F6DC6"/>
    <w:multiLevelType w:val="hybridMultilevel"/>
    <w:tmpl w:val="684806A4"/>
    <w:lvl w:ilvl="0" w:tplc="4E5CA9E4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6C4745F"/>
    <w:multiLevelType w:val="hybridMultilevel"/>
    <w:tmpl w:val="470E31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7CC754E"/>
    <w:multiLevelType w:val="hybridMultilevel"/>
    <w:tmpl w:val="F0C8D0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313248"/>
    <w:multiLevelType w:val="hybridMultilevel"/>
    <w:tmpl w:val="728A87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D7A1E"/>
    <w:multiLevelType w:val="hybridMultilevel"/>
    <w:tmpl w:val="3356EAD4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E93A1C"/>
    <w:multiLevelType w:val="hybridMultilevel"/>
    <w:tmpl w:val="1EE4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686711C"/>
    <w:multiLevelType w:val="hybridMultilevel"/>
    <w:tmpl w:val="5968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041898">
      <w:numFmt w:val="bullet"/>
      <w:lvlText w:val=""/>
      <w:lvlJc w:val="left"/>
      <w:pPr>
        <w:ind w:left="2160" w:hanging="360"/>
      </w:pPr>
      <w:rPr>
        <w:rFonts w:ascii="Wingdings" w:eastAsia="DengXi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3B10A0"/>
    <w:multiLevelType w:val="hybridMultilevel"/>
    <w:tmpl w:val="1CAC3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07260"/>
    <w:multiLevelType w:val="hybridMultilevel"/>
    <w:tmpl w:val="37C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9950B21"/>
    <w:multiLevelType w:val="hybridMultilevel"/>
    <w:tmpl w:val="9D44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1505E"/>
    <w:multiLevelType w:val="hybridMultilevel"/>
    <w:tmpl w:val="B5760508"/>
    <w:lvl w:ilvl="0" w:tplc="3F8EB574">
      <w:start w:val="19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94C6641"/>
    <w:multiLevelType w:val="hybridMultilevel"/>
    <w:tmpl w:val="444C942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A6115"/>
    <w:multiLevelType w:val="hybridMultilevel"/>
    <w:tmpl w:val="48267238"/>
    <w:lvl w:ilvl="0" w:tplc="0CB622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DB699A"/>
    <w:multiLevelType w:val="hybridMultilevel"/>
    <w:tmpl w:val="B4BAC1E2"/>
    <w:lvl w:ilvl="0" w:tplc="B5A8667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220BE"/>
    <w:multiLevelType w:val="hybridMultilevel"/>
    <w:tmpl w:val="BC06D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B2A10"/>
    <w:multiLevelType w:val="hybridMultilevel"/>
    <w:tmpl w:val="CB527DEA"/>
    <w:lvl w:ilvl="0" w:tplc="0809000F">
      <w:start w:val="1"/>
      <w:numFmt w:val="decimal"/>
      <w:lvlText w:val="%1."/>
      <w:lvlJc w:val="left"/>
      <w:pPr>
        <w:ind w:left="774" w:hanging="360"/>
      </w:pPr>
    </w:lvl>
    <w:lvl w:ilvl="1" w:tplc="08090019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6"/>
  </w:num>
  <w:num w:numId="2">
    <w:abstractNumId w:val="20"/>
  </w:num>
  <w:num w:numId="3">
    <w:abstractNumId w:val="0"/>
  </w:num>
  <w:num w:numId="4">
    <w:abstractNumId w:val="27"/>
  </w:num>
  <w:num w:numId="5">
    <w:abstractNumId w:val="28"/>
  </w:num>
  <w:num w:numId="6">
    <w:abstractNumId w:val="29"/>
  </w:num>
  <w:num w:numId="7">
    <w:abstractNumId w:val="7"/>
  </w:num>
  <w:num w:numId="8">
    <w:abstractNumId w:val="12"/>
  </w:num>
  <w:num w:numId="9">
    <w:abstractNumId w:val="2"/>
  </w:num>
  <w:num w:numId="10">
    <w:abstractNumId w:val="36"/>
  </w:num>
  <w:num w:numId="11">
    <w:abstractNumId w:val="18"/>
  </w:num>
  <w:num w:numId="12">
    <w:abstractNumId w:val="33"/>
  </w:num>
  <w:num w:numId="13">
    <w:abstractNumId w:val="15"/>
  </w:num>
  <w:num w:numId="14">
    <w:abstractNumId w:val="37"/>
  </w:num>
  <w:num w:numId="15">
    <w:abstractNumId w:val="34"/>
  </w:num>
  <w:num w:numId="16">
    <w:abstractNumId w:val="4"/>
  </w:num>
  <w:num w:numId="17">
    <w:abstractNumId w:val="25"/>
  </w:num>
  <w:num w:numId="18">
    <w:abstractNumId w:val="17"/>
  </w:num>
  <w:num w:numId="19">
    <w:abstractNumId w:val="3"/>
  </w:num>
  <w:num w:numId="20">
    <w:abstractNumId w:val="9"/>
  </w:num>
  <w:num w:numId="21">
    <w:abstractNumId w:val="22"/>
  </w:num>
  <w:num w:numId="22">
    <w:abstractNumId w:val="23"/>
  </w:num>
  <w:num w:numId="23">
    <w:abstractNumId w:val="19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5"/>
  </w:num>
  <w:num w:numId="27">
    <w:abstractNumId w:val="16"/>
  </w:num>
  <w:num w:numId="28">
    <w:abstractNumId w:val="24"/>
  </w:num>
  <w:num w:numId="29">
    <w:abstractNumId w:val="32"/>
  </w:num>
  <w:num w:numId="30">
    <w:abstractNumId w:val="1"/>
  </w:num>
  <w:num w:numId="31">
    <w:abstractNumId w:val="31"/>
  </w:num>
  <w:num w:numId="32">
    <w:abstractNumId w:val="35"/>
  </w:num>
  <w:num w:numId="33">
    <w:abstractNumId w:val="11"/>
  </w:num>
  <w:num w:numId="34">
    <w:abstractNumId w:val="8"/>
  </w:num>
  <w:num w:numId="35">
    <w:abstractNumId w:val="38"/>
  </w:num>
  <w:num w:numId="36">
    <w:abstractNumId w:val="13"/>
  </w:num>
  <w:num w:numId="37">
    <w:abstractNumId w:val="21"/>
  </w:num>
  <w:num w:numId="38">
    <w:abstractNumId w:val="14"/>
  </w:num>
  <w:num w:numId="39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TT" w:vendorID="64" w:dllVersion="0" w:nlCheck="1" w:checkStyle="0"/>
  <w:activeWritingStyle w:appName="MSWord" w:lang="en-TT" w:vendorID="64" w:dllVersion="6" w:nlCheck="1" w:checkStyle="1"/>
  <w:activeWritingStyle w:appName="MSWord" w:lang="es-MX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ED"/>
    <w:rsid w:val="00000380"/>
    <w:rsid w:val="000006E1"/>
    <w:rsid w:val="00000B4D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101"/>
    <w:rsid w:val="00016E28"/>
    <w:rsid w:val="0001744D"/>
    <w:rsid w:val="00017E5B"/>
    <w:rsid w:val="0002070C"/>
    <w:rsid w:val="00020A32"/>
    <w:rsid w:val="00021072"/>
    <w:rsid w:val="00021756"/>
    <w:rsid w:val="000220CD"/>
    <w:rsid w:val="00022259"/>
    <w:rsid w:val="000227F6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72C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28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5CA2"/>
    <w:rsid w:val="0005606A"/>
    <w:rsid w:val="00057117"/>
    <w:rsid w:val="0005716B"/>
    <w:rsid w:val="0005747E"/>
    <w:rsid w:val="000574BC"/>
    <w:rsid w:val="000575BE"/>
    <w:rsid w:val="00057A19"/>
    <w:rsid w:val="00060177"/>
    <w:rsid w:val="00061031"/>
    <w:rsid w:val="000616E7"/>
    <w:rsid w:val="00061A0C"/>
    <w:rsid w:val="00061D48"/>
    <w:rsid w:val="00061E07"/>
    <w:rsid w:val="00062003"/>
    <w:rsid w:val="0006253D"/>
    <w:rsid w:val="000626FA"/>
    <w:rsid w:val="00062A13"/>
    <w:rsid w:val="00062CC6"/>
    <w:rsid w:val="00063341"/>
    <w:rsid w:val="0006447C"/>
    <w:rsid w:val="00064536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119"/>
    <w:rsid w:val="000717FB"/>
    <w:rsid w:val="0007183A"/>
    <w:rsid w:val="00071A30"/>
    <w:rsid w:val="00071E0C"/>
    <w:rsid w:val="0007210B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7D3"/>
    <w:rsid w:val="00080BB7"/>
    <w:rsid w:val="00081293"/>
    <w:rsid w:val="00081695"/>
    <w:rsid w:val="0008197D"/>
    <w:rsid w:val="00081AE6"/>
    <w:rsid w:val="0008267B"/>
    <w:rsid w:val="0008294A"/>
    <w:rsid w:val="00083425"/>
    <w:rsid w:val="0008342E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86EB4"/>
    <w:rsid w:val="00087A12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868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63F"/>
    <w:rsid w:val="000A0B91"/>
    <w:rsid w:val="000A103E"/>
    <w:rsid w:val="000A112C"/>
    <w:rsid w:val="000A1B7B"/>
    <w:rsid w:val="000A2308"/>
    <w:rsid w:val="000A2362"/>
    <w:rsid w:val="000A279E"/>
    <w:rsid w:val="000A288D"/>
    <w:rsid w:val="000A29C4"/>
    <w:rsid w:val="000A37C1"/>
    <w:rsid w:val="000A38B8"/>
    <w:rsid w:val="000A4286"/>
    <w:rsid w:val="000A43D1"/>
    <w:rsid w:val="000A4A2B"/>
    <w:rsid w:val="000A4F09"/>
    <w:rsid w:val="000A5581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79A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0BDC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14E"/>
    <w:rsid w:val="000C47EB"/>
    <w:rsid w:val="000C49EB"/>
    <w:rsid w:val="000C516E"/>
    <w:rsid w:val="000C55AB"/>
    <w:rsid w:val="000C5B63"/>
    <w:rsid w:val="000C6122"/>
    <w:rsid w:val="000C72C2"/>
    <w:rsid w:val="000C7C27"/>
    <w:rsid w:val="000D003E"/>
    <w:rsid w:val="000D0312"/>
    <w:rsid w:val="000D0D07"/>
    <w:rsid w:val="000D0ED1"/>
    <w:rsid w:val="000D12FF"/>
    <w:rsid w:val="000D33D8"/>
    <w:rsid w:val="000D360E"/>
    <w:rsid w:val="000D3743"/>
    <w:rsid w:val="000D3941"/>
    <w:rsid w:val="000D399C"/>
    <w:rsid w:val="000D4184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770"/>
    <w:rsid w:val="000E0D16"/>
    <w:rsid w:val="000E0D42"/>
    <w:rsid w:val="000E1304"/>
    <w:rsid w:val="000E1CEB"/>
    <w:rsid w:val="000E1E17"/>
    <w:rsid w:val="000E1E92"/>
    <w:rsid w:val="000E27D8"/>
    <w:rsid w:val="000E30B2"/>
    <w:rsid w:val="000E30DA"/>
    <w:rsid w:val="000E37AA"/>
    <w:rsid w:val="000E3CB3"/>
    <w:rsid w:val="000E56CD"/>
    <w:rsid w:val="000E6ED2"/>
    <w:rsid w:val="000E719E"/>
    <w:rsid w:val="000E759E"/>
    <w:rsid w:val="000E7622"/>
    <w:rsid w:val="000E7687"/>
    <w:rsid w:val="000E7B7A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BC4"/>
    <w:rsid w:val="000F2DC7"/>
    <w:rsid w:val="000F311F"/>
    <w:rsid w:val="000F3624"/>
    <w:rsid w:val="000F3B2F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35"/>
    <w:rsid w:val="000F719F"/>
    <w:rsid w:val="000F731E"/>
    <w:rsid w:val="000F77AB"/>
    <w:rsid w:val="000F7C0D"/>
    <w:rsid w:val="001005FF"/>
    <w:rsid w:val="00100900"/>
    <w:rsid w:val="0010113C"/>
    <w:rsid w:val="00101452"/>
    <w:rsid w:val="00101ABF"/>
    <w:rsid w:val="001023DE"/>
    <w:rsid w:val="00102536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072F7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19"/>
    <w:rsid w:val="0011449A"/>
    <w:rsid w:val="00114552"/>
    <w:rsid w:val="001145C3"/>
    <w:rsid w:val="001149CD"/>
    <w:rsid w:val="0011518E"/>
    <w:rsid w:val="001153EA"/>
    <w:rsid w:val="00115643"/>
    <w:rsid w:val="00115B52"/>
    <w:rsid w:val="00116082"/>
    <w:rsid w:val="001163E5"/>
    <w:rsid w:val="00116765"/>
    <w:rsid w:val="0011685A"/>
    <w:rsid w:val="00116B6D"/>
    <w:rsid w:val="001170AA"/>
    <w:rsid w:val="001172C4"/>
    <w:rsid w:val="00117A78"/>
    <w:rsid w:val="001207A8"/>
    <w:rsid w:val="001219F5"/>
    <w:rsid w:val="00121A20"/>
    <w:rsid w:val="00121B71"/>
    <w:rsid w:val="00121E65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27C0C"/>
    <w:rsid w:val="00130235"/>
    <w:rsid w:val="00130398"/>
    <w:rsid w:val="00130597"/>
    <w:rsid w:val="00130DA6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3EF"/>
    <w:rsid w:val="001357A7"/>
    <w:rsid w:val="001360EE"/>
    <w:rsid w:val="00136A93"/>
    <w:rsid w:val="00136E73"/>
    <w:rsid w:val="00137350"/>
    <w:rsid w:val="00137AB5"/>
    <w:rsid w:val="00137DA3"/>
    <w:rsid w:val="00137DED"/>
    <w:rsid w:val="00137F0B"/>
    <w:rsid w:val="00137FEC"/>
    <w:rsid w:val="00140AE9"/>
    <w:rsid w:val="00140CAC"/>
    <w:rsid w:val="001417E5"/>
    <w:rsid w:val="00142589"/>
    <w:rsid w:val="001428CD"/>
    <w:rsid w:val="00142E59"/>
    <w:rsid w:val="00143195"/>
    <w:rsid w:val="0014341A"/>
    <w:rsid w:val="001438FE"/>
    <w:rsid w:val="001439C5"/>
    <w:rsid w:val="00144052"/>
    <w:rsid w:val="00144645"/>
    <w:rsid w:val="001448CE"/>
    <w:rsid w:val="00144A48"/>
    <w:rsid w:val="00144DD2"/>
    <w:rsid w:val="00145507"/>
    <w:rsid w:val="00145519"/>
    <w:rsid w:val="00145DD6"/>
    <w:rsid w:val="001466FE"/>
    <w:rsid w:val="00146CCA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DF3"/>
    <w:rsid w:val="00151E23"/>
    <w:rsid w:val="001526E0"/>
    <w:rsid w:val="00152806"/>
    <w:rsid w:val="001529CE"/>
    <w:rsid w:val="00152B02"/>
    <w:rsid w:val="00152B36"/>
    <w:rsid w:val="00152CA0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0FE"/>
    <w:rsid w:val="00161407"/>
    <w:rsid w:val="00161B73"/>
    <w:rsid w:val="00161ED8"/>
    <w:rsid w:val="001620D1"/>
    <w:rsid w:val="0016211D"/>
    <w:rsid w:val="0016256C"/>
    <w:rsid w:val="00162988"/>
    <w:rsid w:val="00162F4E"/>
    <w:rsid w:val="001632C9"/>
    <w:rsid w:val="001635E6"/>
    <w:rsid w:val="001645D4"/>
    <w:rsid w:val="001652C6"/>
    <w:rsid w:val="001659C1"/>
    <w:rsid w:val="00167323"/>
    <w:rsid w:val="00167710"/>
    <w:rsid w:val="001679AE"/>
    <w:rsid w:val="00167CFA"/>
    <w:rsid w:val="00167F2F"/>
    <w:rsid w:val="0017013E"/>
    <w:rsid w:val="00170393"/>
    <w:rsid w:val="00170EAC"/>
    <w:rsid w:val="001711B8"/>
    <w:rsid w:val="0017124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3E16"/>
    <w:rsid w:val="00173F48"/>
    <w:rsid w:val="00174ABF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5E5B"/>
    <w:rsid w:val="00186EDA"/>
    <w:rsid w:val="0018724E"/>
    <w:rsid w:val="00187496"/>
    <w:rsid w:val="0018759F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38FF"/>
    <w:rsid w:val="001952AE"/>
    <w:rsid w:val="001953A8"/>
    <w:rsid w:val="00195E2A"/>
    <w:rsid w:val="00196705"/>
    <w:rsid w:val="00197424"/>
    <w:rsid w:val="0019781A"/>
    <w:rsid w:val="00197DA6"/>
    <w:rsid w:val="00197DF9"/>
    <w:rsid w:val="001A01C0"/>
    <w:rsid w:val="001A0578"/>
    <w:rsid w:val="001A0F8C"/>
    <w:rsid w:val="001A105F"/>
    <w:rsid w:val="001A1987"/>
    <w:rsid w:val="001A2426"/>
    <w:rsid w:val="001A2564"/>
    <w:rsid w:val="001A2D01"/>
    <w:rsid w:val="001A313E"/>
    <w:rsid w:val="001A3243"/>
    <w:rsid w:val="001A366B"/>
    <w:rsid w:val="001A3EAB"/>
    <w:rsid w:val="001A4DD0"/>
    <w:rsid w:val="001A4FF0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0F88"/>
    <w:rsid w:val="001B10FB"/>
    <w:rsid w:val="001B2506"/>
    <w:rsid w:val="001B2608"/>
    <w:rsid w:val="001B2831"/>
    <w:rsid w:val="001B3D39"/>
    <w:rsid w:val="001B4275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B7ECE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5A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4430"/>
    <w:rsid w:val="001D51BA"/>
    <w:rsid w:val="001D53E7"/>
    <w:rsid w:val="001D596D"/>
    <w:rsid w:val="001D6342"/>
    <w:rsid w:val="001D6D53"/>
    <w:rsid w:val="001D6F1C"/>
    <w:rsid w:val="001D7246"/>
    <w:rsid w:val="001D75CF"/>
    <w:rsid w:val="001E0AA0"/>
    <w:rsid w:val="001E0D07"/>
    <w:rsid w:val="001E0D4D"/>
    <w:rsid w:val="001E11B2"/>
    <w:rsid w:val="001E1909"/>
    <w:rsid w:val="001E1BD8"/>
    <w:rsid w:val="001E2C01"/>
    <w:rsid w:val="001E39A8"/>
    <w:rsid w:val="001E39D6"/>
    <w:rsid w:val="001E436E"/>
    <w:rsid w:val="001E4EB9"/>
    <w:rsid w:val="001E55A0"/>
    <w:rsid w:val="001E58E2"/>
    <w:rsid w:val="001E5F9A"/>
    <w:rsid w:val="001E727B"/>
    <w:rsid w:val="001E7703"/>
    <w:rsid w:val="001E7AED"/>
    <w:rsid w:val="001E7B13"/>
    <w:rsid w:val="001F036F"/>
    <w:rsid w:val="001F15E1"/>
    <w:rsid w:val="001F23D0"/>
    <w:rsid w:val="001F2AA6"/>
    <w:rsid w:val="001F2C16"/>
    <w:rsid w:val="001F3916"/>
    <w:rsid w:val="001F395E"/>
    <w:rsid w:val="001F41C8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485E"/>
    <w:rsid w:val="002054B1"/>
    <w:rsid w:val="00205543"/>
    <w:rsid w:val="00205634"/>
    <w:rsid w:val="002062D3"/>
    <w:rsid w:val="002063C2"/>
    <w:rsid w:val="002069B2"/>
    <w:rsid w:val="00206A9D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230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868"/>
    <w:rsid w:val="00216C2E"/>
    <w:rsid w:val="002171DE"/>
    <w:rsid w:val="002175C8"/>
    <w:rsid w:val="00217E1B"/>
    <w:rsid w:val="00217EC5"/>
    <w:rsid w:val="002200E7"/>
    <w:rsid w:val="00220184"/>
    <w:rsid w:val="00220600"/>
    <w:rsid w:val="00221678"/>
    <w:rsid w:val="00221BDD"/>
    <w:rsid w:val="00221D68"/>
    <w:rsid w:val="00221F4B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27BC2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69D"/>
    <w:rsid w:val="00235872"/>
    <w:rsid w:val="00236130"/>
    <w:rsid w:val="002370EC"/>
    <w:rsid w:val="00237470"/>
    <w:rsid w:val="0023794C"/>
    <w:rsid w:val="0024058B"/>
    <w:rsid w:val="00240DFD"/>
    <w:rsid w:val="00241559"/>
    <w:rsid w:val="00241798"/>
    <w:rsid w:val="0024193B"/>
    <w:rsid w:val="00241B53"/>
    <w:rsid w:val="00241E50"/>
    <w:rsid w:val="00241FD2"/>
    <w:rsid w:val="00242225"/>
    <w:rsid w:val="00242EA5"/>
    <w:rsid w:val="002435B3"/>
    <w:rsid w:val="00243712"/>
    <w:rsid w:val="002444AD"/>
    <w:rsid w:val="002448AF"/>
    <w:rsid w:val="00244A0C"/>
    <w:rsid w:val="00244AD4"/>
    <w:rsid w:val="00245102"/>
    <w:rsid w:val="002458EB"/>
    <w:rsid w:val="00245946"/>
    <w:rsid w:val="00245A3C"/>
    <w:rsid w:val="00246759"/>
    <w:rsid w:val="00246D0C"/>
    <w:rsid w:val="00246DE1"/>
    <w:rsid w:val="00246E08"/>
    <w:rsid w:val="0024754B"/>
    <w:rsid w:val="00247563"/>
    <w:rsid w:val="00247FA9"/>
    <w:rsid w:val="002500C8"/>
    <w:rsid w:val="0025048C"/>
    <w:rsid w:val="00250683"/>
    <w:rsid w:val="0025078E"/>
    <w:rsid w:val="002509F8"/>
    <w:rsid w:val="00250BE3"/>
    <w:rsid w:val="0025102A"/>
    <w:rsid w:val="00251A92"/>
    <w:rsid w:val="00253241"/>
    <w:rsid w:val="002534E0"/>
    <w:rsid w:val="00253ADF"/>
    <w:rsid w:val="00253D56"/>
    <w:rsid w:val="00253EB4"/>
    <w:rsid w:val="002541F5"/>
    <w:rsid w:val="00254998"/>
    <w:rsid w:val="00254C1A"/>
    <w:rsid w:val="002550B9"/>
    <w:rsid w:val="0025529D"/>
    <w:rsid w:val="0025548B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57EFD"/>
    <w:rsid w:val="002617E7"/>
    <w:rsid w:val="00262B33"/>
    <w:rsid w:val="00262D4F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5909"/>
    <w:rsid w:val="00266052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223E"/>
    <w:rsid w:val="00273278"/>
    <w:rsid w:val="002737F4"/>
    <w:rsid w:val="002739A0"/>
    <w:rsid w:val="002744C2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2F3"/>
    <w:rsid w:val="002853F4"/>
    <w:rsid w:val="002854F2"/>
    <w:rsid w:val="00286ACD"/>
    <w:rsid w:val="00287838"/>
    <w:rsid w:val="002878A1"/>
    <w:rsid w:val="00287B3E"/>
    <w:rsid w:val="002907B5"/>
    <w:rsid w:val="0029101B"/>
    <w:rsid w:val="002911B9"/>
    <w:rsid w:val="002913A0"/>
    <w:rsid w:val="0029229D"/>
    <w:rsid w:val="00292CF1"/>
    <w:rsid w:val="00292EB7"/>
    <w:rsid w:val="0029306E"/>
    <w:rsid w:val="00293528"/>
    <w:rsid w:val="00293566"/>
    <w:rsid w:val="00293AFD"/>
    <w:rsid w:val="00294057"/>
    <w:rsid w:val="00294162"/>
    <w:rsid w:val="0029467C"/>
    <w:rsid w:val="00294CE3"/>
    <w:rsid w:val="00294E91"/>
    <w:rsid w:val="00295264"/>
    <w:rsid w:val="00295686"/>
    <w:rsid w:val="00295EA0"/>
    <w:rsid w:val="00296227"/>
    <w:rsid w:val="00296F44"/>
    <w:rsid w:val="00296F81"/>
    <w:rsid w:val="00297207"/>
    <w:rsid w:val="0029777D"/>
    <w:rsid w:val="002979F2"/>
    <w:rsid w:val="00297C97"/>
    <w:rsid w:val="00297D76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5D6"/>
    <w:rsid w:val="002A489F"/>
    <w:rsid w:val="002A4A96"/>
    <w:rsid w:val="002A4F68"/>
    <w:rsid w:val="002A519C"/>
    <w:rsid w:val="002A567C"/>
    <w:rsid w:val="002A5A74"/>
    <w:rsid w:val="002A5A8F"/>
    <w:rsid w:val="002A5AB2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1D2A"/>
    <w:rsid w:val="002B24D6"/>
    <w:rsid w:val="002B3C3D"/>
    <w:rsid w:val="002B4523"/>
    <w:rsid w:val="002B4C86"/>
    <w:rsid w:val="002B5E2A"/>
    <w:rsid w:val="002B64AA"/>
    <w:rsid w:val="002B6B1D"/>
    <w:rsid w:val="002B747E"/>
    <w:rsid w:val="002B7C0D"/>
    <w:rsid w:val="002B7C12"/>
    <w:rsid w:val="002C0463"/>
    <w:rsid w:val="002C0EA8"/>
    <w:rsid w:val="002C12C3"/>
    <w:rsid w:val="002C165B"/>
    <w:rsid w:val="002C1768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5F2"/>
    <w:rsid w:val="002C782D"/>
    <w:rsid w:val="002D0010"/>
    <w:rsid w:val="002D003F"/>
    <w:rsid w:val="002D071A"/>
    <w:rsid w:val="002D09F6"/>
    <w:rsid w:val="002D0A62"/>
    <w:rsid w:val="002D0BF4"/>
    <w:rsid w:val="002D0E30"/>
    <w:rsid w:val="002D1040"/>
    <w:rsid w:val="002D16C0"/>
    <w:rsid w:val="002D2176"/>
    <w:rsid w:val="002D26AA"/>
    <w:rsid w:val="002D2BD8"/>
    <w:rsid w:val="002D2E65"/>
    <w:rsid w:val="002D34B2"/>
    <w:rsid w:val="002D36A3"/>
    <w:rsid w:val="002D4734"/>
    <w:rsid w:val="002D48B0"/>
    <w:rsid w:val="002D4D2C"/>
    <w:rsid w:val="002D50F1"/>
    <w:rsid w:val="002D5B37"/>
    <w:rsid w:val="002D5DA7"/>
    <w:rsid w:val="002D6337"/>
    <w:rsid w:val="002D6654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1F75"/>
    <w:rsid w:val="002E2CC7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1CC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26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2BB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BB7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102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933"/>
    <w:rsid w:val="00317EFB"/>
    <w:rsid w:val="00317F84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92C"/>
    <w:rsid w:val="00324D23"/>
    <w:rsid w:val="00324D8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AF9"/>
    <w:rsid w:val="00331B8F"/>
    <w:rsid w:val="00331D28"/>
    <w:rsid w:val="0033206F"/>
    <w:rsid w:val="00332362"/>
    <w:rsid w:val="003327E5"/>
    <w:rsid w:val="00332EBC"/>
    <w:rsid w:val="00332F14"/>
    <w:rsid w:val="00333DEF"/>
    <w:rsid w:val="00333F25"/>
    <w:rsid w:val="00334579"/>
    <w:rsid w:val="00334610"/>
    <w:rsid w:val="00334D69"/>
    <w:rsid w:val="00335144"/>
    <w:rsid w:val="00335858"/>
    <w:rsid w:val="00335979"/>
    <w:rsid w:val="00335BEC"/>
    <w:rsid w:val="00335ED2"/>
    <w:rsid w:val="00336BDA"/>
    <w:rsid w:val="00337272"/>
    <w:rsid w:val="00337520"/>
    <w:rsid w:val="00337FD6"/>
    <w:rsid w:val="00340547"/>
    <w:rsid w:val="00340DAA"/>
    <w:rsid w:val="00341022"/>
    <w:rsid w:val="00342BD7"/>
    <w:rsid w:val="00343469"/>
    <w:rsid w:val="00344EAC"/>
    <w:rsid w:val="003455E9"/>
    <w:rsid w:val="0034578E"/>
    <w:rsid w:val="00345F5E"/>
    <w:rsid w:val="0034689C"/>
    <w:rsid w:val="00346B69"/>
    <w:rsid w:val="00346DB5"/>
    <w:rsid w:val="003477B1"/>
    <w:rsid w:val="00347A8D"/>
    <w:rsid w:val="00347C9E"/>
    <w:rsid w:val="0035003B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3E00"/>
    <w:rsid w:val="0035426A"/>
    <w:rsid w:val="003555E7"/>
    <w:rsid w:val="00355F4C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B30"/>
    <w:rsid w:val="00362CE7"/>
    <w:rsid w:val="00362D34"/>
    <w:rsid w:val="00362FB9"/>
    <w:rsid w:val="00363482"/>
    <w:rsid w:val="003636FB"/>
    <w:rsid w:val="00363829"/>
    <w:rsid w:val="0036382D"/>
    <w:rsid w:val="003643D5"/>
    <w:rsid w:val="0036466A"/>
    <w:rsid w:val="003652E7"/>
    <w:rsid w:val="003656E0"/>
    <w:rsid w:val="0036606B"/>
    <w:rsid w:val="003660EC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00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77F18"/>
    <w:rsid w:val="00380A35"/>
    <w:rsid w:val="00381703"/>
    <w:rsid w:val="00381A54"/>
    <w:rsid w:val="00382574"/>
    <w:rsid w:val="00382784"/>
    <w:rsid w:val="003837BA"/>
    <w:rsid w:val="00383824"/>
    <w:rsid w:val="00384331"/>
    <w:rsid w:val="0038508D"/>
    <w:rsid w:val="00385BF0"/>
    <w:rsid w:val="00385F1C"/>
    <w:rsid w:val="00386BD7"/>
    <w:rsid w:val="003872AD"/>
    <w:rsid w:val="00387562"/>
    <w:rsid w:val="00387E44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1AD7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5526"/>
    <w:rsid w:val="00395563"/>
    <w:rsid w:val="00397D2C"/>
    <w:rsid w:val="003A01B4"/>
    <w:rsid w:val="003A0242"/>
    <w:rsid w:val="003A08C0"/>
    <w:rsid w:val="003A0A4A"/>
    <w:rsid w:val="003A0F81"/>
    <w:rsid w:val="003A1126"/>
    <w:rsid w:val="003A12C6"/>
    <w:rsid w:val="003A17BC"/>
    <w:rsid w:val="003A2223"/>
    <w:rsid w:val="003A22AF"/>
    <w:rsid w:val="003A2A0F"/>
    <w:rsid w:val="003A3F79"/>
    <w:rsid w:val="003A4074"/>
    <w:rsid w:val="003A45A1"/>
    <w:rsid w:val="003A463B"/>
    <w:rsid w:val="003A4BD2"/>
    <w:rsid w:val="003A50BF"/>
    <w:rsid w:val="003A5211"/>
    <w:rsid w:val="003A5341"/>
    <w:rsid w:val="003A57B8"/>
    <w:rsid w:val="003A5B0A"/>
    <w:rsid w:val="003A6643"/>
    <w:rsid w:val="003A6BAC"/>
    <w:rsid w:val="003A70A4"/>
    <w:rsid w:val="003A73D7"/>
    <w:rsid w:val="003A79C5"/>
    <w:rsid w:val="003A7A1C"/>
    <w:rsid w:val="003A7A70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2113"/>
    <w:rsid w:val="003B369F"/>
    <w:rsid w:val="003B36A3"/>
    <w:rsid w:val="003B376A"/>
    <w:rsid w:val="003B3ECB"/>
    <w:rsid w:val="003B4EB2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AD4"/>
    <w:rsid w:val="003C2B8A"/>
    <w:rsid w:val="003C2C01"/>
    <w:rsid w:val="003C2D1E"/>
    <w:rsid w:val="003C2FF5"/>
    <w:rsid w:val="003C3431"/>
    <w:rsid w:val="003C3D75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6C4"/>
    <w:rsid w:val="003C7806"/>
    <w:rsid w:val="003D109F"/>
    <w:rsid w:val="003D1528"/>
    <w:rsid w:val="003D2478"/>
    <w:rsid w:val="003D25B4"/>
    <w:rsid w:val="003D26D2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A44"/>
    <w:rsid w:val="003D6E8E"/>
    <w:rsid w:val="003D7651"/>
    <w:rsid w:val="003D78C1"/>
    <w:rsid w:val="003D7B9D"/>
    <w:rsid w:val="003D7F69"/>
    <w:rsid w:val="003E07A7"/>
    <w:rsid w:val="003E1283"/>
    <w:rsid w:val="003E1498"/>
    <w:rsid w:val="003E15AE"/>
    <w:rsid w:val="003E15FA"/>
    <w:rsid w:val="003E1A47"/>
    <w:rsid w:val="003E230A"/>
    <w:rsid w:val="003E2335"/>
    <w:rsid w:val="003E23F2"/>
    <w:rsid w:val="003E3048"/>
    <w:rsid w:val="003E312F"/>
    <w:rsid w:val="003E31E8"/>
    <w:rsid w:val="003E37FE"/>
    <w:rsid w:val="003E48A3"/>
    <w:rsid w:val="003E55E4"/>
    <w:rsid w:val="003E60A4"/>
    <w:rsid w:val="003E6475"/>
    <w:rsid w:val="003E7135"/>
    <w:rsid w:val="003E7339"/>
    <w:rsid w:val="003E74E3"/>
    <w:rsid w:val="003E7625"/>
    <w:rsid w:val="003E7B20"/>
    <w:rsid w:val="003F0395"/>
    <w:rsid w:val="003F05C7"/>
    <w:rsid w:val="003F07F2"/>
    <w:rsid w:val="003F08A9"/>
    <w:rsid w:val="003F0C54"/>
    <w:rsid w:val="003F0D5C"/>
    <w:rsid w:val="003F0E1D"/>
    <w:rsid w:val="003F146F"/>
    <w:rsid w:val="003F19BA"/>
    <w:rsid w:val="003F1B22"/>
    <w:rsid w:val="003F2C22"/>
    <w:rsid w:val="003F2C7B"/>
    <w:rsid w:val="003F2CD4"/>
    <w:rsid w:val="003F2DF5"/>
    <w:rsid w:val="003F34FC"/>
    <w:rsid w:val="003F3CA5"/>
    <w:rsid w:val="003F4313"/>
    <w:rsid w:val="003F5250"/>
    <w:rsid w:val="003F5B0A"/>
    <w:rsid w:val="003F603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4E48"/>
    <w:rsid w:val="0040512B"/>
    <w:rsid w:val="0040532C"/>
    <w:rsid w:val="004058C4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E1A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6E"/>
    <w:rsid w:val="00422AA4"/>
    <w:rsid w:val="0042380D"/>
    <w:rsid w:val="00423BDD"/>
    <w:rsid w:val="00424297"/>
    <w:rsid w:val="004242F4"/>
    <w:rsid w:val="00424B8D"/>
    <w:rsid w:val="00425034"/>
    <w:rsid w:val="0042579F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522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199"/>
    <w:rsid w:val="00450516"/>
    <w:rsid w:val="004506AB"/>
    <w:rsid w:val="004508BC"/>
    <w:rsid w:val="004517AA"/>
    <w:rsid w:val="0045187D"/>
    <w:rsid w:val="00451967"/>
    <w:rsid w:val="004525EA"/>
    <w:rsid w:val="00452B01"/>
    <w:rsid w:val="00452CAC"/>
    <w:rsid w:val="0045411A"/>
    <w:rsid w:val="00455061"/>
    <w:rsid w:val="004552A2"/>
    <w:rsid w:val="0045543A"/>
    <w:rsid w:val="004558F8"/>
    <w:rsid w:val="00455E4A"/>
    <w:rsid w:val="00456067"/>
    <w:rsid w:val="00456456"/>
    <w:rsid w:val="004565DE"/>
    <w:rsid w:val="0045699F"/>
    <w:rsid w:val="004574C8"/>
    <w:rsid w:val="00457565"/>
    <w:rsid w:val="00457B71"/>
    <w:rsid w:val="00457CBC"/>
    <w:rsid w:val="004604E5"/>
    <w:rsid w:val="00460887"/>
    <w:rsid w:val="0046139F"/>
    <w:rsid w:val="0046194E"/>
    <w:rsid w:val="00461C7D"/>
    <w:rsid w:val="004627AD"/>
    <w:rsid w:val="00462A49"/>
    <w:rsid w:val="00462CD4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593"/>
    <w:rsid w:val="00470638"/>
    <w:rsid w:val="004707AF"/>
    <w:rsid w:val="00470C31"/>
    <w:rsid w:val="004716D8"/>
    <w:rsid w:val="00471DE0"/>
    <w:rsid w:val="004721BC"/>
    <w:rsid w:val="004721F9"/>
    <w:rsid w:val="00472558"/>
    <w:rsid w:val="004726E4"/>
    <w:rsid w:val="004728A0"/>
    <w:rsid w:val="00473147"/>
    <w:rsid w:val="004734D0"/>
    <w:rsid w:val="00473C75"/>
    <w:rsid w:val="0047470D"/>
    <w:rsid w:val="00474B7E"/>
    <w:rsid w:val="004753C6"/>
    <w:rsid w:val="00475532"/>
    <w:rsid w:val="0047556B"/>
    <w:rsid w:val="0047632F"/>
    <w:rsid w:val="00476569"/>
    <w:rsid w:val="00476797"/>
    <w:rsid w:val="00476961"/>
    <w:rsid w:val="00477451"/>
    <w:rsid w:val="00477753"/>
    <w:rsid w:val="00477768"/>
    <w:rsid w:val="00477947"/>
    <w:rsid w:val="00477A69"/>
    <w:rsid w:val="00477C9B"/>
    <w:rsid w:val="00477ED5"/>
    <w:rsid w:val="004800FA"/>
    <w:rsid w:val="004802B5"/>
    <w:rsid w:val="00480415"/>
    <w:rsid w:val="00480466"/>
    <w:rsid w:val="00481C1A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0E2F"/>
    <w:rsid w:val="00491697"/>
    <w:rsid w:val="00491752"/>
    <w:rsid w:val="00491C62"/>
    <w:rsid w:val="004921CD"/>
    <w:rsid w:val="00492AE0"/>
    <w:rsid w:val="00492BC5"/>
    <w:rsid w:val="00492CF7"/>
    <w:rsid w:val="00493595"/>
    <w:rsid w:val="00493978"/>
    <w:rsid w:val="00494354"/>
    <w:rsid w:val="0049463C"/>
    <w:rsid w:val="0049488C"/>
    <w:rsid w:val="00494EC2"/>
    <w:rsid w:val="004950AB"/>
    <w:rsid w:val="0049558B"/>
    <w:rsid w:val="00495754"/>
    <w:rsid w:val="004958EB"/>
    <w:rsid w:val="00495D44"/>
    <w:rsid w:val="004964F1"/>
    <w:rsid w:val="00497D7B"/>
    <w:rsid w:val="00497F95"/>
    <w:rsid w:val="004A07DF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18B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3C80"/>
    <w:rsid w:val="004B428B"/>
    <w:rsid w:val="004B495A"/>
    <w:rsid w:val="004B553B"/>
    <w:rsid w:val="004B5AE8"/>
    <w:rsid w:val="004B5E80"/>
    <w:rsid w:val="004B5EC2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093"/>
    <w:rsid w:val="004C1A74"/>
    <w:rsid w:val="004C252A"/>
    <w:rsid w:val="004C2CB9"/>
    <w:rsid w:val="004C2D86"/>
    <w:rsid w:val="004C2FE9"/>
    <w:rsid w:val="004C328A"/>
    <w:rsid w:val="004C3898"/>
    <w:rsid w:val="004C4B7D"/>
    <w:rsid w:val="004C5737"/>
    <w:rsid w:val="004C58B3"/>
    <w:rsid w:val="004C5AEA"/>
    <w:rsid w:val="004C5BBC"/>
    <w:rsid w:val="004C5DEB"/>
    <w:rsid w:val="004C6074"/>
    <w:rsid w:val="004C787E"/>
    <w:rsid w:val="004C7E05"/>
    <w:rsid w:val="004D147C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D0B"/>
    <w:rsid w:val="004E1735"/>
    <w:rsid w:val="004E1B6C"/>
    <w:rsid w:val="004E25B2"/>
    <w:rsid w:val="004E2680"/>
    <w:rsid w:val="004E28F9"/>
    <w:rsid w:val="004E31A6"/>
    <w:rsid w:val="004E3592"/>
    <w:rsid w:val="004E3598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289"/>
    <w:rsid w:val="004E737A"/>
    <w:rsid w:val="004E7641"/>
    <w:rsid w:val="004E76F4"/>
    <w:rsid w:val="004E7DFC"/>
    <w:rsid w:val="004F02F1"/>
    <w:rsid w:val="004F066B"/>
    <w:rsid w:val="004F0B4E"/>
    <w:rsid w:val="004F0B6C"/>
    <w:rsid w:val="004F0C49"/>
    <w:rsid w:val="004F12CF"/>
    <w:rsid w:val="004F148E"/>
    <w:rsid w:val="004F14D1"/>
    <w:rsid w:val="004F2078"/>
    <w:rsid w:val="004F2708"/>
    <w:rsid w:val="004F3204"/>
    <w:rsid w:val="004F324E"/>
    <w:rsid w:val="004F35CB"/>
    <w:rsid w:val="004F37AF"/>
    <w:rsid w:val="004F4117"/>
    <w:rsid w:val="004F4716"/>
    <w:rsid w:val="004F4C57"/>
    <w:rsid w:val="004F4D51"/>
    <w:rsid w:val="004F4DA3"/>
    <w:rsid w:val="004F5249"/>
    <w:rsid w:val="004F5BB2"/>
    <w:rsid w:val="004F6350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525"/>
    <w:rsid w:val="005026DB"/>
    <w:rsid w:val="00502837"/>
    <w:rsid w:val="00502F30"/>
    <w:rsid w:val="005035C4"/>
    <w:rsid w:val="00503EB3"/>
    <w:rsid w:val="0050417E"/>
    <w:rsid w:val="00505B05"/>
    <w:rsid w:val="00506557"/>
    <w:rsid w:val="0050677A"/>
    <w:rsid w:val="005070E7"/>
    <w:rsid w:val="0050720D"/>
    <w:rsid w:val="005076AC"/>
    <w:rsid w:val="00510660"/>
    <w:rsid w:val="005107DC"/>
    <w:rsid w:val="005108D8"/>
    <w:rsid w:val="00511509"/>
    <w:rsid w:val="005116F9"/>
    <w:rsid w:val="00512948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5904"/>
    <w:rsid w:val="00516A45"/>
    <w:rsid w:val="00516DE7"/>
    <w:rsid w:val="0051776F"/>
    <w:rsid w:val="005205DD"/>
    <w:rsid w:val="00520ADE"/>
    <w:rsid w:val="005214CE"/>
    <w:rsid w:val="005219CF"/>
    <w:rsid w:val="00522CCB"/>
    <w:rsid w:val="00523F57"/>
    <w:rsid w:val="0052463B"/>
    <w:rsid w:val="005248A3"/>
    <w:rsid w:val="00524BAF"/>
    <w:rsid w:val="00524D47"/>
    <w:rsid w:val="00525196"/>
    <w:rsid w:val="0052673F"/>
    <w:rsid w:val="00526A4E"/>
    <w:rsid w:val="00527553"/>
    <w:rsid w:val="00527893"/>
    <w:rsid w:val="00527A38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961"/>
    <w:rsid w:val="00533D56"/>
    <w:rsid w:val="00534507"/>
    <w:rsid w:val="00534761"/>
    <w:rsid w:val="00534B59"/>
    <w:rsid w:val="00534ED4"/>
    <w:rsid w:val="00535E6D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6EFC"/>
    <w:rsid w:val="005470FE"/>
    <w:rsid w:val="005507EB"/>
    <w:rsid w:val="005507EE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BF4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275"/>
    <w:rsid w:val="00562384"/>
    <w:rsid w:val="005633CE"/>
    <w:rsid w:val="00564046"/>
    <w:rsid w:val="00564127"/>
    <w:rsid w:val="00564148"/>
    <w:rsid w:val="00564302"/>
    <w:rsid w:val="0056490E"/>
    <w:rsid w:val="00564E2E"/>
    <w:rsid w:val="00564FD2"/>
    <w:rsid w:val="005651DD"/>
    <w:rsid w:val="0056538F"/>
    <w:rsid w:val="005661BC"/>
    <w:rsid w:val="005669FF"/>
    <w:rsid w:val="0056701D"/>
    <w:rsid w:val="005670F7"/>
    <w:rsid w:val="00567A15"/>
    <w:rsid w:val="00570248"/>
    <w:rsid w:val="00570714"/>
    <w:rsid w:val="005708CC"/>
    <w:rsid w:val="00570924"/>
    <w:rsid w:val="00570BD5"/>
    <w:rsid w:val="00570F5D"/>
    <w:rsid w:val="00571B26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1EE9"/>
    <w:rsid w:val="00582047"/>
    <w:rsid w:val="00582114"/>
    <w:rsid w:val="005821DA"/>
    <w:rsid w:val="00582809"/>
    <w:rsid w:val="00582A15"/>
    <w:rsid w:val="00582CC8"/>
    <w:rsid w:val="0058328B"/>
    <w:rsid w:val="005835FE"/>
    <w:rsid w:val="00584523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005"/>
    <w:rsid w:val="005935A4"/>
    <w:rsid w:val="00594697"/>
    <w:rsid w:val="00594771"/>
    <w:rsid w:val="005948C2"/>
    <w:rsid w:val="00594B03"/>
    <w:rsid w:val="00594BF3"/>
    <w:rsid w:val="005958C6"/>
    <w:rsid w:val="00595DCA"/>
    <w:rsid w:val="00595DF5"/>
    <w:rsid w:val="00595EF1"/>
    <w:rsid w:val="005965C3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13C"/>
    <w:rsid w:val="005A1E53"/>
    <w:rsid w:val="005A209A"/>
    <w:rsid w:val="005A272F"/>
    <w:rsid w:val="005A2D72"/>
    <w:rsid w:val="005A38B4"/>
    <w:rsid w:val="005A39C7"/>
    <w:rsid w:val="005A3B62"/>
    <w:rsid w:val="005A514C"/>
    <w:rsid w:val="005A53DC"/>
    <w:rsid w:val="005A5622"/>
    <w:rsid w:val="005A5845"/>
    <w:rsid w:val="005A5C11"/>
    <w:rsid w:val="005A5D98"/>
    <w:rsid w:val="005A5EAA"/>
    <w:rsid w:val="005A662D"/>
    <w:rsid w:val="005A66C3"/>
    <w:rsid w:val="005A6C55"/>
    <w:rsid w:val="005A71DC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590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312E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D78DF"/>
    <w:rsid w:val="005E00E8"/>
    <w:rsid w:val="005E094C"/>
    <w:rsid w:val="005E0998"/>
    <w:rsid w:val="005E0CAE"/>
    <w:rsid w:val="005E17C9"/>
    <w:rsid w:val="005E1EA3"/>
    <w:rsid w:val="005E2306"/>
    <w:rsid w:val="005E385F"/>
    <w:rsid w:val="005E3D84"/>
    <w:rsid w:val="005E4146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6E8D"/>
    <w:rsid w:val="005E7303"/>
    <w:rsid w:val="005E77BF"/>
    <w:rsid w:val="005F025E"/>
    <w:rsid w:val="005F065D"/>
    <w:rsid w:val="005F069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22A"/>
    <w:rsid w:val="005F4460"/>
    <w:rsid w:val="005F457E"/>
    <w:rsid w:val="005F51C1"/>
    <w:rsid w:val="005F52B2"/>
    <w:rsid w:val="005F5B1E"/>
    <w:rsid w:val="005F5B70"/>
    <w:rsid w:val="005F5D80"/>
    <w:rsid w:val="005F5F56"/>
    <w:rsid w:val="005F618C"/>
    <w:rsid w:val="005F66B5"/>
    <w:rsid w:val="005F6F5E"/>
    <w:rsid w:val="005F70BD"/>
    <w:rsid w:val="005F72E8"/>
    <w:rsid w:val="005F775A"/>
    <w:rsid w:val="005F78C1"/>
    <w:rsid w:val="005F7CBC"/>
    <w:rsid w:val="00600375"/>
    <w:rsid w:val="00600514"/>
    <w:rsid w:val="00600F0C"/>
    <w:rsid w:val="006020E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785"/>
    <w:rsid w:val="006058A6"/>
    <w:rsid w:val="00605911"/>
    <w:rsid w:val="006066F2"/>
    <w:rsid w:val="00606815"/>
    <w:rsid w:val="00606D3D"/>
    <w:rsid w:val="00606F4B"/>
    <w:rsid w:val="00606FDF"/>
    <w:rsid w:val="006071BF"/>
    <w:rsid w:val="00607229"/>
    <w:rsid w:val="006073A4"/>
    <w:rsid w:val="00607438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269"/>
    <w:rsid w:val="006137B1"/>
    <w:rsid w:val="00613C31"/>
    <w:rsid w:val="00613DAD"/>
    <w:rsid w:val="00613E43"/>
    <w:rsid w:val="00614170"/>
    <w:rsid w:val="006154FF"/>
    <w:rsid w:val="00615904"/>
    <w:rsid w:val="00615D93"/>
    <w:rsid w:val="00615DAB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0C9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4AD6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40D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4A0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176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0B64"/>
    <w:rsid w:val="006613A6"/>
    <w:rsid w:val="006617B2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30DF"/>
    <w:rsid w:val="006734CA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1C6D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282F"/>
    <w:rsid w:val="00693791"/>
    <w:rsid w:val="00693E2A"/>
    <w:rsid w:val="0069408A"/>
    <w:rsid w:val="00694B8A"/>
    <w:rsid w:val="00694C70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39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6AD3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3C02"/>
    <w:rsid w:val="006B40CE"/>
    <w:rsid w:val="006B424B"/>
    <w:rsid w:val="006B458A"/>
    <w:rsid w:val="006B49B7"/>
    <w:rsid w:val="006B50CF"/>
    <w:rsid w:val="006B570D"/>
    <w:rsid w:val="006B5A97"/>
    <w:rsid w:val="006B5B47"/>
    <w:rsid w:val="006B6277"/>
    <w:rsid w:val="006B62B3"/>
    <w:rsid w:val="006B6B5F"/>
    <w:rsid w:val="006B6E10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41A7"/>
    <w:rsid w:val="006C4AB5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3CE"/>
    <w:rsid w:val="006D17E0"/>
    <w:rsid w:val="006D18C3"/>
    <w:rsid w:val="006D1A5D"/>
    <w:rsid w:val="006D1C20"/>
    <w:rsid w:val="006D2DF8"/>
    <w:rsid w:val="006D33E5"/>
    <w:rsid w:val="006D38D1"/>
    <w:rsid w:val="006D39F5"/>
    <w:rsid w:val="006D43D5"/>
    <w:rsid w:val="006D46E4"/>
    <w:rsid w:val="006D4745"/>
    <w:rsid w:val="006D494C"/>
    <w:rsid w:val="006D4DE8"/>
    <w:rsid w:val="006D4E81"/>
    <w:rsid w:val="006D4EF4"/>
    <w:rsid w:val="006D5369"/>
    <w:rsid w:val="006D56EA"/>
    <w:rsid w:val="006D5876"/>
    <w:rsid w:val="006D68CB"/>
    <w:rsid w:val="006D6F08"/>
    <w:rsid w:val="006D6FA0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826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2BB"/>
    <w:rsid w:val="006E4B4E"/>
    <w:rsid w:val="006E4E39"/>
    <w:rsid w:val="006E5445"/>
    <w:rsid w:val="006E565E"/>
    <w:rsid w:val="006E58A3"/>
    <w:rsid w:val="006E5A8F"/>
    <w:rsid w:val="006E6010"/>
    <w:rsid w:val="006E673D"/>
    <w:rsid w:val="006E6833"/>
    <w:rsid w:val="006E6A62"/>
    <w:rsid w:val="006E6A8D"/>
    <w:rsid w:val="006E6E20"/>
    <w:rsid w:val="006E71FA"/>
    <w:rsid w:val="006E7D3B"/>
    <w:rsid w:val="006F0785"/>
    <w:rsid w:val="006F0F60"/>
    <w:rsid w:val="006F1803"/>
    <w:rsid w:val="006F1AB6"/>
    <w:rsid w:val="006F1B70"/>
    <w:rsid w:val="006F224A"/>
    <w:rsid w:val="006F2B1D"/>
    <w:rsid w:val="006F2F3B"/>
    <w:rsid w:val="006F3131"/>
    <w:rsid w:val="006F341D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6F7D9E"/>
    <w:rsid w:val="006F7FA7"/>
    <w:rsid w:val="0070051C"/>
    <w:rsid w:val="0070108D"/>
    <w:rsid w:val="007010A1"/>
    <w:rsid w:val="007010E2"/>
    <w:rsid w:val="00701708"/>
    <w:rsid w:val="0070219D"/>
    <w:rsid w:val="007021C8"/>
    <w:rsid w:val="00702773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40"/>
    <w:rsid w:val="00706CF4"/>
    <w:rsid w:val="00707072"/>
    <w:rsid w:val="00707201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1E0"/>
    <w:rsid w:val="00714299"/>
    <w:rsid w:val="007148D3"/>
    <w:rsid w:val="00714D87"/>
    <w:rsid w:val="00714F08"/>
    <w:rsid w:val="0071515D"/>
    <w:rsid w:val="00715B93"/>
    <w:rsid w:val="00715B9A"/>
    <w:rsid w:val="00715FD6"/>
    <w:rsid w:val="007167E4"/>
    <w:rsid w:val="00716C10"/>
    <w:rsid w:val="0071714D"/>
    <w:rsid w:val="007171C4"/>
    <w:rsid w:val="00717260"/>
    <w:rsid w:val="007218DB"/>
    <w:rsid w:val="007229C9"/>
    <w:rsid w:val="007229F9"/>
    <w:rsid w:val="00723EEA"/>
    <w:rsid w:val="00724410"/>
    <w:rsid w:val="00724935"/>
    <w:rsid w:val="00724D2C"/>
    <w:rsid w:val="0072502E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1637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140"/>
    <w:rsid w:val="0074390C"/>
    <w:rsid w:val="00743BFF"/>
    <w:rsid w:val="00743FAE"/>
    <w:rsid w:val="00744484"/>
    <w:rsid w:val="007445A0"/>
    <w:rsid w:val="00744B16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47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199"/>
    <w:rsid w:val="00752EB7"/>
    <w:rsid w:val="00753AE4"/>
    <w:rsid w:val="00753CEF"/>
    <w:rsid w:val="00753CFE"/>
    <w:rsid w:val="0075420D"/>
    <w:rsid w:val="00754AA3"/>
    <w:rsid w:val="00754CB5"/>
    <w:rsid w:val="007555ED"/>
    <w:rsid w:val="00755C19"/>
    <w:rsid w:val="0075615A"/>
    <w:rsid w:val="0075621A"/>
    <w:rsid w:val="007571E1"/>
    <w:rsid w:val="00757843"/>
    <w:rsid w:val="00757B88"/>
    <w:rsid w:val="00757E2F"/>
    <w:rsid w:val="007604B2"/>
    <w:rsid w:val="00760B26"/>
    <w:rsid w:val="0076166B"/>
    <w:rsid w:val="007619EC"/>
    <w:rsid w:val="00761B15"/>
    <w:rsid w:val="00761EA0"/>
    <w:rsid w:val="0076200E"/>
    <w:rsid w:val="0076221D"/>
    <w:rsid w:val="0076233E"/>
    <w:rsid w:val="0076272F"/>
    <w:rsid w:val="00762883"/>
    <w:rsid w:val="00762AFD"/>
    <w:rsid w:val="00763E47"/>
    <w:rsid w:val="00763E51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418"/>
    <w:rsid w:val="007705BE"/>
    <w:rsid w:val="00770A75"/>
    <w:rsid w:val="00770C89"/>
    <w:rsid w:val="00770F94"/>
    <w:rsid w:val="007710CE"/>
    <w:rsid w:val="0077153F"/>
    <w:rsid w:val="0077161C"/>
    <w:rsid w:val="00771774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77E21"/>
    <w:rsid w:val="007805B8"/>
    <w:rsid w:val="00780A80"/>
    <w:rsid w:val="0078115A"/>
    <w:rsid w:val="00781335"/>
    <w:rsid w:val="00781639"/>
    <w:rsid w:val="0078177E"/>
    <w:rsid w:val="0078181B"/>
    <w:rsid w:val="00781836"/>
    <w:rsid w:val="00781981"/>
    <w:rsid w:val="00781E54"/>
    <w:rsid w:val="00781FFF"/>
    <w:rsid w:val="0078229A"/>
    <w:rsid w:val="00782E26"/>
    <w:rsid w:val="00782EA7"/>
    <w:rsid w:val="0078304C"/>
    <w:rsid w:val="00783514"/>
    <w:rsid w:val="00783673"/>
    <w:rsid w:val="00783803"/>
    <w:rsid w:val="007841D8"/>
    <w:rsid w:val="00784E47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1B7"/>
    <w:rsid w:val="00795C92"/>
    <w:rsid w:val="007961B5"/>
    <w:rsid w:val="00796231"/>
    <w:rsid w:val="00796805"/>
    <w:rsid w:val="00796BFA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4E2"/>
    <w:rsid w:val="007A6CF5"/>
    <w:rsid w:val="007B02CB"/>
    <w:rsid w:val="007B05D6"/>
    <w:rsid w:val="007B1179"/>
    <w:rsid w:val="007B12DA"/>
    <w:rsid w:val="007B1DF4"/>
    <w:rsid w:val="007B326A"/>
    <w:rsid w:val="007B376F"/>
    <w:rsid w:val="007B3777"/>
    <w:rsid w:val="007B3D2D"/>
    <w:rsid w:val="007B4694"/>
    <w:rsid w:val="007B4C6E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668"/>
    <w:rsid w:val="007B68A7"/>
    <w:rsid w:val="007B6CBB"/>
    <w:rsid w:val="007B7304"/>
    <w:rsid w:val="007B781F"/>
    <w:rsid w:val="007B7CF2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41F4"/>
    <w:rsid w:val="007C4691"/>
    <w:rsid w:val="007C5959"/>
    <w:rsid w:val="007C60BF"/>
    <w:rsid w:val="007C6177"/>
    <w:rsid w:val="007C63E3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210"/>
    <w:rsid w:val="007D1A03"/>
    <w:rsid w:val="007D1A3A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25EF"/>
    <w:rsid w:val="007E352A"/>
    <w:rsid w:val="007E3F7C"/>
    <w:rsid w:val="007E412C"/>
    <w:rsid w:val="007E421E"/>
    <w:rsid w:val="007E4610"/>
    <w:rsid w:val="007E4715"/>
    <w:rsid w:val="007E4945"/>
    <w:rsid w:val="007E505B"/>
    <w:rsid w:val="007E5EB0"/>
    <w:rsid w:val="007E688A"/>
    <w:rsid w:val="007E69A4"/>
    <w:rsid w:val="007E7091"/>
    <w:rsid w:val="007F08CF"/>
    <w:rsid w:val="007F1D10"/>
    <w:rsid w:val="007F2C31"/>
    <w:rsid w:val="007F2DE1"/>
    <w:rsid w:val="007F2E86"/>
    <w:rsid w:val="007F2FFE"/>
    <w:rsid w:val="007F3D9C"/>
    <w:rsid w:val="007F4A63"/>
    <w:rsid w:val="007F4B9B"/>
    <w:rsid w:val="007F4D47"/>
    <w:rsid w:val="007F4FA6"/>
    <w:rsid w:val="007F5CCC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70E"/>
    <w:rsid w:val="0080390C"/>
    <w:rsid w:val="0080392C"/>
    <w:rsid w:val="00803C2C"/>
    <w:rsid w:val="00803FAE"/>
    <w:rsid w:val="00804546"/>
    <w:rsid w:val="0080551D"/>
    <w:rsid w:val="00805A16"/>
    <w:rsid w:val="00805A61"/>
    <w:rsid w:val="00805F57"/>
    <w:rsid w:val="0080605F"/>
    <w:rsid w:val="00806A2A"/>
    <w:rsid w:val="00806A8E"/>
    <w:rsid w:val="00806C0F"/>
    <w:rsid w:val="00806CCD"/>
    <w:rsid w:val="0080761E"/>
    <w:rsid w:val="00807786"/>
    <w:rsid w:val="0081050A"/>
    <w:rsid w:val="00810A0E"/>
    <w:rsid w:val="008113E8"/>
    <w:rsid w:val="00811809"/>
    <w:rsid w:val="008118EA"/>
    <w:rsid w:val="00811CD7"/>
    <w:rsid w:val="00811DBA"/>
    <w:rsid w:val="00811FCB"/>
    <w:rsid w:val="008122B9"/>
    <w:rsid w:val="00812518"/>
    <w:rsid w:val="0081279C"/>
    <w:rsid w:val="008128BD"/>
    <w:rsid w:val="00813269"/>
    <w:rsid w:val="00813CCA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0B2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724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197B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336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5D2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6BA"/>
    <w:rsid w:val="0086470B"/>
    <w:rsid w:val="0086477F"/>
    <w:rsid w:val="008657B6"/>
    <w:rsid w:val="00865C51"/>
    <w:rsid w:val="00865CFF"/>
    <w:rsid w:val="00865F2A"/>
    <w:rsid w:val="00866B40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304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3EC5"/>
    <w:rsid w:val="008845A6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06F"/>
    <w:rsid w:val="0089192D"/>
    <w:rsid w:val="00891AAD"/>
    <w:rsid w:val="00891E55"/>
    <w:rsid w:val="008932A3"/>
    <w:rsid w:val="00893654"/>
    <w:rsid w:val="00893BBD"/>
    <w:rsid w:val="008940AB"/>
    <w:rsid w:val="008941E3"/>
    <w:rsid w:val="0089427D"/>
    <w:rsid w:val="0089473F"/>
    <w:rsid w:val="00894A88"/>
    <w:rsid w:val="00894C1A"/>
    <w:rsid w:val="00895023"/>
    <w:rsid w:val="008951EB"/>
    <w:rsid w:val="00895386"/>
    <w:rsid w:val="00895928"/>
    <w:rsid w:val="00895939"/>
    <w:rsid w:val="00895B97"/>
    <w:rsid w:val="00896C8D"/>
    <w:rsid w:val="0089742A"/>
    <w:rsid w:val="008975C7"/>
    <w:rsid w:val="00897690"/>
    <w:rsid w:val="00897BCC"/>
    <w:rsid w:val="00897C4E"/>
    <w:rsid w:val="008A06D6"/>
    <w:rsid w:val="008A0ED2"/>
    <w:rsid w:val="008A13E2"/>
    <w:rsid w:val="008A21FF"/>
    <w:rsid w:val="008A27A4"/>
    <w:rsid w:val="008A2CE2"/>
    <w:rsid w:val="008A30AC"/>
    <w:rsid w:val="008A44B8"/>
    <w:rsid w:val="008A48F1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523"/>
    <w:rsid w:val="008B194A"/>
    <w:rsid w:val="008B2068"/>
    <w:rsid w:val="008B2604"/>
    <w:rsid w:val="008B2972"/>
    <w:rsid w:val="008B2A89"/>
    <w:rsid w:val="008B376B"/>
    <w:rsid w:val="008B377B"/>
    <w:rsid w:val="008B37E1"/>
    <w:rsid w:val="008B39B2"/>
    <w:rsid w:val="008B4262"/>
    <w:rsid w:val="008B44BB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5B4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5DF"/>
    <w:rsid w:val="008D7E4B"/>
    <w:rsid w:val="008E065E"/>
    <w:rsid w:val="008E0927"/>
    <w:rsid w:val="008E1909"/>
    <w:rsid w:val="008E1CED"/>
    <w:rsid w:val="008E2821"/>
    <w:rsid w:val="008E2E1C"/>
    <w:rsid w:val="008E35A3"/>
    <w:rsid w:val="008E4008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4DEE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2E66"/>
    <w:rsid w:val="0090336B"/>
    <w:rsid w:val="0090397C"/>
    <w:rsid w:val="00904A2C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BBC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1E9"/>
    <w:rsid w:val="009203AE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9FB"/>
    <w:rsid w:val="00922A8A"/>
    <w:rsid w:val="00923049"/>
    <w:rsid w:val="0092310C"/>
    <w:rsid w:val="00923CF5"/>
    <w:rsid w:val="0092413D"/>
    <w:rsid w:val="0092434B"/>
    <w:rsid w:val="00925006"/>
    <w:rsid w:val="00925429"/>
    <w:rsid w:val="00925D3B"/>
    <w:rsid w:val="00925F68"/>
    <w:rsid w:val="009266A8"/>
    <w:rsid w:val="0092679B"/>
    <w:rsid w:val="00926BB7"/>
    <w:rsid w:val="00926F07"/>
    <w:rsid w:val="00926F8A"/>
    <w:rsid w:val="00927AA6"/>
    <w:rsid w:val="00927C18"/>
    <w:rsid w:val="00927C5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5797"/>
    <w:rsid w:val="00936759"/>
    <w:rsid w:val="009368F3"/>
    <w:rsid w:val="00940D0A"/>
    <w:rsid w:val="0094145B"/>
    <w:rsid w:val="009415DE"/>
    <w:rsid w:val="00941636"/>
    <w:rsid w:val="00941CFE"/>
    <w:rsid w:val="00942066"/>
    <w:rsid w:val="009429C0"/>
    <w:rsid w:val="00942B13"/>
    <w:rsid w:val="00942BB7"/>
    <w:rsid w:val="00943074"/>
    <w:rsid w:val="00943568"/>
    <w:rsid w:val="00943742"/>
    <w:rsid w:val="00944E13"/>
    <w:rsid w:val="00945147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1B0A"/>
    <w:rsid w:val="0096201B"/>
    <w:rsid w:val="009620D3"/>
    <w:rsid w:val="00962905"/>
    <w:rsid w:val="009639B4"/>
    <w:rsid w:val="009640DA"/>
    <w:rsid w:val="009642ED"/>
    <w:rsid w:val="0096430A"/>
    <w:rsid w:val="00964611"/>
    <w:rsid w:val="00965173"/>
    <w:rsid w:val="009651C1"/>
    <w:rsid w:val="0096554B"/>
    <w:rsid w:val="0096584A"/>
    <w:rsid w:val="00965B6C"/>
    <w:rsid w:val="009660F3"/>
    <w:rsid w:val="009664BF"/>
    <w:rsid w:val="0096652E"/>
    <w:rsid w:val="009670E7"/>
    <w:rsid w:val="00967899"/>
    <w:rsid w:val="00967A70"/>
    <w:rsid w:val="00967FE4"/>
    <w:rsid w:val="00970051"/>
    <w:rsid w:val="009704DA"/>
    <w:rsid w:val="0097054C"/>
    <w:rsid w:val="0097054D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7B9"/>
    <w:rsid w:val="0098286C"/>
    <w:rsid w:val="00982A71"/>
    <w:rsid w:val="00982F06"/>
    <w:rsid w:val="0098433C"/>
    <w:rsid w:val="00984A96"/>
    <w:rsid w:val="00985253"/>
    <w:rsid w:val="009853B3"/>
    <w:rsid w:val="00985445"/>
    <w:rsid w:val="0098546A"/>
    <w:rsid w:val="00985722"/>
    <w:rsid w:val="0098581F"/>
    <w:rsid w:val="00985A64"/>
    <w:rsid w:val="00985CB1"/>
    <w:rsid w:val="0098604F"/>
    <w:rsid w:val="00987053"/>
    <w:rsid w:val="0098721D"/>
    <w:rsid w:val="00987CE6"/>
    <w:rsid w:val="00990119"/>
    <w:rsid w:val="009904ED"/>
    <w:rsid w:val="00990630"/>
    <w:rsid w:val="009907D3"/>
    <w:rsid w:val="00990FD9"/>
    <w:rsid w:val="009911E7"/>
    <w:rsid w:val="00991761"/>
    <w:rsid w:val="0099186E"/>
    <w:rsid w:val="009919CA"/>
    <w:rsid w:val="00992E1C"/>
    <w:rsid w:val="0099454B"/>
    <w:rsid w:val="00994B6D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E70"/>
    <w:rsid w:val="009A0FBA"/>
    <w:rsid w:val="009A14F8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8CF"/>
    <w:rsid w:val="009B4D3E"/>
    <w:rsid w:val="009B4DF4"/>
    <w:rsid w:val="009B5475"/>
    <w:rsid w:val="009B564E"/>
    <w:rsid w:val="009B5ECE"/>
    <w:rsid w:val="009B62D9"/>
    <w:rsid w:val="009B6365"/>
    <w:rsid w:val="009B6C77"/>
    <w:rsid w:val="009B754C"/>
    <w:rsid w:val="009B79C0"/>
    <w:rsid w:val="009B7E87"/>
    <w:rsid w:val="009C0169"/>
    <w:rsid w:val="009C0179"/>
    <w:rsid w:val="009C089C"/>
    <w:rsid w:val="009C10BF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509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929"/>
    <w:rsid w:val="009D4FF0"/>
    <w:rsid w:val="009D5FBA"/>
    <w:rsid w:val="009D6A63"/>
    <w:rsid w:val="009D703C"/>
    <w:rsid w:val="009D718F"/>
    <w:rsid w:val="009D7AB8"/>
    <w:rsid w:val="009E0662"/>
    <w:rsid w:val="009E068F"/>
    <w:rsid w:val="009E0D17"/>
    <w:rsid w:val="009E0FE9"/>
    <w:rsid w:val="009E1261"/>
    <w:rsid w:val="009E14E0"/>
    <w:rsid w:val="009E1690"/>
    <w:rsid w:val="009E1D55"/>
    <w:rsid w:val="009E2491"/>
    <w:rsid w:val="009E2563"/>
    <w:rsid w:val="009E35DB"/>
    <w:rsid w:val="009E360E"/>
    <w:rsid w:val="009E3830"/>
    <w:rsid w:val="009E3B46"/>
    <w:rsid w:val="009E40BC"/>
    <w:rsid w:val="009E43A2"/>
    <w:rsid w:val="009E47A3"/>
    <w:rsid w:val="009E489F"/>
    <w:rsid w:val="009E519C"/>
    <w:rsid w:val="009E5990"/>
    <w:rsid w:val="009E5ACA"/>
    <w:rsid w:val="009E670A"/>
    <w:rsid w:val="009E6B96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1DFF"/>
    <w:rsid w:val="009F2BF5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6C3A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14E"/>
    <w:rsid w:val="00A05CEF"/>
    <w:rsid w:val="00A05F2D"/>
    <w:rsid w:val="00A0787B"/>
    <w:rsid w:val="00A07A43"/>
    <w:rsid w:val="00A07D91"/>
    <w:rsid w:val="00A102BD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6D7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45C"/>
    <w:rsid w:val="00A22997"/>
    <w:rsid w:val="00A2351A"/>
    <w:rsid w:val="00A23B6E"/>
    <w:rsid w:val="00A23CAB"/>
    <w:rsid w:val="00A23E4D"/>
    <w:rsid w:val="00A2457B"/>
    <w:rsid w:val="00A24C32"/>
    <w:rsid w:val="00A24E0D"/>
    <w:rsid w:val="00A25138"/>
    <w:rsid w:val="00A2552E"/>
    <w:rsid w:val="00A26095"/>
    <w:rsid w:val="00A264A9"/>
    <w:rsid w:val="00A264C1"/>
    <w:rsid w:val="00A269EC"/>
    <w:rsid w:val="00A26DCF"/>
    <w:rsid w:val="00A26E1D"/>
    <w:rsid w:val="00A26EDC"/>
    <w:rsid w:val="00A27785"/>
    <w:rsid w:val="00A30187"/>
    <w:rsid w:val="00A30224"/>
    <w:rsid w:val="00A30538"/>
    <w:rsid w:val="00A30A03"/>
    <w:rsid w:val="00A31057"/>
    <w:rsid w:val="00A311C2"/>
    <w:rsid w:val="00A31BD4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791"/>
    <w:rsid w:val="00A378FF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B74"/>
    <w:rsid w:val="00A467D2"/>
    <w:rsid w:val="00A46A07"/>
    <w:rsid w:val="00A46B7B"/>
    <w:rsid w:val="00A470FC"/>
    <w:rsid w:val="00A4761F"/>
    <w:rsid w:val="00A47D50"/>
    <w:rsid w:val="00A47D5C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872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09B"/>
    <w:rsid w:val="00A609D2"/>
    <w:rsid w:val="00A61499"/>
    <w:rsid w:val="00A619BA"/>
    <w:rsid w:val="00A61AB8"/>
    <w:rsid w:val="00A61B44"/>
    <w:rsid w:val="00A62266"/>
    <w:rsid w:val="00A62731"/>
    <w:rsid w:val="00A62869"/>
    <w:rsid w:val="00A62A77"/>
    <w:rsid w:val="00A62D96"/>
    <w:rsid w:val="00A63483"/>
    <w:rsid w:val="00A63739"/>
    <w:rsid w:val="00A638B7"/>
    <w:rsid w:val="00A63C40"/>
    <w:rsid w:val="00A649A4"/>
    <w:rsid w:val="00A64B28"/>
    <w:rsid w:val="00A64D39"/>
    <w:rsid w:val="00A657D7"/>
    <w:rsid w:val="00A65865"/>
    <w:rsid w:val="00A660AC"/>
    <w:rsid w:val="00A66174"/>
    <w:rsid w:val="00A663F0"/>
    <w:rsid w:val="00A66EDF"/>
    <w:rsid w:val="00A673D9"/>
    <w:rsid w:val="00A674C0"/>
    <w:rsid w:val="00A67AAA"/>
    <w:rsid w:val="00A67BDA"/>
    <w:rsid w:val="00A67E6C"/>
    <w:rsid w:val="00A706AD"/>
    <w:rsid w:val="00A708A2"/>
    <w:rsid w:val="00A70E09"/>
    <w:rsid w:val="00A711E9"/>
    <w:rsid w:val="00A71853"/>
    <w:rsid w:val="00A71870"/>
    <w:rsid w:val="00A71995"/>
    <w:rsid w:val="00A71B99"/>
    <w:rsid w:val="00A71F43"/>
    <w:rsid w:val="00A721C7"/>
    <w:rsid w:val="00A7293D"/>
    <w:rsid w:val="00A72AC2"/>
    <w:rsid w:val="00A731CB"/>
    <w:rsid w:val="00A73654"/>
    <w:rsid w:val="00A739D0"/>
    <w:rsid w:val="00A73D47"/>
    <w:rsid w:val="00A7419B"/>
    <w:rsid w:val="00A74C38"/>
    <w:rsid w:val="00A74D4E"/>
    <w:rsid w:val="00A75048"/>
    <w:rsid w:val="00A75421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35C1"/>
    <w:rsid w:val="00A845EE"/>
    <w:rsid w:val="00A84630"/>
    <w:rsid w:val="00A84AB6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080C"/>
    <w:rsid w:val="00A91486"/>
    <w:rsid w:val="00A9149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3B93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D00"/>
    <w:rsid w:val="00AA1ED6"/>
    <w:rsid w:val="00AA1EDF"/>
    <w:rsid w:val="00AA2195"/>
    <w:rsid w:val="00AA2638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4D"/>
    <w:rsid w:val="00AB20A7"/>
    <w:rsid w:val="00AB3264"/>
    <w:rsid w:val="00AB332A"/>
    <w:rsid w:val="00AB4749"/>
    <w:rsid w:val="00AB4AB8"/>
    <w:rsid w:val="00AB4BE3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210"/>
    <w:rsid w:val="00AC2739"/>
    <w:rsid w:val="00AC2D41"/>
    <w:rsid w:val="00AC2ECD"/>
    <w:rsid w:val="00AC2EE5"/>
    <w:rsid w:val="00AC3119"/>
    <w:rsid w:val="00AC3441"/>
    <w:rsid w:val="00AC3A5F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A50"/>
    <w:rsid w:val="00AD1BCE"/>
    <w:rsid w:val="00AD1EE0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5D5"/>
    <w:rsid w:val="00AE5725"/>
    <w:rsid w:val="00AE5753"/>
    <w:rsid w:val="00AE5B0F"/>
    <w:rsid w:val="00AE5C58"/>
    <w:rsid w:val="00AE662F"/>
    <w:rsid w:val="00AE6CE8"/>
    <w:rsid w:val="00AE7A6E"/>
    <w:rsid w:val="00AE7FBF"/>
    <w:rsid w:val="00AF0519"/>
    <w:rsid w:val="00AF0FFF"/>
    <w:rsid w:val="00AF1C5D"/>
    <w:rsid w:val="00AF295A"/>
    <w:rsid w:val="00AF3660"/>
    <w:rsid w:val="00AF388F"/>
    <w:rsid w:val="00AF3B86"/>
    <w:rsid w:val="00AF3DE1"/>
    <w:rsid w:val="00AF3F3B"/>
    <w:rsid w:val="00AF3F63"/>
    <w:rsid w:val="00AF42D7"/>
    <w:rsid w:val="00AF43D4"/>
    <w:rsid w:val="00AF44BD"/>
    <w:rsid w:val="00AF469D"/>
    <w:rsid w:val="00AF4C70"/>
    <w:rsid w:val="00AF56F7"/>
    <w:rsid w:val="00AF58D9"/>
    <w:rsid w:val="00AF5DCE"/>
    <w:rsid w:val="00AF5E8F"/>
    <w:rsid w:val="00AF6361"/>
    <w:rsid w:val="00AF6BF9"/>
    <w:rsid w:val="00AF6C40"/>
    <w:rsid w:val="00AF6F9F"/>
    <w:rsid w:val="00AF723C"/>
    <w:rsid w:val="00AF78EE"/>
    <w:rsid w:val="00AF7F61"/>
    <w:rsid w:val="00B006FE"/>
    <w:rsid w:val="00B007CB"/>
    <w:rsid w:val="00B008F8"/>
    <w:rsid w:val="00B00DED"/>
    <w:rsid w:val="00B0102F"/>
    <w:rsid w:val="00B02AA9"/>
    <w:rsid w:val="00B02FA3"/>
    <w:rsid w:val="00B0300C"/>
    <w:rsid w:val="00B03093"/>
    <w:rsid w:val="00B0347D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97D"/>
    <w:rsid w:val="00B06DC5"/>
    <w:rsid w:val="00B07499"/>
    <w:rsid w:val="00B1039E"/>
    <w:rsid w:val="00B10644"/>
    <w:rsid w:val="00B10C2C"/>
    <w:rsid w:val="00B11396"/>
    <w:rsid w:val="00B120C0"/>
    <w:rsid w:val="00B120F5"/>
    <w:rsid w:val="00B12766"/>
    <w:rsid w:val="00B12B14"/>
    <w:rsid w:val="00B133A3"/>
    <w:rsid w:val="00B13514"/>
    <w:rsid w:val="00B13798"/>
    <w:rsid w:val="00B13C5C"/>
    <w:rsid w:val="00B13C9A"/>
    <w:rsid w:val="00B13D92"/>
    <w:rsid w:val="00B1423E"/>
    <w:rsid w:val="00B14925"/>
    <w:rsid w:val="00B14D82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5BB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4BC"/>
    <w:rsid w:val="00B34D12"/>
    <w:rsid w:val="00B34E7C"/>
    <w:rsid w:val="00B34FD2"/>
    <w:rsid w:val="00B35072"/>
    <w:rsid w:val="00B350DD"/>
    <w:rsid w:val="00B354CC"/>
    <w:rsid w:val="00B35C44"/>
    <w:rsid w:val="00B36220"/>
    <w:rsid w:val="00B3673B"/>
    <w:rsid w:val="00B36757"/>
    <w:rsid w:val="00B3696D"/>
    <w:rsid w:val="00B36A69"/>
    <w:rsid w:val="00B372AA"/>
    <w:rsid w:val="00B3730E"/>
    <w:rsid w:val="00B3743F"/>
    <w:rsid w:val="00B37649"/>
    <w:rsid w:val="00B37CB9"/>
    <w:rsid w:val="00B40118"/>
    <w:rsid w:val="00B402DB"/>
    <w:rsid w:val="00B40445"/>
    <w:rsid w:val="00B40851"/>
    <w:rsid w:val="00B409E0"/>
    <w:rsid w:val="00B411C8"/>
    <w:rsid w:val="00B4150D"/>
    <w:rsid w:val="00B416A6"/>
    <w:rsid w:val="00B41845"/>
    <w:rsid w:val="00B41888"/>
    <w:rsid w:val="00B41949"/>
    <w:rsid w:val="00B41CD7"/>
    <w:rsid w:val="00B423F0"/>
    <w:rsid w:val="00B42754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56"/>
    <w:rsid w:val="00B573BE"/>
    <w:rsid w:val="00B57A70"/>
    <w:rsid w:val="00B603C0"/>
    <w:rsid w:val="00B605CF"/>
    <w:rsid w:val="00B6073A"/>
    <w:rsid w:val="00B607CD"/>
    <w:rsid w:val="00B609B2"/>
    <w:rsid w:val="00B60E34"/>
    <w:rsid w:val="00B61555"/>
    <w:rsid w:val="00B62448"/>
    <w:rsid w:val="00B62875"/>
    <w:rsid w:val="00B628FB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284"/>
    <w:rsid w:val="00B756C7"/>
    <w:rsid w:val="00B75BB0"/>
    <w:rsid w:val="00B768FC"/>
    <w:rsid w:val="00B76937"/>
    <w:rsid w:val="00B76C0E"/>
    <w:rsid w:val="00B7756F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103"/>
    <w:rsid w:val="00B908A1"/>
    <w:rsid w:val="00B909C2"/>
    <w:rsid w:val="00B90DEF"/>
    <w:rsid w:val="00B90F73"/>
    <w:rsid w:val="00B91202"/>
    <w:rsid w:val="00B91EDB"/>
    <w:rsid w:val="00B9287B"/>
    <w:rsid w:val="00B92D99"/>
    <w:rsid w:val="00B93B59"/>
    <w:rsid w:val="00B9406A"/>
    <w:rsid w:val="00B9408D"/>
    <w:rsid w:val="00B94216"/>
    <w:rsid w:val="00B942C4"/>
    <w:rsid w:val="00B945FF"/>
    <w:rsid w:val="00B9499D"/>
    <w:rsid w:val="00B94A35"/>
    <w:rsid w:val="00B94BB8"/>
    <w:rsid w:val="00B95145"/>
    <w:rsid w:val="00B9527D"/>
    <w:rsid w:val="00B956C8"/>
    <w:rsid w:val="00B9599E"/>
    <w:rsid w:val="00B9696B"/>
    <w:rsid w:val="00B97319"/>
    <w:rsid w:val="00B97484"/>
    <w:rsid w:val="00B979BA"/>
    <w:rsid w:val="00B97A20"/>
    <w:rsid w:val="00B97D8F"/>
    <w:rsid w:val="00BA076A"/>
    <w:rsid w:val="00BA0D06"/>
    <w:rsid w:val="00BA2280"/>
    <w:rsid w:val="00BA2323"/>
    <w:rsid w:val="00BA2A08"/>
    <w:rsid w:val="00BA2D58"/>
    <w:rsid w:val="00BA375F"/>
    <w:rsid w:val="00BA4DFD"/>
    <w:rsid w:val="00BA55EC"/>
    <w:rsid w:val="00BA56D2"/>
    <w:rsid w:val="00BA6CF2"/>
    <w:rsid w:val="00BA7248"/>
    <w:rsid w:val="00BA76E0"/>
    <w:rsid w:val="00BB02FF"/>
    <w:rsid w:val="00BB0320"/>
    <w:rsid w:val="00BB0625"/>
    <w:rsid w:val="00BB069E"/>
    <w:rsid w:val="00BB0D48"/>
    <w:rsid w:val="00BB100E"/>
    <w:rsid w:val="00BB15E0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986"/>
    <w:rsid w:val="00BC4A2A"/>
    <w:rsid w:val="00BC4B40"/>
    <w:rsid w:val="00BC4D2E"/>
    <w:rsid w:val="00BC4E25"/>
    <w:rsid w:val="00BC5DEC"/>
    <w:rsid w:val="00BC6302"/>
    <w:rsid w:val="00BC6563"/>
    <w:rsid w:val="00BC6C63"/>
    <w:rsid w:val="00BC6E64"/>
    <w:rsid w:val="00BC6EA9"/>
    <w:rsid w:val="00BC731C"/>
    <w:rsid w:val="00BC7703"/>
    <w:rsid w:val="00BC7C8D"/>
    <w:rsid w:val="00BD0629"/>
    <w:rsid w:val="00BD0BD0"/>
    <w:rsid w:val="00BD15DA"/>
    <w:rsid w:val="00BD287B"/>
    <w:rsid w:val="00BD2A8B"/>
    <w:rsid w:val="00BD2E41"/>
    <w:rsid w:val="00BD2F8B"/>
    <w:rsid w:val="00BD3851"/>
    <w:rsid w:val="00BD4127"/>
    <w:rsid w:val="00BD43D6"/>
    <w:rsid w:val="00BD4445"/>
    <w:rsid w:val="00BD48AC"/>
    <w:rsid w:val="00BD4D19"/>
    <w:rsid w:val="00BD5D20"/>
    <w:rsid w:val="00BD5F1A"/>
    <w:rsid w:val="00BD773A"/>
    <w:rsid w:val="00BD79F6"/>
    <w:rsid w:val="00BE0346"/>
    <w:rsid w:val="00BE0BA3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4885"/>
    <w:rsid w:val="00BE536B"/>
    <w:rsid w:val="00BE537B"/>
    <w:rsid w:val="00BE58DE"/>
    <w:rsid w:val="00BE5B5D"/>
    <w:rsid w:val="00BE5FC7"/>
    <w:rsid w:val="00BE60EC"/>
    <w:rsid w:val="00BE6355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556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93F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4D72"/>
    <w:rsid w:val="00C04FFB"/>
    <w:rsid w:val="00C0532F"/>
    <w:rsid w:val="00C05706"/>
    <w:rsid w:val="00C06235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881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A5A"/>
    <w:rsid w:val="00C14B76"/>
    <w:rsid w:val="00C14D4B"/>
    <w:rsid w:val="00C14E02"/>
    <w:rsid w:val="00C154BB"/>
    <w:rsid w:val="00C159A8"/>
    <w:rsid w:val="00C15A4F"/>
    <w:rsid w:val="00C1650C"/>
    <w:rsid w:val="00C165C4"/>
    <w:rsid w:val="00C169D8"/>
    <w:rsid w:val="00C16AF5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790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71"/>
    <w:rsid w:val="00C25389"/>
    <w:rsid w:val="00C25A09"/>
    <w:rsid w:val="00C25D41"/>
    <w:rsid w:val="00C25D52"/>
    <w:rsid w:val="00C27407"/>
    <w:rsid w:val="00C277C8"/>
    <w:rsid w:val="00C279B5"/>
    <w:rsid w:val="00C27B65"/>
    <w:rsid w:val="00C27C45"/>
    <w:rsid w:val="00C31BB4"/>
    <w:rsid w:val="00C31D88"/>
    <w:rsid w:val="00C31F4E"/>
    <w:rsid w:val="00C3233B"/>
    <w:rsid w:val="00C32368"/>
    <w:rsid w:val="00C324B1"/>
    <w:rsid w:val="00C33514"/>
    <w:rsid w:val="00C34189"/>
    <w:rsid w:val="00C342D4"/>
    <w:rsid w:val="00C342E2"/>
    <w:rsid w:val="00C347DD"/>
    <w:rsid w:val="00C358E5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4E26"/>
    <w:rsid w:val="00C44F42"/>
    <w:rsid w:val="00C4533C"/>
    <w:rsid w:val="00C45989"/>
    <w:rsid w:val="00C46963"/>
    <w:rsid w:val="00C4698C"/>
    <w:rsid w:val="00C46DBD"/>
    <w:rsid w:val="00C471A3"/>
    <w:rsid w:val="00C473A5"/>
    <w:rsid w:val="00C47B0E"/>
    <w:rsid w:val="00C47C70"/>
    <w:rsid w:val="00C47EC8"/>
    <w:rsid w:val="00C50B58"/>
    <w:rsid w:val="00C51BAD"/>
    <w:rsid w:val="00C51C5E"/>
    <w:rsid w:val="00C52261"/>
    <w:rsid w:val="00C522E2"/>
    <w:rsid w:val="00C5248C"/>
    <w:rsid w:val="00C5255C"/>
    <w:rsid w:val="00C52F0E"/>
    <w:rsid w:val="00C532FF"/>
    <w:rsid w:val="00C53EAE"/>
    <w:rsid w:val="00C54995"/>
    <w:rsid w:val="00C54B71"/>
    <w:rsid w:val="00C54D41"/>
    <w:rsid w:val="00C54F19"/>
    <w:rsid w:val="00C55684"/>
    <w:rsid w:val="00C55707"/>
    <w:rsid w:val="00C5571C"/>
    <w:rsid w:val="00C55EEB"/>
    <w:rsid w:val="00C55F37"/>
    <w:rsid w:val="00C56767"/>
    <w:rsid w:val="00C56A26"/>
    <w:rsid w:val="00C57326"/>
    <w:rsid w:val="00C60783"/>
    <w:rsid w:val="00C60B7D"/>
    <w:rsid w:val="00C60C03"/>
    <w:rsid w:val="00C612F2"/>
    <w:rsid w:val="00C61A8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51D5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B3"/>
    <w:rsid w:val="00C744FE"/>
    <w:rsid w:val="00C74679"/>
    <w:rsid w:val="00C7471D"/>
    <w:rsid w:val="00C748DD"/>
    <w:rsid w:val="00C74B83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6178"/>
    <w:rsid w:val="00C87093"/>
    <w:rsid w:val="00C872CF"/>
    <w:rsid w:val="00C878E4"/>
    <w:rsid w:val="00C9027A"/>
    <w:rsid w:val="00C9068E"/>
    <w:rsid w:val="00C90C2B"/>
    <w:rsid w:val="00C9100A"/>
    <w:rsid w:val="00C91101"/>
    <w:rsid w:val="00C916AF"/>
    <w:rsid w:val="00C9196E"/>
    <w:rsid w:val="00C91FD3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255"/>
    <w:rsid w:val="00C95631"/>
    <w:rsid w:val="00C95A0D"/>
    <w:rsid w:val="00C95B40"/>
    <w:rsid w:val="00C95C3E"/>
    <w:rsid w:val="00C95EE5"/>
    <w:rsid w:val="00C96235"/>
    <w:rsid w:val="00C963C5"/>
    <w:rsid w:val="00C9731C"/>
    <w:rsid w:val="00C979E4"/>
    <w:rsid w:val="00C97B7D"/>
    <w:rsid w:val="00C97D41"/>
    <w:rsid w:val="00C97D90"/>
    <w:rsid w:val="00CA0ADE"/>
    <w:rsid w:val="00CA0DAE"/>
    <w:rsid w:val="00CA158A"/>
    <w:rsid w:val="00CA1883"/>
    <w:rsid w:val="00CA1ED8"/>
    <w:rsid w:val="00CA2031"/>
    <w:rsid w:val="00CA3221"/>
    <w:rsid w:val="00CA3390"/>
    <w:rsid w:val="00CA3C01"/>
    <w:rsid w:val="00CA44C8"/>
    <w:rsid w:val="00CA500D"/>
    <w:rsid w:val="00CA5167"/>
    <w:rsid w:val="00CA5E74"/>
    <w:rsid w:val="00CA620D"/>
    <w:rsid w:val="00CA623D"/>
    <w:rsid w:val="00CA6CAA"/>
    <w:rsid w:val="00CA7045"/>
    <w:rsid w:val="00CA7CB2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3A3"/>
    <w:rsid w:val="00CC181A"/>
    <w:rsid w:val="00CC2011"/>
    <w:rsid w:val="00CC20AF"/>
    <w:rsid w:val="00CC235B"/>
    <w:rsid w:val="00CC23C0"/>
    <w:rsid w:val="00CC25EA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263"/>
    <w:rsid w:val="00CD59B0"/>
    <w:rsid w:val="00CD6451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65C"/>
    <w:rsid w:val="00CE484B"/>
    <w:rsid w:val="00CE4BE3"/>
    <w:rsid w:val="00CE502A"/>
    <w:rsid w:val="00CE5431"/>
    <w:rsid w:val="00CE5855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412"/>
    <w:rsid w:val="00CF3B1F"/>
    <w:rsid w:val="00CF3BF6"/>
    <w:rsid w:val="00CF43A1"/>
    <w:rsid w:val="00CF47EF"/>
    <w:rsid w:val="00CF4829"/>
    <w:rsid w:val="00CF498C"/>
    <w:rsid w:val="00CF4F41"/>
    <w:rsid w:val="00CF5260"/>
    <w:rsid w:val="00CF531A"/>
    <w:rsid w:val="00CF5823"/>
    <w:rsid w:val="00CF6150"/>
    <w:rsid w:val="00CF625B"/>
    <w:rsid w:val="00CF63DC"/>
    <w:rsid w:val="00CF6651"/>
    <w:rsid w:val="00CF687E"/>
    <w:rsid w:val="00CF6BBF"/>
    <w:rsid w:val="00CF6FDA"/>
    <w:rsid w:val="00CF756C"/>
    <w:rsid w:val="00D004EF"/>
    <w:rsid w:val="00D00F9E"/>
    <w:rsid w:val="00D0192D"/>
    <w:rsid w:val="00D02775"/>
    <w:rsid w:val="00D02DAD"/>
    <w:rsid w:val="00D030F7"/>
    <w:rsid w:val="00D0349B"/>
    <w:rsid w:val="00D03FAB"/>
    <w:rsid w:val="00D03FD6"/>
    <w:rsid w:val="00D044EB"/>
    <w:rsid w:val="00D0467F"/>
    <w:rsid w:val="00D0517B"/>
    <w:rsid w:val="00D0596C"/>
    <w:rsid w:val="00D0634C"/>
    <w:rsid w:val="00D0713C"/>
    <w:rsid w:val="00D10249"/>
    <w:rsid w:val="00D10925"/>
    <w:rsid w:val="00D10953"/>
    <w:rsid w:val="00D10C7D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6BC9"/>
    <w:rsid w:val="00D1750E"/>
    <w:rsid w:val="00D177F3"/>
    <w:rsid w:val="00D17A76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E65"/>
    <w:rsid w:val="00D23F47"/>
    <w:rsid w:val="00D23FF6"/>
    <w:rsid w:val="00D2474C"/>
    <w:rsid w:val="00D247E9"/>
    <w:rsid w:val="00D250B8"/>
    <w:rsid w:val="00D254DD"/>
    <w:rsid w:val="00D256D4"/>
    <w:rsid w:val="00D25B5D"/>
    <w:rsid w:val="00D25F52"/>
    <w:rsid w:val="00D26144"/>
    <w:rsid w:val="00D261BD"/>
    <w:rsid w:val="00D26A85"/>
    <w:rsid w:val="00D26D45"/>
    <w:rsid w:val="00D30335"/>
    <w:rsid w:val="00D30F76"/>
    <w:rsid w:val="00D3105A"/>
    <w:rsid w:val="00D3106B"/>
    <w:rsid w:val="00D3112A"/>
    <w:rsid w:val="00D31363"/>
    <w:rsid w:val="00D31958"/>
    <w:rsid w:val="00D31A95"/>
    <w:rsid w:val="00D31EB9"/>
    <w:rsid w:val="00D32D64"/>
    <w:rsid w:val="00D33296"/>
    <w:rsid w:val="00D33434"/>
    <w:rsid w:val="00D3390D"/>
    <w:rsid w:val="00D339B8"/>
    <w:rsid w:val="00D34081"/>
    <w:rsid w:val="00D343B4"/>
    <w:rsid w:val="00D34626"/>
    <w:rsid w:val="00D348E9"/>
    <w:rsid w:val="00D34A15"/>
    <w:rsid w:val="00D34D01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51"/>
    <w:rsid w:val="00D37D87"/>
    <w:rsid w:val="00D4028A"/>
    <w:rsid w:val="00D4041A"/>
    <w:rsid w:val="00D40548"/>
    <w:rsid w:val="00D40596"/>
    <w:rsid w:val="00D40723"/>
    <w:rsid w:val="00D40B1C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477A5"/>
    <w:rsid w:val="00D504EF"/>
    <w:rsid w:val="00D50829"/>
    <w:rsid w:val="00D50EE0"/>
    <w:rsid w:val="00D522D2"/>
    <w:rsid w:val="00D52362"/>
    <w:rsid w:val="00D528A1"/>
    <w:rsid w:val="00D53093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1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0E79"/>
    <w:rsid w:val="00D619EE"/>
    <w:rsid w:val="00D61ABE"/>
    <w:rsid w:val="00D61AF5"/>
    <w:rsid w:val="00D61CB4"/>
    <w:rsid w:val="00D6210F"/>
    <w:rsid w:val="00D6249E"/>
    <w:rsid w:val="00D624D3"/>
    <w:rsid w:val="00D62A97"/>
    <w:rsid w:val="00D6426B"/>
    <w:rsid w:val="00D65183"/>
    <w:rsid w:val="00D652B5"/>
    <w:rsid w:val="00D6547D"/>
    <w:rsid w:val="00D656D3"/>
    <w:rsid w:val="00D66155"/>
    <w:rsid w:val="00D670A2"/>
    <w:rsid w:val="00D67184"/>
    <w:rsid w:val="00D678B4"/>
    <w:rsid w:val="00D70375"/>
    <w:rsid w:val="00D708B0"/>
    <w:rsid w:val="00D70947"/>
    <w:rsid w:val="00D70B77"/>
    <w:rsid w:val="00D70B7C"/>
    <w:rsid w:val="00D70D93"/>
    <w:rsid w:val="00D7129E"/>
    <w:rsid w:val="00D714DC"/>
    <w:rsid w:val="00D7179A"/>
    <w:rsid w:val="00D71F0D"/>
    <w:rsid w:val="00D72557"/>
    <w:rsid w:val="00D7359F"/>
    <w:rsid w:val="00D739B6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5E1E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0B7C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4C3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28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BDE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3E7B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CFB"/>
    <w:rsid w:val="00DC1F58"/>
    <w:rsid w:val="00DC2785"/>
    <w:rsid w:val="00DC2A92"/>
    <w:rsid w:val="00DC2D36"/>
    <w:rsid w:val="00DC2DBC"/>
    <w:rsid w:val="00DC35DC"/>
    <w:rsid w:val="00DC37E8"/>
    <w:rsid w:val="00DC3FD7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699"/>
    <w:rsid w:val="00DC7B6A"/>
    <w:rsid w:val="00DC7C4B"/>
    <w:rsid w:val="00DC7DC3"/>
    <w:rsid w:val="00DD0177"/>
    <w:rsid w:val="00DD0268"/>
    <w:rsid w:val="00DD0429"/>
    <w:rsid w:val="00DD0AE2"/>
    <w:rsid w:val="00DD1749"/>
    <w:rsid w:val="00DD1859"/>
    <w:rsid w:val="00DD1CD3"/>
    <w:rsid w:val="00DD2C53"/>
    <w:rsid w:val="00DD358D"/>
    <w:rsid w:val="00DD36DB"/>
    <w:rsid w:val="00DD4325"/>
    <w:rsid w:val="00DD495C"/>
    <w:rsid w:val="00DD4E59"/>
    <w:rsid w:val="00DD4FD3"/>
    <w:rsid w:val="00DD5782"/>
    <w:rsid w:val="00DD5898"/>
    <w:rsid w:val="00DD596F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50A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2DC"/>
    <w:rsid w:val="00DF37A0"/>
    <w:rsid w:val="00DF40A4"/>
    <w:rsid w:val="00DF41E2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7DE"/>
    <w:rsid w:val="00E02E71"/>
    <w:rsid w:val="00E0377A"/>
    <w:rsid w:val="00E03813"/>
    <w:rsid w:val="00E03E12"/>
    <w:rsid w:val="00E04F6C"/>
    <w:rsid w:val="00E05304"/>
    <w:rsid w:val="00E058A0"/>
    <w:rsid w:val="00E05AE3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28B"/>
    <w:rsid w:val="00E12327"/>
    <w:rsid w:val="00E1249A"/>
    <w:rsid w:val="00E125E0"/>
    <w:rsid w:val="00E12875"/>
    <w:rsid w:val="00E12BA0"/>
    <w:rsid w:val="00E12E4A"/>
    <w:rsid w:val="00E148B3"/>
    <w:rsid w:val="00E15AAD"/>
    <w:rsid w:val="00E1631B"/>
    <w:rsid w:val="00E16570"/>
    <w:rsid w:val="00E1691A"/>
    <w:rsid w:val="00E17FA2"/>
    <w:rsid w:val="00E2090F"/>
    <w:rsid w:val="00E217BF"/>
    <w:rsid w:val="00E21A43"/>
    <w:rsid w:val="00E21AC7"/>
    <w:rsid w:val="00E22169"/>
    <w:rsid w:val="00E22330"/>
    <w:rsid w:val="00E226D9"/>
    <w:rsid w:val="00E241EE"/>
    <w:rsid w:val="00E245EE"/>
    <w:rsid w:val="00E2481B"/>
    <w:rsid w:val="00E25CCF"/>
    <w:rsid w:val="00E26167"/>
    <w:rsid w:val="00E262F2"/>
    <w:rsid w:val="00E26FFD"/>
    <w:rsid w:val="00E272D4"/>
    <w:rsid w:val="00E27E6B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362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3758"/>
    <w:rsid w:val="00E44493"/>
    <w:rsid w:val="00E4462B"/>
    <w:rsid w:val="00E44649"/>
    <w:rsid w:val="00E446F1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002"/>
    <w:rsid w:val="00E504D1"/>
    <w:rsid w:val="00E50D8C"/>
    <w:rsid w:val="00E51284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467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3D99"/>
    <w:rsid w:val="00E642D8"/>
    <w:rsid w:val="00E64434"/>
    <w:rsid w:val="00E6470C"/>
    <w:rsid w:val="00E650FE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5C87"/>
    <w:rsid w:val="00E7631F"/>
    <w:rsid w:val="00E76548"/>
    <w:rsid w:val="00E76553"/>
    <w:rsid w:val="00E765DD"/>
    <w:rsid w:val="00E77484"/>
    <w:rsid w:val="00E77DAF"/>
    <w:rsid w:val="00E8088E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3E5E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098"/>
    <w:rsid w:val="00E90395"/>
    <w:rsid w:val="00E90E49"/>
    <w:rsid w:val="00E917F9"/>
    <w:rsid w:val="00E91B88"/>
    <w:rsid w:val="00E9291C"/>
    <w:rsid w:val="00E92F62"/>
    <w:rsid w:val="00E9389A"/>
    <w:rsid w:val="00E93DA5"/>
    <w:rsid w:val="00E93FFE"/>
    <w:rsid w:val="00E9412B"/>
    <w:rsid w:val="00E9436C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00D7"/>
    <w:rsid w:val="00EA0512"/>
    <w:rsid w:val="00EA1330"/>
    <w:rsid w:val="00EA15F4"/>
    <w:rsid w:val="00EA1ACC"/>
    <w:rsid w:val="00EA1C44"/>
    <w:rsid w:val="00EA2104"/>
    <w:rsid w:val="00EA2A00"/>
    <w:rsid w:val="00EA2E04"/>
    <w:rsid w:val="00EA3512"/>
    <w:rsid w:val="00EA4220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5F9"/>
    <w:rsid w:val="00EB077B"/>
    <w:rsid w:val="00EB0CC2"/>
    <w:rsid w:val="00EB0EBF"/>
    <w:rsid w:val="00EB138A"/>
    <w:rsid w:val="00EB1A19"/>
    <w:rsid w:val="00EB1E53"/>
    <w:rsid w:val="00EB2421"/>
    <w:rsid w:val="00EB2960"/>
    <w:rsid w:val="00EB2E80"/>
    <w:rsid w:val="00EB347C"/>
    <w:rsid w:val="00EB3F72"/>
    <w:rsid w:val="00EB48FF"/>
    <w:rsid w:val="00EB49D6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B5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5B84"/>
    <w:rsid w:val="00EC6CA4"/>
    <w:rsid w:val="00EC71CE"/>
    <w:rsid w:val="00EC7717"/>
    <w:rsid w:val="00EC78EF"/>
    <w:rsid w:val="00EC7A3C"/>
    <w:rsid w:val="00EC7A60"/>
    <w:rsid w:val="00ED02B8"/>
    <w:rsid w:val="00ED0B2F"/>
    <w:rsid w:val="00ED0CCF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4E4F"/>
    <w:rsid w:val="00ED5329"/>
    <w:rsid w:val="00ED565A"/>
    <w:rsid w:val="00ED5A6E"/>
    <w:rsid w:val="00ED5EC8"/>
    <w:rsid w:val="00ED5F71"/>
    <w:rsid w:val="00ED5FEE"/>
    <w:rsid w:val="00ED6063"/>
    <w:rsid w:val="00ED60D7"/>
    <w:rsid w:val="00ED6579"/>
    <w:rsid w:val="00ED6A6E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9E9"/>
    <w:rsid w:val="00EF3AFC"/>
    <w:rsid w:val="00EF3CE4"/>
    <w:rsid w:val="00EF3E17"/>
    <w:rsid w:val="00EF3EEC"/>
    <w:rsid w:val="00EF433D"/>
    <w:rsid w:val="00EF436C"/>
    <w:rsid w:val="00EF44F1"/>
    <w:rsid w:val="00EF5787"/>
    <w:rsid w:val="00EF5CBC"/>
    <w:rsid w:val="00EF5E2C"/>
    <w:rsid w:val="00EF609B"/>
    <w:rsid w:val="00EF60D0"/>
    <w:rsid w:val="00EF6FFF"/>
    <w:rsid w:val="00EF7602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4E5"/>
    <w:rsid w:val="00F02504"/>
    <w:rsid w:val="00F02695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1C8F"/>
    <w:rsid w:val="00F12431"/>
    <w:rsid w:val="00F12563"/>
    <w:rsid w:val="00F129DE"/>
    <w:rsid w:val="00F12CAD"/>
    <w:rsid w:val="00F1344C"/>
    <w:rsid w:val="00F13F68"/>
    <w:rsid w:val="00F14777"/>
    <w:rsid w:val="00F147D2"/>
    <w:rsid w:val="00F14E55"/>
    <w:rsid w:val="00F15159"/>
    <w:rsid w:val="00F1562F"/>
    <w:rsid w:val="00F15C4B"/>
    <w:rsid w:val="00F15FA5"/>
    <w:rsid w:val="00F16588"/>
    <w:rsid w:val="00F16C98"/>
    <w:rsid w:val="00F16CCD"/>
    <w:rsid w:val="00F16E7F"/>
    <w:rsid w:val="00F1725F"/>
    <w:rsid w:val="00F17554"/>
    <w:rsid w:val="00F178D3"/>
    <w:rsid w:val="00F17CDE"/>
    <w:rsid w:val="00F17D98"/>
    <w:rsid w:val="00F17F5E"/>
    <w:rsid w:val="00F208B9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3BA"/>
    <w:rsid w:val="00F30828"/>
    <w:rsid w:val="00F3086B"/>
    <w:rsid w:val="00F30EB0"/>
    <w:rsid w:val="00F313D6"/>
    <w:rsid w:val="00F31BFA"/>
    <w:rsid w:val="00F3206F"/>
    <w:rsid w:val="00F3232C"/>
    <w:rsid w:val="00F333B7"/>
    <w:rsid w:val="00F3396A"/>
    <w:rsid w:val="00F33D16"/>
    <w:rsid w:val="00F33FF8"/>
    <w:rsid w:val="00F340F0"/>
    <w:rsid w:val="00F34344"/>
    <w:rsid w:val="00F34CF2"/>
    <w:rsid w:val="00F353CC"/>
    <w:rsid w:val="00F35DDA"/>
    <w:rsid w:val="00F36FA6"/>
    <w:rsid w:val="00F36FE6"/>
    <w:rsid w:val="00F37B24"/>
    <w:rsid w:val="00F4009B"/>
    <w:rsid w:val="00F400E3"/>
    <w:rsid w:val="00F402DE"/>
    <w:rsid w:val="00F40506"/>
    <w:rsid w:val="00F40895"/>
    <w:rsid w:val="00F40977"/>
    <w:rsid w:val="00F40A34"/>
    <w:rsid w:val="00F40EDF"/>
    <w:rsid w:val="00F40F0C"/>
    <w:rsid w:val="00F41134"/>
    <w:rsid w:val="00F4162B"/>
    <w:rsid w:val="00F41C28"/>
    <w:rsid w:val="00F41E1B"/>
    <w:rsid w:val="00F421AE"/>
    <w:rsid w:val="00F4226C"/>
    <w:rsid w:val="00F43C36"/>
    <w:rsid w:val="00F43E32"/>
    <w:rsid w:val="00F443F8"/>
    <w:rsid w:val="00F447C0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316"/>
    <w:rsid w:val="00F5386D"/>
    <w:rsid w:val="00F54552"/>
    <w:rsid w:val="00F5594B"/>
    <w:rsid w:val="00F55BDD"/>
    <w:rsid w:val="00F562D0"/>
    <w:rsid w:val="00F56388"/>
    <w:rsid w:val="00F56E25"/>
    <w:rsid w:val="00F57B39"/>
    <w:rsid w:val="00F60203"/>
    <w:rsid w:val="00F607C5"/>
    <w:rsid w:val="00F60AF3"/>
    <w:rsid w:val="00F60C58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201"/>
    <w:rsid w:val="00F643F2"/>
    <w:rsid w:val="00F6456F"/>
    <w:rsid w:val="00F64707"/>
    <w:rsid w:val="00F64C2B"/>
    <w:rsid w:val="00F64DF8"/>
    <w:rsid w:val="00F6518D"/>
    <w:rsid w:val="00F651BE"/>
    <w:rsid w:val="00F65531"/>
    <w:rsid w:val="00F6574D"/>
    <w:rsid w:val="00F667A5"/>
    <w:rsid w:val="00F66875"/>
    <w:rsid w:val="00F66B53"/>
    <w:rsid w:val="00F66F3A"/>
    <w:rsid w:val="00F6751F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E4E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6AD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1D"/>
    <w:rsid w:val="00F90F8D"/>
    <w:rsid w:val="00F913C3"/>
    <w:rsid w:val="00F91982"/>
    <w:rsid w:val="00F91C89"/>
    <w:rsid w:val="00F92047"/>
    <w:rsid w:val="00F92782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0C8"/>
    <w:rsid w:val="00FA51E4"/>
    <w:rsid w:val="00FA52D7"/>
    <w:rsid w:val="00FA586F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2E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5CB"/>
    <w:rsid w:val="00FB673B"/>
    <w:rsid w:val="00FB6780"/>
    <w:rsid w:val="00FB6A6A"/>
    <w:rsid w:val="00FB6AF9"/>
    <w:rsid w:val="00FB7C9B"/>
    <w:rsid w:val="00FC011C"/>
    <w:rsid w:val="00FC0981"/>
    <w:rsid w:val="00FC182D"/>
    <w:rsid w:val="00FC2CDC"/>
    <w:rsid w:val="00FC31AE"/>
    <w:rsid w:val="00FC35BF"/>
    <w:rsid w:val="00FC415D"/>
    <w:rsid w:val="00FC43C3"/>
    <w:rsid w:val="00FC4C31"/>
    <w:rsid w:val="00FC5835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0BE9"/>
    <w:rsid w:val="00FD1D4F"/>
    <w:rsid w:val="00FD1EC8"/>
    <w:rsid w:val="00FD2494"/>
    <w:rsid w:val="00FD2D08"/>
    <w:rsid w:val="00FD2D9E"/>
    <w:rsid w:val="00FD3660"/>
    <w:rsid w:val="00FD45CC"/>
    <w:rsid w:val="00FD47ED"/>
    <w:rsid w:val="00FD4B11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99A"/>
    <w:rsid w:val="00FE1A8F"/>
    <w:rsid w:val="00FE1C54"/>
    <w:rsid w:val="00FE1DB6"/>
    <w:rsid w:val="00FE1E1B"/>
    <w:rsid w:val="00FE1F22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1308"/>
    <w:rsid w:val="00FF1E6E"/>
    <w:rsid w:val="00FF1F41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A1E"/>
    <w:rsid w:val="00FF6DDC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AEEEB25B-A2C3-430C-B05C-5F2227BB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F4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,列出段落,列表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paragraph" w:customStyle="1" w:styleId="Pa10">
    <w:name w:val="Pa10"/>
    <w:basedOn w:val="Normal"/>
    <w:next w:val="Normal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rsid w:val="00414B38"/>
    <w:pPr>
      <w:numPr>
        <w:numId w:val="13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Normal"/>
    <w:rsid w:val="00943568"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Normal"/>
    <w:rsid w:val="005B1793"/>
    <w:pPr>
      <w:numPr>
        <w:numId w:val="17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BodyText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rsid w:val="00B13C9A"/>
    <w:rPr>
      <w:rFonts w:ascii="Arial" w:eastAsia="SimSun" w:hAnsi="Arial"/>
      <w:spacing w:val="2"/>
      <w:lang w:val="en-US" w:eastAsia="en-US"/>
    </w:rPr>
  </w:style>
  <w:style w:type="paragraph" w:customStyle="1" w:styleId="Proposal1">
    <w:name w:val="Proposal1"/>
    <w:basedOn w:val="Normal"/>
    <w:link w:val="Proposal1Char"/>
    <w:qFormat/>
    <w:rsid w:val="00CF756C"/>
    <w:pPr>
      <w:tabs>
        <w:tab w:val="left" w:pos="1620"/>
      </w:tabs>
      <w:overflowPunct/>
      <w:autoSpaceDE/>
      <w:autoSpaceDN/>
      <w:adjustRightInd/>
      <w:spacing w:before="120" w:after="0"/>
      <w:ind w:left="1620" w:hanging="1620"/>
      <w:jc w:val="both"/>
      <w:textAlignment w:val="auto"/>
    </w:pPr>
    <w:rPr>
      <w:rFonts w:ascii="Calibri" w:eastAsia="MS Mincho" w:hAnsi="Calibri"/>
      <w:b/>
      <w:lang w:val="en-US" w:eastAsia="en-US"/>
    </w:rPr>
  </w:style>
  <w:style w:type="character" w:customStyle="1" w:styleId="Proposal1Char">
    <w:name w:val="Proposal1 Char"/>
    <w:link w:val="Proposal1"/>
    <w:rsid w:val="00CF756C"/>
    <w:rPr>
      <w:rFonts w:ascii="Calibri" w:eastAsia="MS Mincho" w:hAnsi="Calibri"/>
      <w:b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3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TSG_RAN/WG1_RL1/TSGR1_105-e/Docs/R1-2104549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ftp/TSG_RAN/WG1_RL1/TSGR1_105-e/Docs/R1-2104289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1_RL1/TSGR1_105-e/Docs/R1-2105890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1_RL1/TSGR1_105-e/Docs/R1-2104821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TSG_RAN/WG1_RL1/TSGR1_105-e/Docs/R1-210471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215</Value>
      <Value>212</Value>
      <Value>497</Value>
    </TaxCatchAll>
    <_dlc_DocIdPersistId xmlns="f166a696-7b5b-4ccd-9f0c-ffde0cceec81" xsi:nil="true"/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PublishingStartDate xmlns="http://schemas.microsoft.com/sharepoint/v3" xsi:nil="true"/>
    <_dlc_DocId xmlns="f166a696-7b5b-4ccd-9f0c-ffde0cceec81">5NUHHDQN7SK2-1476151046-501667</_dlc_DocId>
    <_dlc_DocIdUrl xmlns="f166a696-7b5b-4ccd-9f0c-ffde0cceec81">
      <Url>https://ericsson.sharepoint.com/sites/star/_layouts/15/DocIdRedir.aspx?ID=5NUHHDQN7SK2-1476151046-501667</Url>
      <Description>5NUHHDQN7SK2-1476151046-501667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C4DD5C-B205-4A08-B3D2-D72C96B06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A08541-8C2B-4C4F-8979-8A503B9BDE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B2294C-6824-4207-B7BA-75221FBA85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25</TotalTime>
  <Pages>8</Pages>
  <Words>2662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16742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Gerardo Agni Medina Acosta</cp:lastModifiedBy>
  <cp:revision>10</cp:revision>
  <cp:lastPrinted>2008-01-30T22:09:00Z</cp:lastPrinted>
  <dcterms:created xsi:type="dcterms:W3CDTF">2021-05-24T18:41:00Z</dcterms:created>
  <dcterms:modified xsi:type="dcterms:W3CDTF">2021-05-24T19:08:00Z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0x0101000A5832045C649C4FB0AB9A5D116E5EF3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1604280729</vt:lpwstr>
  </property>
  <property fmtid="{D5CDD505-2E9C-101B-9397-08002B2CF9AE}" pid="8" name="_2015_ms_pID_725343">
    <vt:lpwstr>(2)OZyamLPtuiGBfS5dzl0HeHbCHo8tCjdD18kxWVfBHnXXqaPglQlOgxIswnD/0a2xtRTJoKOn
1TT4/c5Qu6KKRa/P9f/tEyOXWoq/SylDfyXLfqTbilRGm97o3URjX0FwqPI0AxZmTN7vJAhH
lr7zox9FNZyW0nJ3goTMj923S1cnxUfrJ5WRwyv5pz1GMpJAOzsvNB6u+roFpqJGT07rAZIF
XweTCRHBjf8B/9fZZT</vt:lpwstr>
  </property>
  <property fmtid="{D5CDD505-2E9C-101B-9397-08002B2CF9AE}" pid="9" name="_2015_ms_pID_7253431">
    <vt:lpwstr>owTjUXLdIM7yXf8XSSNUwXb+l2u1CM3ewzIxUbrq8NaDEMsYayekFI
fIgxBc2IGLdFJ8zKtpJMRohXlHPUOpAXlrDOjKwuyMI3S/EDFXWoBFh1Z80UPI0j4NoXc6+I
7STehvIvD6ijTPrhnmxzQvDxn66mPcLzKWf9ZtLOwlnaYZSWXGgZyDdLrDcdsGF2Z6ynHliD
a24o93uET8hY/zGv</vt:lpwstr>
  </property>
  <property fmtid="{D5CDD505-2E9C-101B-9397-08002B2CF9AE}" pid="10" name="TaxKeyword">
    <vt:lpwstr>215;#3GPP|11111111-1111-1111-1111-111111111111;#212;#TDoc|af4b50c5-3c78-4293-b1bd-3e717d5b6882;#497;#Ericsson|11111111-1111-1111-1111-111111111111</vt:lpwstr>
  </property>
  <property fmtid="{D5CDD505-2E9C-101B-9397-08002B2CF9AE}" pid="11" name="_dlc_DocIdItemGuid">
    <vt:lpwstr>e3c0f352-6d2e-43ac-8fce-123db6f685e0</vt:lpwstr>
  </property>
  <property fmtid="{D5CDD505-2E9C-101B-9397-08002B2CF9AE}" pid="12" name="EriCOLLCategory">
    <vt:lpwstr/>
  </property>
  <property fmtid="{D5CDD505-2E9C-101B-9397-08002B2CF9AE}" pid="13" name="EriCOLLProjectsTaxHTField0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Customer">
    <vt:lpwstr/>
  </property>
  <property fmtid="{D5CDD505-2E9C-101B-9397-08002B2CF9AE}" pid="19" name="EriCOLLOrganizationUnitTaxHTField0">
    <vt:lpwstr/>
  </property>
  <property fmtid="{D5CDD505-2E9C-101B-9397-08002B2CF9AE}" pid="20" name="EriCOLLProducts">
    <vt:lpwstr/>
  </property>
  <property fmtid="{D5CDD505-2E9C-101B-9397-08002B2CF9AE}" pid="21" name="EriCOLLCategoryTaxHTField0">
    <vt:lpwstr/>
  </property>
  <property fmtid="{D5CDD505-2E9C-101B-9397-08002B2CF9AE}" pid="22" name="EriCOLLCompetenceTaxHTField0">
    <vt:lpwstr/>
  </property>
  <property fmtid="{D5CDD505-2E9C-101B-9397-08002B2CF9AE}" pid="23" name="EriCOLLCountryTaxHTField0">
    <vt:lpwstr/>
  </property>
  <property fmtid="{D5CDD505-2E9C-101B-9397-08002B2CF9AE}" pid="24" name="EriCOLLCustomerTaxHTField0">
    <vt:lpwstr/>
  </property>
  <property fmtid="{D5CDD505-2E9C-101B-9397-08002B2CF9AE}" pid="25" name="EriCOLLProductsTaxHTField0">
    <vt:lpwstr/>
  </property>
  <property fmtid="{D5CDD505-2E9C-101B-9397-08002B2CF9AE}" pid="26" name="EriCOLLProcessTaxHTField0">
    <vt:lpwstr/>
  </property>
  <property fmtid="{D5CDD505-2E9C-101B-9397-08002B2CF9AE}" pid="27" name="EriCOLLProjects">
    <vt:lpwstr/>
  </property>
</Properties>
</file>