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gramStart"/>
      <w:r w:rsidRPr="007816CF">
        <w:rPr>
          <w:szCs w:val="20"/>
          <w:lang w:eastAsia="zh-CN"/>
        </w:rPr>
        <w:t>gNB.</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0F3E52">
            <w:pPr>
              <w:pStyle w:val="ListParagraph"/>
              <w:widowControl w:val="0"/>
              <w:numPr>
                <w:ilvl w:val="1"/>
                <w:numId w:val="85"/>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0F3E52">
            <w:pPr>
              <w:pStyle w:val="ListParagraph"/>
              <w:widowControl w:val="0"/>
              <w:numPr>
                <w:ilvl w:val="2"/>
                <w:numId w:val="85"/>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0F3E52">
            <w:pPr>
              <w:pStyle w:val="ListParagraph"/>
              <w:widowControl w:val="0"/>
              <w:numPr>
                <w:ilvl w:val="3"/>
                <w:numId w:val="85"/>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0F3E52">
            <w:pPr>
              <w:pStyle w:val="ListParagraph"/>
              <w:widowControl w:val="0"/>
              <w:numPr>
                <w:ilvl w:val="3"/>
                <w:numId w:val="85"/>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0F3E52">
            <w:pPr>
              <w:pStyle w:val="ListParagraph"/>
              <w:widowControl w:val="0"/>
              <w:numPr>
                <w:ilvl w:val="1"/>
                <w:numId w:val="85"/>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 xml:space="preserve">SSSG#0 and SSSG#1 </w:t>
            </w:r>
            <w:proofErr w:type="gramStart"/>
            <w:r w:rsidR="0093408C" w:rsidRPr="00714E10">
              <w:rPr>
                <w:szCs w:val="20"/>
                <w:lang w:eastAsia="zh-CN"/>
              </w:rPr>
              <w:t>is</w:t>
            </w:r>
            <w:proofErr w:type="gramEnd"/>
            <w:r w:rsidR="0093408C" w:rsidRPr="00714E10">
              <w:rPr>
                <w:szCs w:val="20"/>
                <w:lang w:eastAsia="zh-CN"/>
              </w:rPr>
              <w:t xml:space="preserve">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0F3E52">
            <w:pPr>
              <w:pStyle w:val="ListParagraph"/>
              <w:numPr>
                <w:ilvl w:val="2"/>
                <w:numId w:val="85"/>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0F3E52">
            <w:pPr>
              <w:pStyle w:val="ListParagraph"/>
              <w:numPr>
                <w:ilvl w:val="2"/>
                <w:numId w:val="85"/>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0F3E52">
            <w:pPr>
              <w:pStyle w:val="ListParagraph"/>
              <w:numPr>
                <w:ilvl w:val="2"/>
                <w:numId w:val="85"/>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0F3E52">
            <w:pPr>
              <w:pStyle w:val="ListParagraph"/>
              <w:numPr>
                <w:ilvl w:val="2"/>
                <w:numId w:val="85"/>
              </w:numPr>
              <w:rPr>
                <w:bCs/>
                <w:szCs w:val="20"/>
                <w:lang w:eastAsia="zh-CN"/>
              </w:rPr>
            </w:pPr>
            <w:r w:rsidRPr="00714E10">
              <w:rPr>
                <w:bCs/>
                <w:szCs w:val="20"/>
                <w:lang w:eastAsia="zh-CN"/>
              </w:rPr>
              <w:t>…..</w:t>
            </w:r>
          </w:p>
          <w:p w14:paraId="05F4B639" w14:textId="392EA711" w:rsidR="00A16131" w:rsidRPr="00714E10" w:rsidRDefault="00A16131" w:rsidP="000F3E52">
            <w:pPr>
              <w:pStyle w:val="ListParagraph"/>
              <w:widowControl w:val="0"/>
              <w:numPr>
                <w:ilvl w:val="2"/>
                <w:numId w:val="85"/>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0F3E52">
            <w:pPr>
              <w:pStyle w:val="ListParagraph"/>
              <w:numPr>
                <w:ilvl w:val="0"/>
                <w:numId w:val="85"/>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0F3E52">
            <w:pPr>
              <w:pStyle w:val="ListParagraph"/>
              <w:numPr>
                <w:ilvl w:val="2"/>
                <w:numId w:val="85"/>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0F3E52">
            <w:pPr>
              <w:pStyle w:val="ListParagraph"/>
              <w:numPr>
                <w:ilvl w:val="2"/>
                <w:numId w:val="85"/>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0F3E52">
            <w:pPr>
              <w:pStyle w:val="ListParagraph"/>
              <w:numPr>
                <w:ilvl w:val="2"/>
                <w:numId w:val="85"/>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0F3E52">
            <w:pPr>
              <w:pStyle w:val="ListParagraph"/>
              <w:numPr>
                <w:ilvl w:val="2"/>
                <w:numId w:val="85"/>
              </w:numPr>
              <w:rPr>
                <w:bCs/>
                <w:szCs w:val="20"/>
                <w:lang w:eastAsia="zh-CN"/>
              </w:rPr>
            </w:pPr>
            <w:r w:rsidRPr="00714E10">
              <w:rPr>
                <w:bCs/>
                <w:szCs w:val="20"/>
                <w:lang w:eastAsia="zh-CN"/>
              </w:rPr>
              <w:t>…..</w:t>
            </w:r>
          </w:p>
          <w:p w14:paraId="683C7558" w14:textId="4AFCF933" w:rsidR="000F3E52" w:rsidRPr="00714E10" w:rsidRDefault="000F3E52" w:rsidP="000F3E52">
            <w:pPr>
              <w:pStyle w:val="ListParagraph"/>
              <w:widowControl w:val="0"/>
              <w:numPr>
                <w:ilvl w:val="2"/>
                <w:numId w:val="85"/>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0F3E52">
            <w:pPr>
              <w:pStyle w:val="ListParagraph"/>
              <w:numPr>
                <w:ilvl w:val="0"/>
                <w:numId w:val="85"/>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0F3E52">
            <w:pPr>
              <w:pStyle w:val="ListParagraph"/>
              <w:numPr>
                <w:ilvl w:val="1"/>
                <w:numId w:val="85"/>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0F3E52">
            <w:pPr>
              <w:pStyle w:val="ListParagraph"/>
              <w:numPr>
                <w:ilvl w:val="1"/>
                <w:numId w:val="85"/>
              </w:numPr>
              <w:rPr>
                <w:bCs/>
                <w:szCs w:val="20"/>
                <w:lang w:eastAsia="zh-CN"/>
              </w:rPr>
            </w:pPr>
            <w:r w:rsidRPr="00714E10">
              <w:rPr>
                <w:bCs/>
                <w:szCs w:val="20"/>
                <w:lang w:eastAsia="zh-CN"/>
              </w:rPr>
              <w:t>FFS one or more</w:t>
            </w:r>
          </w:p>
          <w:p w14:paraId="7544BB7C" w14:textId="6EA84648" w:rsidR="00B34A0D" w:rsidRPr="00714E10" w:rsidRDefault="00B34A0D" w:rsidP="000F3E52">
            <w:pPr>
              <w:pStyle w:val="ListParagraph"/>
              <w:numPr>
                <w:ilvl w:val="1"/>
                <w:numId w:val="85"/>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DA5D81">
            <w:pPr>
              <w:pStyle w:val="ListParagraph"/>
              <w:numPr>
                <w:ilvl w:val="0"/>
                <w:numId w:val="88"/>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DA5D81">
            <w:pPr>
              <w:pStyle w:val="ListParagraph"/>
              <w:numPr>
                <w:ilvl w:val="0"/>
                <w:numId w:val="88"/>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DA5D81">
            <w:pPr>
              <w:pStyle w:val="ListParagraph"/>
              <w:numPr>
                <w:ilvl w:val="0"/>
                <w:numId w:val="88"/>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w:t>
            </w:r>
            <w:proofErr w:type="gramStart"/>
            <w:r w:rsidRPr="0058025F">
              <w:rPr>
                <w:bCs/>
                <w:lang w:eastAsia="zh-CN"/>
              </w:rPr>
              <w:t>to change</w:t>
            </w:r>
            <w:proofErr w:type="gramEnd"/>
            <w:r w:rsidRPr="0058025F">
              <w:rPr>
                <w:bCs/>
                <w:lang w:eastAsia="zh-CN"/>
              </w:rPr>
              <w:t xml:space="preserv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w:t>
            </w:r>
            <w:proofErr w:type="gramStart"/>
            <w:r>
              <w:rPr>
                <w:bCs/>
                <w:lang w:eastAsia="zh-CN"/>
              </w:rPr>
              <w:t>overhead, but</w:t>
            </w:r>
            <w:proofErr w:type="gramEnd"/>
            <w:r>
              <w:rPr>
                <w:bCs/>
                <w:lang w:eastAsia="zh-CN"/>
              </w:rPr>
              <w:t xml:space="preserve">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w:t>
            </w:r>
            <w:proofErr w:type="gramStart"/>
            <w:r>
              <w:rPr>
                <w:bCs/>
                <w:lang w:eastAsia="zh-CN"/>
              </w:rPr>
              <w:t>duration, and</w:t>
            </w:r>
            <w:proofErr w:type="gramEnd"/>
            <w:r>
              <w:rPr>
                <w:bCs/>
                <w:lang w:eastAsia="zh-CN"/>
              </w:rPr>
              <w:t xml:space="preserve">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w:t>
            </w:r>
            <w:proofErr w:type="gramStart"/>
            <w:r>
              <w:rPr>
                <w:bCs/>
                <w:lang w:eastAsia="zh-CN"/>
              </w:rPr>
              <w:t>make a decision</w:t>
            </w:r>
            <w:proofErr w:type="gramEnd"/>
            <w:r>
              <w:rPr>
                <w:bCs/>
                <w:lang w:eastAsia="zh-CN"/>
              </w:rPr>
              <w:t xml:space="preserve">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 xml:space="preserve">As many other companies commented in their contributions, we don’t think </w:t>
            </w:r>
            <w:proofErr w:type="gramStart"/>
            <w:r>
              <w:rPr>
                <w:bCs/>
                <w:lang w:eastAsia="zh-CN"/>
              </w:rPr>
              <w:t>group-common</w:t>
            </w:r>
            <w:proofErr w:type="gramEnd"/>
            <w:r>
              <w:rPr>
                <w:bCs/>
                <w:lang w:eastAsia="zh-CN"/>
              </w:rPr>
              <w:t xml:space="preserve">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w:t>
            </w:r>
            <w:proofErr w:type="gramStart"/>
            <w:r w:rsidRPr="00BF1DEC">
              <w:rPr>
                <w:szCs w:val="20"/>
                <w:lang w:eastAsia="zh-CN"/>
              </w:rPr>
              <w:t>and also</w:t>
            </w:r>
            <w:proofErr w:type="gramEnd"/>
            <w:r w:rsidRPr="00BF1DEC">
              <w:rPr>
                <w:szCs w:val="20"/>
                <w:lang w:eastAsia="zh-CN"/>
              </w:rPr>
              <w:t xml:space="preserve">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bl>
    <w:p w14:paraId="1DC548B2" w14:textId="77777777" w:rsidR="00220BBE" w:rsidRPr="00220BBE" w:rsidRDefault="00220BBE" w:rsidP="00220BBE">
      <w:pPr>
        <w:rPr>
          <w:lang w:val="en-GB" w:eastAsia="zh-CN"/>
        </w:rPr>
      </w:pPr>
    </w:p>
    <w:p w14:paraId="2D43CBF4" w14:textId="067B5817" w:rsidR="004875C2" w:rsidRDefault="006E5CDD" w:rsidP="00BE14E4">
      <w:pPr>
        <w:pStyle w:val="Heading2"/>
        <w:spacing w:line="240" w:lineRule="auto"/>
        <w:rPr>
          <w:lang w:eastAsia="zh-CN"/>
        </w:rPr>
      </w:pPr>
      <w:r>
        <w:rPr>
          <w:lang w:eastAsia="zh-CN"/>
        </w:rPr>
        <w:lastRenderedPageBreak/>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lastRenderedPageBreak/>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E507B5">
            <w:pPr>
              <w:pStyle w:val="ListParagraph"/>
              <w:numPr>
                <w:ilvl w:val="0"/>
                <w:numId w:val="89"/>
              </w:numPr>
              <w:spacing w:before="0"/>
              <w:rPr>
                <w:bCs/>
                <w:color w:val="FF0000"/>
                <w:lang w:eastAsia="zh-CN"/>
              </w:rPr>
            </w:pPr>
            <w:r w:rsidRPr="00E507B5">
              <w:rPr>
                <w:bCs/>
                <w:color w:val="FF0000"/>
                <w:lang w:eastAsia="zh-CN"/>
              </w:rPr>
              <w:t xml:space="preserve">After being indicated to skip PDCCH monitoring, the UE can still </w:t>
            </w:r>
            <w:proofErr w:type="gramStart"/>
            <w:r w:rsidRPr="00E507B5">
              <w:rPr>
                <w:bCs/>
                <w:color w:val="FF0000"/>
                <w:lang w:eastAsia="zh-CN"/>
              </w:rPr>
              <w:t>performs</w:t>
            </w:r>
            <w:proofErr w:type="gramEnd"/>
            <w:r w:rsidRPr="00E507B5">
              <w:rPr>
                <w:bCs/>
                <w:color w:val="FF0000"/>
                <w:lang w:eastAsia="zh-CN"/>
              </w:rPr>
              <w:t xml:space="preserve"> PDCCH monitoring for HARQ retransmission at least during a ‘retransmission period’.</w:t>
            </w:r>
          </w:p>
          <w:p w14:paraId="3440BE38" w14:textId="77777777" w:rsidR="000E2720" w:rsidRPr="00E507B5" w:rsidRDefault="000E2720" w:rsidP="00E507B5">
            <w:pPr>
              <w:pStyle w:val="ListParagraph"/>
              <w:numPr>
                <w:ilvl w:val="1"/>
                <w:numId w:val="89"/>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E507B5">
            <w:pPr>
              <w:pStyle w:val="ListParagraph"/>
              <w:numPr>
                <w:ilvl w:val="2"/>
                <w:numId w:val="89"/>
              </w:numPr>
              <w:spacing w:before="0"/>
              <w:rPr>
                <w:bCs/>
                <w:lang w:eastAsia="zh-CN"/>
              </w:rPr>
            </w:pPr>
            <w:r w:rsidRPr="00904981">
              <w:rPr>
                <w:bCs/>
                <w:lang w:eastAsia="zh-CN"/>
              </w:rPr>
              <w:t>UE stays in default SSSG.</w:t>
            </w:r>
          </w:p>
          <w:p w14:paraId="2E42CEF0" w14:textId="77777777" w:rsidR="000E2720" w:rsidRPr="00904981" w:rsidRDefault="000E2720" w:rsidP="00E507B5">
            <w:pPr>
              <w:pStyle w:val="ListParagraph"/>
              <w:numPr>
                <w:ilvl w:val="2"/>
                <w:numId w:val="89"/>
              </w:numPr>
              <w:spacing w:before="0"/>
              <w:rPr>
                <w:bCs/>
                <w:lang w:eastAsia="zh-CN"/>
              </w:rPr>
            </w:pPr>
            <w:r w:rsidRPr="00904981">
              <w:rPr>
                <w:bCs/>
                <w:lang w:eastAsia="zh-CN"/>
              </w:rPr>
              <w:t>UE stops PDCCH skipping.</w:t>
            </w:r>
          </w:p>
          <w:p w14:paraId="5409933F" w14:textId="77777777" w:rsidR="000E2720" w:rsidRPr="00E507B5" w:rsidRDefault="000E2720" w:rsidP="00E507B5">
            <w:pPr>
              <w:pStyle w:val="ListParagraph"/>
              <w:numPr>
                <w:ilvl w:val="2"/>
                <w:numId w:val="89"/>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E507B5">
            <w:pPr>
              <w:pStyle w:val="ListParagraph"/>
              <w:numPr>
                <w:ilvl w:val="1"/>
                <w:numId w:val="89"/>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w:t>
            </w:r>
            <w:proofErr w:type="gramStart"/>
            <w:r w:rsidRPr="00DC7909">
              <w:rPr>
                <w:i/>
                <w:szCs w:val="20"/>
                <w:highlight w:val="green"/>
              </w:rPr>
              <w:t>RetransmissionTimerDL</w:t>
            </w:r>
            <w:proofErr w:type="spellEnd"/>
            <w:r w:rsidRPr="00DC7909">
              <w:rPr>
                <w:i/>
                <w:szCs w:val="20"/>
                <w:highlight w:val="green"/>
              </w:rPr>
              <w:t>(</w:t>
            </w:r>
            <w:proofErr w:type="gram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lastRenderedPageBreak/>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bl>
    <w:p w14:paraId="6BE91786" w14:textId="77777777" w:rsidR="002F58CF" w:rsidRPr="00E2189F"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BB7A4F"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B35650D" w14:textId="77777777" w:rsidR="00BB7A4F" w:rsidRPr="00BA3EA3" w:rsidRDefault="00BB7A4F" w:rsidP="007F7249">
            <w:pPr>
              <w:jc w:val="left"/>
              <w:rPr>
                <w:bCs/>
                <w:lang w:eastAsia="zh-CN"/>
              </w:rPr>
            </w:pPr>
          </w:p>
        </w:tc>
      </w:tr>
    </w:tbl>
    <w:p w14:paraId="1233D208" w14:textId="2C46AF2A" w:rsidR="001B222F" w:rsidRPr="001B222F" w:rsidRDefault="001B222F"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2"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lastRenderedPageBreak/>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lastRenderedPageBreak/>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lastRenderedPageBreak/>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lastRenderedPageBreak/>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3" w:name="_Hlk72145163"/>
      <w:proofErr w:type="spellStart"/>
      <w:r w:rsidRPr="00E20B09">
        <w:rPr>
          <w:rFonts w:ascii="Times New Roman" w:hAnsi="Times New Roman"/>
          <w:b/>
          <w:lang w:eastAsia="zh-CN"/>
        </w:rPr>
        <w:t>HiSilicon</w:t>
      </w:r>
      <w:bookmarkEnd w:id="3"/>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lastRenderedPageBreak/>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lastRenderedPageBreak/>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lastRenderedPageBreak/>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lastRenderedPageBreak/>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lastRenderedPageBreak/>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lastRenderedPageBreak/>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TW"/>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TW"/>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TW"/>
        </w:rPr>
        <w:lastRenderedPageBreak/>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TW"/>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lastRenderedPageBreak/>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w:t>
      </w:r>
      <w:r w:rsidRPr="006A1D59">
        <w:rPr>
          <w:rFonts w:ascii="Times New Roman" w:hAnsi="Times New Roman" w:cs="Times New Roman"/>
          <w:sz w:val="20"/>
          <w:szCs w:val="20"/>
          <w:lang w:eastAsia="en-US"/>
        </w:rPr>
        <w:lastRenderedPageBreak/>
        <w:t xml:space="preserve">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lastRenderedPageBreak/>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lastRenderedPageBreak/>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484578"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484578"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484578"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484578"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484578"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484578"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484578"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484578"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484578"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484578"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484578"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484578"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484578"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484578"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lastRenderedPageBreak/>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lastRenderedPageBreak/>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4"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4"/>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lastRenderedPageBreak/>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5" w:name="_Toc529948048"/>
      <w:r>
        <w:rPr>
          <w:sz w:val="44"/>
        </w:rPr>
        <w:t>Reference</w:t>
      </w:r>
      <w:bookmarkEnd w:id="5"/>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6" w:name="_Ref47770244"/>
      <w:r>
        <w:t>RP-200938, “Revised WID: UE Power Saving Enhancements for NR”, MediaTek Inc., RAN#88</w:t>
      </w:r>
      <w:bookmarkEnd w:id="6"/>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7" w:name="_Toc529948049"/>
      <w:r>
        <w:rPr>
          <w:sz w:val="44"/>
        </w:rPr>
        <w:t>History</w:t>
      </w:r>
      <w:bookmarkEnd w:id="7"/>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DD9F8" w14:textId="77777777" w:rsidR="00484578" w:rsidRDefault="00484578">
      <w:pPr>
        <w:spacing w:after="0" w:line="240" w:lineRule="auto"/>
      </w:pPr>
      <w:r>
        <w:separator/>
      </w:r>
    </w:p>
  </w:endnote>
  <w:endnote w:type="continuationSeparator" w:id="0">
    <w:p w14:paraId="75270CFD" w14:textId="77777777" w:rsidR="00484578" w:rsidRDefault="00484578">
      <w:pPr>
        <w:spacing w:after="0" w:line="240" w:lineRule="auto"/>
      </w:pPr>
      <w:r>
        <w:continuationSeparator/>
      </w:r>
    </w:p>
  </w:endnote>
  <w:endnote w:type="continuationNotice" w:id="1">
    <w:p w14:paraId="4B13636C" w14:textId="77777777" w:rsidR="00484578" w:rsidRDefault="00484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1973F8" w:rsidRDefault="00197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1973F8" w:rsidRDefault="00197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33A79F5E" w:rsidR="001973F8" w:rsidRDefault="001973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69EEB" w14:textId="77777777" w:rsidR="00484578" w:rsidRDefault="00484578">
      <w:pPr>
        <w:spacing w:after="0" w:line="240" w:lineRule="auto"/>
      </w:pPr>
      <w:r>
        <w:separator/>
      </w:r>
    </w:p>
  </w:footnote>
  <w:footnote w:type="continuationSeparator" w:id="0">
    <w:p w14:paraId="1158C2DF" w14:textId="77777777" w:rsidR="00484578" w:rsidRDefault="00484578">
      <w:pPr>
        <w:spacing w:after="0" w:line="240" w:lineRule="auto"/>
      </w:pPr>
      <w:r>
        <w:continuationSeparator/>
      </w:r>
    </w:p>
  </w:footnote>
  <w:footnote w:type="continuationNotice" w:id="1">
    <w:p w14:paraId="362231E3" w14:textId="77777777" w:rsidR="00484578" w:rsidRDefault="00484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1973F8" w:rsidRDefault="001973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7D4"/>
    <w:multiLevelType w:val="hybridMultilevel"/>
    <w:tmpl w:val="4BFEE6D8"/>
    <w:lvl w:ilvl="0" w:tplc="0409000B">
      <w:start w:val="1"/>
      <w:numFmt w:val="bullet"/>
      <w:lvlText w:val=""/>
      <w:lvlJc w:val="left"/>
      <w:pPr>
        <w:ind w:left="420" w:hanging="420"/>
      </w:pPr>
      <w:rPr>
        <w:rFonts w:ascii="Wingdings" w:hAnsi="Wingdings" w:hint="default"/>
      </w:rPr>
    </w:lvl>
    <w:lvl w:ilvl="1" w:tplc="1AB4D94C">
      <w:start w:val="2"/>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3" w15:restartNumberingAfterBreak="0">
    <w:nsid w:val="202A26F2"/>
    <w:multiLevelType w:val="hybridMultilevel"/>
    <w:tmpl w:val="9274038E"/>
    <w:lvl w:ilvl="0" w:tplc="1AB4D94C">
      <w:start w:val="2"/>
      <w:numFmt w:val="bullet"/>
      <w:lvlText w:val="-"/>
      <w:lvlJc w:val="left"/>
      <w:pPr>
        <w:ind w:left="420" w:hanging="420"/>
      </w:pPr>
      <w:rPr>
        <w:rFonts w:ascii="Times New Roman" w:eastAsia="Times New Roman"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1"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3"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0"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8"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60C742D"/>
    <w:multiLevelType w:val="hybridMultilevel"/>
    <w:tmpl w:val="47A026FC"/>
    <w:lvl w:ilvl="0" w:tplc="E7D4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6"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EE22B27"/>
    <w:multiLevelType w:val="hybridMultilevel"/>
    <w:tmpl w:val="4F36485A"/>
    <w:lvl w:ilvl="0" w:tplc="E7D43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2"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4C5EDA"/>
    <w:multiLevelType w:val="hybridMultilevel"/>
    <w:tmpl w:val="CB90D6F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4"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26"/>
  </w:num>
  <w:num w:numId="4">
    <w:abstractNumId w:val="70"/>
  </w:num>
  <w:num w:numId="5">
    <w:abstractNumId w:val="80"/>
  </w:num>
  <w:num w:numId="6">
    <w:abstractNumId w:val="43"/>
  </w:num>
  <w:num w:numId="7">
    <w:abstractNumId w:val="79"/>
  </w:num>
  <w:num w:numId="8">
    <w:abstractNumId w:val="33"/>
  </w:num>
  <w:num w:numId="9">
    <w:abstractNumId w:val="12"/>
  </w:num>
  <w:num w:numId="10">
    <w:abstractNumId w:val="28"/>
  </w:num>
  <w:num w:numId="11">
    <w:abstractNumId w:val="58"/>
  </w:num>
  <w:num w:numId="12">
    <w:abstractNumId w:val="47"/>
  </w:num>
  <w:num w:numId="13">
    <w:abstractNumId w:val="31"/>
  </w:num>
  <w:num w:numId="14">
    <w:abstractNumId w:val="14"/>
  </w:num>
  <w:num w:numId="15">
    <w:abstractNumId w:val="25"/>
  </w:num>
  <w:num w:numId="16">
    <w:abstractNumId w:val="75"/>
  </w:num>
  <w:num w:numId="17">
    <w:abstractNumId w:val="49"/>
  </w:num>
  <w:num w:numId="18">
    <w:abstractNumId w:val="27"/>
  </w:num>
  <w:num w:numId="19">
    <w:abstractNumId w:val="29"/>
  </w:num>
  <w:num w:numId="20">
    <w:abstractNumId w:val="68"/>
  </w:num>
  <w:num w:numId="21">
    <w:abstractNumId w:val="48"/>
  </w:num>
  <w:num w:numId="22">
    <w:abstractNumId w:val="76"/>
  </w:num>
  <w:num w:numId="23">
    <w:abstractNumId w:val="53"/>
  </w:num>
  <w:num w:numId="24">
    <w:abstractNumId w:val="15"/>
  </w:num>
  <w:num w:numId="25">
    <w:abstractNumId w:val="61"/>
  </w:num>
  <w:num w:numId="26">
    <w:abstractNumId w:val="71"/>
  </w:num>
  <w:num w:numId="27">
    <w:abstractNumId w:val="55"/>
  </w:num>
  <w:num w:numId="28">
    <w:abstractNumId w:val="16"/>
  </w:num>
  <w:num w:numId="29">
    <w:abstractNumId w:val="9"/>
  </w:num>
  <w:num w:numId="30">
    <w:abstractNumId w:val="32"/>
  </w:num>
  <w:num w:numId="31">
    <w:abstractNumId w:val="3"/>
  </w:num>
  <w:num w:numId="32">
    <w:abstractNumId w:val="44"/>
  </w:num>
  <w:num w:numId="33">
    <w:abstractNumId w:val="77"/>
  </w:num>
  <w:num w:numId="34">
    <w:abstractNumId w:val="84"/>
  </w:num>
  <w:num w:numId="35">
    <w:abstractNumId w:val="24"/>
  </w:num>
  <w:num w:numId="36">
    <w:abstractNumId w:val="38"/>
  </w:num>
  <w:num w:numId="37">
    <w:abstractNumId w:val="50"/>
  </w:num>
  <w:num w:numId="38">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9"/>
  </w:num>
  <w:num w:numId="41">
    <w:abstractNumId w:val="10"/>
  </w:num>
  <w:num w:numId="42">
    <w:abstractNumId w:val="50"/>
  </w:num>
  <w:num w:numId="43">
    <w:abstractNumId w:val="81"/>
  </w:num>
  <w:num w:numId="44">
    <w:abstractNumId w:val="37"/>
  </w:num>
  <w:num w:numId="45">
    <w:abstractNumId w:val="60"/>
  </w:num>
  <w:num w:numId="46">
    <w:abstractNumId w:val="65"/>
  </w:num>
  <w:num w:numId="47">
    <w:abstractNumId w:val="20"/>
  </w:num>
  <w:num w:numId="48">
    <w:abstractNumId w:val="73"/>
  </w:num>
  <w:num w:numId="49">
    <w:abstractNumId w:val="2"/>
  </w:num>
  <w:num w:numId="50">
    <w:abstractNumId w:val="54"/>
  </w:num>
  <w:num w:numId="51">
    <w:abstractNumId w:val="78"/>
  </w:num>
  <w:num w:numId="52">
    <w:abstractNumId w:val="34"/>
  </w:num>
  <w:num w:numId="53">
    <w:abstractNumId w:val="87"/>
  </w:num>
  <w:num w:numId="54">
    <w:abstractNumId w:val="30"/>
  </w:num>
  <w:num w:numId="55">
    <w:abstractNumId w:val="23"/>
  </w:num>
  <w:num w:numId="56">
    <w:abstractNumId w:val="69"/>
  </w:num>
  <w:num w:numId="57">
    <w:abstractNumId w:val="67"/>
  </w:num>
  <w:num w:numId="58">
    <w:abstractNumId w:val="45"/>
  </w:num>
  <w:num w:numId="59">
    <w:abstractNumId w:val="86"/>
  </w:num>
  <w:num w:numId="60">
    <w:abstractNumId w:val="85"/>
  </w:num>
  <w:num w:numId="61">
    <w:abstractNumId w:val="59"/>
  </w:num>
  <w:num w:numId="62">
    <w:abstractNumId w:val="56"/>
  </w:num>
  <w:num w:numId="63">
    <w:abstractNumId w:val="42"/>
  </w:num>
  <w:num w:numId="64">
    <w:abstractNumId w:val="22"/>
  </w:num>
  <w:num w:numId="65">
    <w:abstractNumId w:val="35"/>
  </w:num>
  <w:num w:numId="66">
    <w:abstractNumId w:val="57"/>
  </w:num>
  <w:num w:numId="67">
    <w:abstractNumId w:val="11"/>
  </w:num>
  <w:num w:numId="68">
    <w:abstractNumId w:val="63"/>
  </w:num>
  <w:num w:numId="69">
    <w:abstractNumId w:val="6"/>
  </w:num>
  <w:num w:numId="70">
    <w:abstractNumId w:val="72"/>
  </w:num>
  <w:num w:numId="71">
    <w:abstractNumId w:val="5"/>
  </w:num>
  <w:num w:numId="72">
    <w:abstractNumId w:val="46"/>
  </w:num>
  <w:num w:numId="73">
    <w:abstractNumId w:val="82"/>
  </w:num>
  <w:num w:numId="74">
    <w:abstractNumId w:val="62"/>
  </w:num>
  <w:num w:numId="75">
    <w:abstractNumId w:val="7"/>
  </w:num>
  <w:num w:numId="76">
    <w:abstractNumId w:val="36"/>
  </w:num>
  <w:num w:numId="77">
    <w:abstractNumId w:val="39"/>
  </w:num>
  <w:num w:numId="78">
    <w:abstractNumId w:val="21"/>
  </w:num>
  <w:num w:numId="79">
    <w:abstractNumId w:val="41"/>
  </w:num>
  <w:num w:numId="80">
    <w:abstractNumId w:val="52"/>
  </w:num>
  <w:num w:numId="81">
    <w:abstractNumId w:val="66"/>
  </w:num>
  <w:num w:numId="82">
    <w:abstractNumId w:val="13"/>
  </w:num>
  <w:num w:numId="83">
    <w:abstractNumId w:val="0"/>
  </w:num>
  <w:num w:numId="84">
    <w:abstractNumId w:val="83"/>
  </w:num>
  <w:num w:numId="85">
    <w:abstractNumId w:val="51"/>
  </w:num>
  <w:num w:numId="86">
    <w:abstractNumId w:val="74"/>
  </w:num>
  <w:num w:numId="87">
    <w:abstractNumId w:val="40"/>
  </w:num>
  <w:num w:numId="88">
    <w:abstractNumId w:val="8"/>
  </w:num>
  <w:num w:numId="89">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F5EC5-55AB-454B-8C74-FB25BE5E412F}">
  <ds:schemaRefs>
    <ds:schemaRef ds:uri="http://schemas.openxmlformats.org/officeDocument/2006/bibliography"/>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36</Pages>
  <Words>12161</Words>
  <Characters>69320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Hyejung Jung</cp:lastModifiedBy>
  <cp:revision>27</cp:revision>
  <cp:lastPrinted>2020-10-27T02:39:00Z</cp:lastPrinted>
  <dcterms:created xsi:type="dcterms:W3CDTF">2021-05-19T23:07:00Z</dcterms:created>
  <dcterms:modified xsi:type="dcterms:W3CDTF">2021-05-20T03:43:00Z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