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bookmarkStart w:id="2" w:name="_GoBack"/>
      <w:bookmarkEnd w:id="2"/>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3"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4"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4"/>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bwpInactivityTimer,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5"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5"/>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How to deal with BWP switching triggered by bwpInactivityTimer,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 xml:space="preserve">Proposal 5: Consider increasing the number of bits for the BWP ID (bwp-Id)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6"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6"/>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BE7C1F"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BE7C1F"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BE7C1F"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Issue #8: Increased signaling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Issue #8: Increased signaling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r w:rsidRPr="00181A36">
              <w:rPr>
                <w:i/>
                <w:lang w:eastAsia="zh-CN"/>
              </w:rPr>
              <w:t xml:space="preserve">bwp_InactivityTimer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7" w:name="_Ref71192171"/>
      <w:r>
        <w:rPr>
          <w:b w:val="0"/>
        </w:rPr>
        <w:t>Figure</w:t>
      </w:r>
      <w:r>
        <w:rPr>
          <w:rFonts w:hint="eastAsia"/>
          <w:b w:val="0"/>
          <w:lang w:val="en-US"/>
        </w:rPr>
        <w:t xml:space="preserve"> 3</w:t>
      </w:r>
      <w:bookmarkEnd w:id="7"/>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77777777" w:rsidR="008970DE" w:rsidRPr="00181A36" w:rsidRDefault="008970DE" w:rsidP="008970DE">
            <w:pPr>
              <w:rPr>
                <w:rFonts w:eastAsia="Malgun Gothic"/>
                <w:lang w:eastAsia="ko-KR"/>
              </w:rPr>
            </w:pPr>
          </w:p>
        </w:tc>
        <w:tc>
          <w:tcPr>
            <w:tcW w:w="7651" w:type="dxa"/>
          </w:tcPr>
          <w:p w14:paraId="6F54DFA9" w14:textId="77777777" w:rsidR="008970DE" w:rsidRPr="00181A36" w:rsidRDefault="008970DE" w:rsidP="008970DE">
            <w:pPr>
              <w:rPr>
                <w:rFonts w:eastAsia="Malgun Gothic"/>
                <w:lang w:eastAsia="ko-KR"/>
              </w:rPr>
            </w:pPr>
          </w:p>
        </w:tc>
      </w:tr>
      <w:tr w:rsidR="008970DE" w:rsidRPr="00181A36" w14:paraId="24267A40" w14:textId="77777777" w:rsidTr="008970DE">
        <w:tc>
          <w:tcPr>
            <w:tcW w:w="1980" w:type="dxa"/>
          </w:tcPr>
          <w:p w14:paraId="1B1563DA" w14:textId="77777777" w:rsidR="008970DE" w:rsidRPr="00181A36" w:rsidRDefault="008970DE" w:rsidP="008970DE">
            <w:pPr>
              <w:rPr>
                <w:rFonts w:eastAsia="Malgun Gothic"/>
                <w:lang w:eastAsia="ko-KR"/>
              </w:rPr>
            </w:pPr>
          </w:p>
        </w:tc>
        <w:tc>
          <w:tcPr>
            <w:tcW w:w="7651" w:type="dxa"/>
          </w:tcPr>
          <w:p w14:paraId="1EA46795" w14:textId="77777777" w:rsidR="008970DE" w:rsidRPr="00181A36" w:rsidRDefault="008970DE" w:rsidP="008970DE">
            <w:pPr>
              <w:rPr>
                <w:rFonts w:eastAsia="Malgun Gothic"/>
                <w:lang w:eastAsia="ko-KR"/>
              </w:rPr>
            </w:pP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BWP#x.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BWP#x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Option-1: Same beam layout in BWP#0 and BWP#x</w:t>
            </w:r>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In LEO scenario with earth-moving beams, beam switching can reduce handover interruption time at leaset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neighboring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neighboring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BE7C1F"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Option 1 (Same beam layout in BWP#0 and BWP#x)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77777777" w:rsidR="00C912FB" w:rsidRPr="00181A36" w:rsidRDefault="00C912FB" w:rsidP="001E2B74">
            <w:pPr>
              <w:rPr>
                <w:rFonts w:eastAsia="Malgun Gothic"/>
                <w:lang w:eastAsia="ko-KR"/>
              </w:rPr>
            </w:pPr>
          </w:p>
        </w:tc>
        <w:tc>
          <w:tcPr>
            <w:tcW w:w="7651" w:type="dxa"/>
          </w:tcPr>
          <w:p w14:paraId="0E8396D9" w14:textId="77777777" w:rsidR="00C912FB" w:rsidRPr="00181A36" w:rsidRDefault="00C912FB" w:rsidP="001E2B74">
            <w:pPr>
              <w:rPr>
                <w:rFonts w:eastAsia="Malgun Gothic"/>
                <w:lang w:eastAsia="ko-KR"/>
              </w:rPr>
            </w:pPr>
          </w:p>
        </w:tc>
      </w:tr>
      <w:tr w:rsidR="00C912FB" w:rsidRPr="00181A36" w14:paraId="0BBBC214" w14:textId="77777777" w:rsidTr="001E2B74">
        <w:tc>
          <w:tcPr>
            <w:tcW w:w="1980" w:type="dxa"/>
          </w:tcPr>
          <w:p w14:paraId="2647F1E9" w14:textId="77777777" w:rsidR="00C912FB" w:rsidRPr="00181A36" w:rsidRDefault="00C912FB" w:rsidP="001E2B74">
            <w:pPr>
              <w:rPr>
                <w:rFonts w:eastAsia="Malgun Gothic"/>
                <w:lang w:eastAsia="ko-KR"/>
              </w:rPr>
            </w:pPr>
          </w:p>
        </w:tc>
        <w:tc>
          <w:tcPr>
            <w:tcW w:w="7651" w:type="dxa"/>
          </w:tcPr>
          <w:p w14:paraId="3118492B" w14:textId="77777777" w:rsidR="00C912FB" w:rsidRPr="00181A36" w:rsidRDefault="00C912FB" w:rsidP="001E2B74">
            <w:pPr>
              <w:rPr>
                <w:rFonts w:eastAsia="Malgun Gothic"/>
                <w:lang w:eastAsia="ko-KR"/>
              </w:rPr>
            </w:pPr>
          </w:p>
        </w:tc>
      </w:tr>
    </w:tbl>
    <w:p w14:paraId="3D11295F" w14:textId="77777777" w:rsidR="00C912FB" w:rsidRPr="00181A36" w:rsidRDefault="00C912FB" w:rsidP="00C912FB">
      <w:pPr>
        <w:rPr>
          <w:rFonts w:eastAsia="Malgun Gothic"/>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lastRenderedPageBreak/>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lastRenderedPageBreak/>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SimSun"/>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lastRenderedPageBreak/>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77777777" w:rsidR="001E2B74" w:rsidRPr="00181A36" w:rsidRDefault="001E2B74" w:rsidP="001E2B74">
            <w:pPr>
              <w:rPr>
                <w:rFonts w:eastAsia="Malgun Gothic"/>
                <w:lang w:eastAsia="ko-KR"/>
              </w:rPr>
            </w:pPr>
          </w:p>
        </w:tc>
        <w:tc>
          <w:tcPr>
            <w:tcW w:w="7651" w:type="dxa"/>
          </w:tcPr>
          <w:p w14:paraId="1ACA7899" w14:textId="77777777" w:rsidR="001E2B74" w:rsidRPr="00181A36" w:rsidRDefault="001E2B74" w:rsidP="001E2B74">
            <w:pPr>
              <w:rPr>
                <w:rFonts w:eastAsia="Malgun Gothic"/>
                <w:lang w:eastAsia="ko-KR"/>
              </w:rPr>
            </w:pPr>
          </w:p>
        </w:tc>
      </w:tr>
      <w:tr w:rsidR="001E2B74" w:rsidRPr="00181A36" w14:paraId="01D108D3" w14:textId="77777777" w:rsidTr="001E2B74">
        <w:tc>
          <w:tcPr>
            <w:tcW w:w="1980" w:type="dxa"/>
          </w:tcPr>
          <w:p w14:paraId="4DC9F6DC" w14:textId="77777777" w:rsidR="001E2B74" w:rsidRPr="00181A36" w:rsidRDefault="001E2B74" w:rsidP="001E2B74">
            <w:pPr>
              <w:rPr>
                <w:rFonts w:eastAsia="Malgun Gothic"/>
                <w:lang w:eastAsia="ko-KR"/>
              </w:rPr>
            </w:pPr>
          </w:p>
        </w:tc>
        <w:tc>
          <w:tcPr>
            <w:tcW w:w="7651" w:type="dxa"/>
          </w:tcPr>
          <w:p w14:paraId="58103BC0" w14:textId="77777777" w:rsidR="001E2B74" w:rsidRPr="00181A36" w:rsidRDefault="001E2B74" w:rsidP="001E2B74">
            <w:pPr>
              <w:rPr>
                <w:rFonts w:eastAsia="Malgun Gothic"/>
                <w:lang w:eastAsia="ko-KR"/>
              </w:rPr>
            </w:pP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77777777" w:rsidR="001E2B74" w:rsidRPr="00181A36" w:rsidRDefault="001E2B74" w:rsidP="001E2B74">
            <w:pPr>
              <w:rPr>
                <w:rFonts w:eastAsia="Malgun Gothic"/>
                <w:lang w:eastAsia="ko-KR"/>
              </w:rPr>
            </w:pPr>
          </w:p>
        </w:tc>
        <w:tc>
          <w:tcPr>
            <w:tcW w:w="7651" w:type="dxa"/>
          </w:tcPr>
          <w:p w14:paraId="1798ED45" w14:textId="77777777" w:rsidR="001E2B74" w:rsidRPr="00181A36" w:rsidRDefault="001E2B74" w:rsidP="001E2B74">
            <w:pPr>
              <w:rPr>
                <w:rFonts w:eastAsia="Malgun Gothic"/>
                <w:lang w:eastAsia="ko-KR"/>
              </w:rPr>
            </w:pPr>
          </w:p>
        </w:tc>
      </w:tr>
      <w:tr w:rsidR="001E2B74" w:rsidRPr="00181A36" w14:paraId="731D5CCC" w14:textId="77777777" w:rsidTr="001E2B74">
        <w:tc>
          <w:tcPr>
            <w:tcW w:w="1980" w:type="dxa"/>
          </w:tcPr>
          <w:p w14:paraId="1E8EA29A" w14:textId="77777777" w:rsidR="001E2B74" w:rsidRPr="00181A36" w:rsidRDefault="001E2B74" w:rsidP="001E2B74">
            <w:pPr>
              <w:rPr>
                <w:rFonts w:eastAsia="Malgun Gothic"/>
                <w:lang w:eastAsia="ko-KR"/>
              </w:rPr>
            </w:pPr>
          </w:p>
        </w:tc>
        <w:tc>
          <w:tcPr>
            <w:tcW w:w="7651" w:type="dxa"/>
          </w:tcPr>
          <w:p w14:paraId="6100B49A" w14:textId="77777777" w:rsidR="001E2B74" w:rsidRPr="00181A36" w:rsidRDefault="001E2B74" w:rsidP="001E2B74">
            <w:pPr>
              <w:rPr>
                <w:rFonts w:eastAsia="Malgun Gothic"/>
                <w:lang w:eastAsia="ko-KR"/>
              </w:rPr>
            </w:pP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pt;height:143pt;mso-width-percent:0;mso-height-percent:0;mso-width-percent:0;mso-height-percent:0" o:ole="">
            <v:imagedata r:id="rId21" o:title=""/>
          </v:shape>
          <o:OLEObject Type="Embed" ProgID="Visio.Drawing.15" ShapeID="_x0000_i1025" DrawAspect="Content" ObjectID="_1682919474" r:id="rId22"/>
        </w:object>
      </w:r>
    </w:p>
    <w:p w14:paraId="292C7F5B" w14:textId="77777777" w:rsidR="00547EB0" w:rsidRPr="00181A36" w:rsidRDefault="00547EB0" w:rsidP="00C61AA1">
      <w:pPr>
        <w:jc w:val="both"/>
      </w:pPr>
    </w:p>
    <w:p w14:paraId="2B1E8021" w14:textId="75F11D74" w:rsidR="00547EB0" w:rsidRPr="00181A36" w:rsidRDefault="00387A86" w:rsidP="00C61AA1">
      <w:pPr>
        <w:jc w:val="both"/>
      </w:pPr>
      <w:r w:rsidRPr="00181A36">
        <w:lastRenderedPageBreak/>
        <w:t xml:space="preserve">This topic has been discussed several meetings and there does not seem to have more support for alt-2. In this case, the FL suspects that the company's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77777777" w:rsidR="00387A86" w:rsidRPr="00181A36" w:rsidRDefault="00387A86" w:rsidP="0043766F">
            <w:pPr>
              <w:rPr>
                <w:rFonts w:eastAsia="Malgun Gothic"/>
                <w:lang w:eastAsia="ko-KR"/>
              </w:rPr>
            </w:pPr>
          </w:p>
        </w:tc>
        <w:tc>
          <w:tcPr>
            <w:tcW w:w="7651" w:type="dxa"/>
          </w:tcPr>
          <w:p w14:paraId="245AEF65" w14:textId="77777777" w:rsidR="00387A86" w:rsidRPr="00181A36" w:rsidRDefault="00387A86" w:rsidP="0043766F">
            <w:pPr>
              <w:rPr>
                <w:rFonts w:eastAsia="Malgun Gothic"/>
                <w:lang w:eastAsia="ko-KR"/>
              </w:rPr>
            </w:pPr>
          </w:p>
        </w:tc>
      </w:tr>
      <w:tr w:rsidR="00387A86" w:rsidRPr="00181A36" w14:paraId="2ACFFDE7" w14:textId="77777777" w:rsidTr="0043766F">
        <w:tc>
          <w:tcPr>
            <w:tcW w:w="1980" w:type="dxa"/>
          </w:tcPr>
          <w:p w14:paraId="19EB6D53" w14:textId="77777777" w:rsidR="00387A86" w:rsidRPr="00181A36" w:rsidRDefault="00387A86" w:rsidP="0043766F">
            <w:pPr>
              <w:rPr>
                <w:rFonts w:eastAsia="Malgun Gothic"/>
                <w:lang w:eastAsia="ko-KR"/>
              </w:rPr>
            </w:pPr>
          </w:p>
        </w:tc>
        <w:tc>
          <w:tcPr>
            <w:tcW w:w="7651" w:type="dxa"/>
          </w:tcPr>
          <w:p w14:paraId="77CDBCC6" w14:textId="77777777" w:rsidR="00387A86" w:rsidRPr="00181A36" w:rsidRDefault="00387A86" w:rsidP="0043766F">
            <w:pPr>
              <w:rPr>
                <w:rFonts w:eastAsia="Malgun Gothic"/>
                <w:lang w:eastAsia="ko-KR"/>
              </w:rPr>
            </w:pP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lastRenderedPageBreak/>
        <w:t>Satellite implementation aspects for switching between polarization states.</w:t>
      </w:r>
    </w:p>
    <w:p w14:paraId="704A68F2" w14:textId="7D8D406D" w:rsidR="007326F7" w:rsidRPr="00181A36" w:rsidRDefault="007326F7" w:rsidP="007326F7">
      <w:pPr>
        <w:pStyle w:val="a9"/>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Proposal 10: Support to a</w:t>
            </w:r>
            <w:r w:rsidRPr="00521BC9">
              <w:rPr>
                <w:rFonts w:eastAsiaTheme="minorEastAsia"/>
                <w:i/>
                <w:lang w:eastAsia="zh-CN"/>
              </w:rPr>
              <w:t xml:space="preserve">ssociat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SimSun"/>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lastRenderedPageBreak/>
              <w:t>Ericsson</w:t>
            </w:r>
          </w:p>
        </w:tc>
        <w:tc>
          <w:tcPr>
            <w:tcW w:w="8218" w:type="dxa"/>
          </w:tcPr>
          <w:p w14:paraId="5687C3E0" w14:textId="77777777" w:rsidR="00E30630" w:rsidRPr="00521BC9" w:rsidRDefault="00BE7C1F"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BE7C1F"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BE7C1F"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paylod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lastRenderedPageBreak/>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lastRenderedPageBreak/>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77777777" w:rsidR="00275552" w:rsidRPr="00181A36" w:rsidRDefault="00275552" w:rsidP="0043766F">
            <w:pPr>
              <w:rPr>
                <w:rFonts w:eastAsia="Malgun Gothic"/>
                <w:lang w:eastAsia="ko-KR"/>
              </w:rPr>
            </w:pPr>
          </w:p>
        </w:tc>
        <w:tc>
          <w:tcPr>
            <w:tcW w:w="7651" w:type="dxa"/>
          </w:tcPr>
          <w:p w14:paraId="24B8DA55" w14:textId="77777777" w:rsidR="00275552" w:rsidRPr="00181A36" w:rsidRDefault="00275552" w:rsidP="0043766F">
            <w:pPr>
              <w:rPr>
                <w:rFonts w:eastAsia="Malgun Gothic"/>
                <w:lang w:eastAsia="ko-KR"/>
              </w:rPr>
            </w:pPr>
          </w:p>
        </w:tc>
      </w:tr>
      <w:tr w:rsidR="00275552" w:rsidRPr="00181A36" w14:paraId="1020F4DB" w14:textId="77777777" w:rsidTr="0043766F">
        <w:tc>
          <w:tcPr>
            <w:tcW w:w="1980" w:type="dxa"/>
          </w:tcPr>
          <w:p w14:paraId="2E5AEB3D" w14:textId="77777777" w:rsidR="00275552" w:rsidRPr="00181A36" w:rsidRDefault="00275552" w:rsidP="0043766F">
            <w:pPr>
              <w:rPr>
                <w:rFonts w:eastAsia="Malgun Gothic"/>
                <w:lang w:eastAsia="ko-KR"/>
              </w:rPr>
            </w:pPr>
          </w:p>
        </w:tc>
        <w:tc>
          <w:tcPr>
            <w:tcW w:w="7651" w:type="dxa"/>
          </w:tcPr>
          <w:p w14:paraId="70FF605E" w14:textId="77777777" w:rsidR="00275552" w:rsidRPr="00181A36" w:rsidRDefault="00275552" w:rsidP="00275552">
            <w:pPr>
              <w:ind w:leftChars="-904" w:hangingChars="904" w:hanging="1808"/>
              <w:rPr>
                <w:rFonts w:eastAsia="Malgun Gothic"/>
                <w:lang w:eastAsia="ko-KR"/>
              </w:rPr>
            </w:pP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43766F" w:rsidRDefault="0043766F"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43766F" w:rsidRDefault="0043766F"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43766F" w:rsidRDefault="0043766F"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43766F" w:rsidRDefault="0043766F"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lastRenderedPageBreak/>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3"/>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BE7C1F" w:rsidP="00873379">
      <w:pPr>
        <w:rPr>
          <w:lang w:eastAsia="x-none"/>
        </w:rPr>
      </w:pPr>
      <w:hyperlink r:id="rId26"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BE7C1F" w:rsidP="00873379">
      <w:pPr>
        <w:rPr>
          <w:lang w:eastAsia="x-none"/>
        </w:rPr>
      </w:pPr>
      <w:hyperlink r:id="rId27"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BE7C1F" w:rsidP="00873379">
      <w:pPr>
        <w:rPr>
          <w:lang w:eastAsia="x-none"/>
        </w:rPr>
      </w:pPr>
      <w:hyperlink r:id="rId28"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BE7C1F" w:rsidP="00873379">
      <w:pPr>
        <w:rPr>
          <w:lang w:eastAsia="x-none"/>
        </w:rPr>
      </w:pPr>
      <w:hyperlink r:id="rId29"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BE7C1F" w:rsidP="00873379">
      <w:pPr>
        <w:rPr>
          <w:lang w:eastAsia="x-none"/>
        </w:rPr>
      </w:pPr>
      <w:hyperlink r:id="rId30"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BE7C1F" w:rsidP="00873379">
      <w:pPr>
        <w:rPr>
          <w:lang w:eastAsia="x-none"/>
        </w:rPr>
      </w:pPr>
      <w:hyperlink r:id="rId31"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BE7C1F" w:rsidP="00873379">
      <w:pPr>
        <w:rPr>
          <w:lang w:eastAsia="x-none"/>
        </w:rPr>
      </w:pPr>
      <w:hyperlink r:id="rId32"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BE7C1F" w:rsidP="00873379">
      <w:pPr>
        <w:rPr>
          <w:lang w:eastAsia="x-none"/>
        </w:rPr>
      </w:pPr>
      <w:hyperlink r:id="rId33"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BE7C1F" w:rsidP="00873379">
      <w:pPr>
        <w:rPr>
          <w:lang w:eastAsia="x-none"/>
        </w:rPr>
      </w:pPr>
      <w:hyperlink r:id="rId34"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BE7C1F" w:rsidP="00873379">
      <w:pPr>
        <w:rPr>
          <w:lang w:eastAsia="x-none"/>
        </w:rPr>
      </w:pPr>
      <w:hyperlink r:id="rId35"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BE7C1F" w:rsidP="00873379">
      <w:pPr>
        <w:rPr>
          <w:lang w:eastAsia="x-none"/>
        </w:rPr>
      </w:pPr>
      <w:hyperlink r:id="rId36"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BE7C1F" w:rsidP="00873379">
      <w:pPr>
        <w:rPr>
          <w:lang w:eastAsia="x-none"/>
        </w:rPr>
      </w:pPr>
      <w:hyperlink r:id="rId37"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BE7C1F" w:rsidP="00873379">
      <w:pPr>
        <w:rPr>
          <w:lang w:eastAsia="x-none"/>
        </w:rPr>
      </w:pPr>
      <w:hyperlink r:id="rId38"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BE7C1F" w:rsidP="00873379">
      <w:pPr>
        <w:rPr>
          <w:lang w:eastAsia="x-none"/>
        </w:rPr>
      </w:pPr>
      <w:hyperlink r:id="rId39"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BE7C1F" w:rsidP="00873379">
      <w:pPr>
        <w:rPr>
          <w:lang w:eastAsia="x-none"/>
        </w:rPr>
      </w:pPr>
      <w:hyperlink r:id="rId40"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BE7C1F" w:rsidP="00873379">
      <w:pPr>
        <w:rPr>
          <w:lang w:eastAsia="x-none"/>
        </w:rPr>
      </w:pPr>
      <w:hyperlink r:id="rId41"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BE7C1F" w:rsidP="00873379">
      <w:pPr>
        <w:rPr>
          <w:lang w:eastAsia="x-none"/>
        </w:rPr>
      </w:pPr>
      <w:hyperlink r:id="rId42"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BE7C1F" w:rsidP="00873379">
      <w:pPr>
        <w:rPr>
          <w:lang w:eastAsia="x-none"/>
        </w:rPr>
      </w:pPr>
      <w:hyperlink r:id="rId43"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BE7C1F" w:rsidP="00873379">
      <w:pPr>
        <w:rPr>
          <w:lang w:eastAsia="x-none"/>
        </w:rPr>
      </w:pPr>
      <w:hyperlink r:id="rId44"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BE7C1F" w:rsidP="00873379">
      <w:pPr>
        <w:rPr>
          <w:lang w:eastAsia="x-none"/>
        </w:rPr>
      </w:pPr>
      <w:hyperlink r:id="rId45"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BE7C1F" w:rsidP="00873379">
      <w:pPr>
        <w:rPr>
          <w:lang w:eastAsia="x-none"/>
        </w:rPr>
      </w:pPr>
      <w:hyperlink r:id="rId46"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46F2D" w16cid:durableId="2353D4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DAB35" w14:textId="77777777" w:rsidR="00BE7C1F" w:rsidRDefault="00BE7C1F" w:rsidP="00A07EC5">
      <w:pPr>
        <w:spacing w:after="0"/>
      </w:pPr>
      <w:r>
        <w:separator/>
      </w:r>
    </w:p>
  </w:endnote>
  <w:endnote w:type="continuationSeparator" w:id="0">
    <w:p w14:paraId="64EAD84A" w14:textId="77777777" w:rsidR="00BE7C1F" w:rsidRDefault="00BE7C1F" w:rsidP="00A07EC5">
      <w:pPr>
        <w:spacing w:after="0"/>
      </w:pPr>
      <w:r>
        <w:continuationSeparator/>
      </w:r>
    </w:p>
  </w:endnote>
  <w:endnote w:type="continuationNotice" w:id="1">
    <w:p w14:paraId="48B4D797" w14:textId="77777777" w:rsidR="00BE7C1F" w:rsidRDefault="00BE7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43766F" w:rsidRDefault="0043766F">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43766F" w:rsidRPr="00F927BE" w:rsidRDefault="0043766F"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5B58B" w14:textId="77777777" w:rsidR="00BE7C1F" w:rsidRDefault="00BE7C1F" w:rsidP="00A07EC5">
      <w:pPr>
        <w:spacing w:after="0"/>
      </w:pPr>
      <w:r>
        <w:separator/>
      </w:r>
    </w:p>
  </w:footnote>
  <w:footnote w:type="continuationSeparator" w:id="0">
    <w:p w14:paraId="2D628C75" w14:textId="77777777" w:rsidR="00BE7C1F" w:rsidRDefault="00BE7C1F" w:rsidP="00A07EC5">
      <w:pPr>
        <w:spacing w:after="0"/>
      </w:pPr>
      <w:r>
        <w:continuationSeparator/>
      </w:r>
    </w:p>
  </w:footnote>
  <w:footnote w:type="continuationNotice" w:id="1">
    <w:p w14:paraId="4EF88CD0" w14:textId="77777777" w:rsidR="00BE7C1F" w:rsidRDefault="00BE7C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2">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28">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7"/>
  </w:num>
  <w:num w:numId="8">
    <w:abstractNumId w:val="5"/>
  </w:num>
  <w:num w:numId="9">
    <w:abstractNumId w:val="9"/>
  </w:num>
  <w:num w:numId="10">
    <w:abstractNumId w:val="2"/>
  </w:num>
  <w:num w:numId="11">
    <w:abstractNumId w:val="28"/>
  </w:num>
  <w:num w:numId="12">
    <w:abstractNumId w:val="23"/>
  </w:num>
  <w:num w:numId="13">
    <w:abstractNumId w:val="13"/>
  </w:num>
  <w:num w:numId="14">
    <w:abstractNumId w:val="0"/>
  </w:num>
  <w:num w:numId="15">
    <w:abstractNumId w:val="11"/>
  </w:num>
  <w:num w:numId="16">
    <w:abstractNumId w:val="25"/>
  </w:num>
  <w:num w:numId="17">
    <w:abstractNumId w:val="16"/>
  </w:num>
  <w:num w:numId="18">
    <w:abstractNumId w:val="24"/>
  </w:num>
  <w:num w:numId="19">
    <w:abstractNumId w:val="22"/>
  </w:num>
  <w:num w:numId="20">
    <w:abstractNumId w:val="30"/>
  </w:num>
  <w:num w:numId="21">
    <w:abstractNumId w:val="15"/>
  </w:num>
  <w:num w:numId="22">
    <w:abstractNumId w:val="26"/>
  </w:num>
  <w:num w:numId="23">
    <w:abstractNumId w:val="6"/>
  </w:num>
  <w:num w:numId="24">
    <w:abstractNumId w:val="1"/>
  </w:num>
  <w:num w:numId="25">
    <w:abstractNumId w:val="21"/>
  </w:num>
  <w:num w:numId="26">
    <w:abstractNumId w:val="29"/>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条目,Ca"/>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목록 단락,リスト段落,3 Txt tabla,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50" Type="http://schemas.microsoft.com/office/2016/09/relationships/commentsIds" Target="commentsIds.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122222111.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A0621C-37AB-440B-B355-206C9E08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8393</Words>
  <Characters>47845</Characters>
  <Application>Microsoft Office Word</Application>
  <DocSecurity>0</DocSecurity>
  <Lines>398</Lines>
  <Paragraphs>112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56126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Hao2</cp:lastModifiedBy>
  <cp:revision>2</cp:revision>
  <cp:lastPrinted>2017-11-03T15:53:00Z</cp:lastPrinted>
  <dcterms:created xsi:type="dcterms:W3CDTF">2021-05-19T06:51:00Z</dcterms:created>
  <dcterms:modified xsi:type="dcterms:W3CDTF">2021-05-19T06:51:00Z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