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59BBB1BB" w:rsidR="00EC2AB3" w:rsidRDefault="007F7F24" w:rsidP="00891CE6">
      <w:pPr>
        <w:pStyle w:val="BodyText"/>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Huawei/HiSilicon</w:t>
            </w:r>
          </w:p>
        </w:tc>
        <w:tc>
          <w:tcPr>
            <w:tcW w:w="1046" w:type="pct"/>
          </w:tcPr>
          <w:p w14:paraId="0D4BC5C5" w14:textId="293858CF" w:rsidR="00EC2B26" w:rsidRDefault="007707A2" w:rsidP="00AD264E">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AD264E">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Spreadtrum</w:t>
            </w:r>
            <w:r w:rsidR="007B6DC2">
              <w:rPr>
                <w:iCs/>
                <w:lang w:eastAsia="zh-CN"/>
              </w:rPr>
              <w:t>, vivo</w:t>
            </w:r>
          </w:p>
        </w:tc>
        <w:tc>
          <w:tcPr>
            <w:tcW w:w="956" w:type="pct"/>
          </w:tcPr>
          <w:p w14:paraId="49A2F495" w14:textId="2F589334" w:rsidR="00EC2B26" w:rsidRDefault="004C7BD4" w:rsidP="00AD264E">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Huawei/HiSilicon</w:t>
            </w:r>
          </w:p>
        </w:tc>
        <w:tc>
          <w:tcPr>
            <w:tcW w:w="1046" w:type="pct"/>
          </w:tcPr>
          <w:p w14:paraId="1C5C1C0E" w14:textId="059D9C25" w:rsidR="00EC2B26" w:rsidRDefault="007707A2"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Spreadtrum</w:t>
            </w:r>
          </w:p>
        </w:tc>
        <w:tc>
          <w:tcPr>
            <w:tcW w:w="956" w:type="pct"/>
          </w:tcPr>
          <w:p w14:paraId="5A808B7B" w14:textId="4E097287"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InterDigital</w:t>
            </w:r>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Ericsson</w:t>
            </w:r>
            <w:r w:rsidR="009876C1">
              <w:rPr>
                <w:iCs/>
                <w:lang w:eastAsia="zh-CN"/>
              </w:rPr>
              <w:t>, Lockheed Martin</w:t>
            </w:r>
            <w:r w:rsidR="00740383">
              <w:rPr>
                <w:iCs/>
                <w:lang w:eastAsia="zh-CN"/>
              </w:rPr>
              <w:t>, InterDigital</w:t>
            </w:r>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Huawei/HiSilicon</w:t>
            </w:r>
            <w:r w:rsidR="00560EF1">
              <w:rPr>
                <w:iCs/>
                <w:lang w:eastAsia="zh-CN"/>
              </w:rPr>
              <w:t>, Sharp</w:t>
            </w:r>
          </w:p>
        </w:tc>
        <w:tc>
          <w:tcPr>
            <w:tcW w:w="956" w:type="pct"/>
          </w:tcPr>
          <w:p w14:paraId="7405FA8F"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Huawei/HiSilicon</w:t>
            </w:r>
            <w:r w:rsidR="007B6DC2">
              <w:rPr>
                <w:iCs/>
                <w:lang w:eastAsia="zh-CN"/>
              </w:rPr>
              <w:t>, vivo</w:t>
            </w:r>
            <w:r w:rsidR="00560EF1">
              <w:rPr>
                <w:iCs/>
                <w:lang w:eastAsia="zh-CN"/>
              </w:rPr>
              <w:t>, Sharp</w:t>
            </w:r>
          </w:p>
        </w:tc>
        <w:tc>
          <w:tcPr>
            <w:tcW w:w="956" w:type="pct"/>
          </w:tcPr>
          <w:p w14:paraId="1C14BF5E"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AD264E">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AD264E">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Huawei/HiSilicon</w:t>
            </w:r>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ListParagraph"/>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ListParagraph"/>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ListParagraph"/>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ListParagraph"/>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ListParagraph"/>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ListParagraph"/>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ListParagraph"/>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ListParagraph"/>
        <w:numPr>
          <w:ilvl w:val="1"/>
          <w:numId w:val="57"/>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ListParagraph"/>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Tdoc,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Generally agree with proposal 2-1, but we would propose the following modification because UE can not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r>
              <w:rPr>
                <w:rFonts w:hint="eastAsia"/>
                <w:iCs/>
                <w:lang w:eastAsia="zh-CN"/>
              </w:rPr>
              <w:t>Spreadtrum</w:t>
            </w:r>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Huawei, HiSilicon</w:t>
            </w:r>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w:t>
            </w:r>
            <w:r>
              <w:rPr>
                <w:lang w:eastAsia="zh-CN"/>
              </w:rPr>
              <w:lastRenderedPageBreak/>
              <w:t>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CB31F2">
            <w:pPr>
              <w:pStyle w:val="ListParagraph"/>
              <w:numPr>
                <w:ilvl w:val="0"/>
                <w:numId w:val="74"/>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r>
              <w:rPr>
                <w:rFonts w:cs="Arial"/>
              </w:rPr>
              <w:t>CEWiT</w:t>
            </w:r>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167E6F">
            <w:pPr>
              <w:pStyle w:val="ListParagraph"/>
              <w:numPr>
                <w:ilvl w:val="0"/>
                <w:numId w:val="75"/>
              </w:numPr>
              <w:snapToGrid w:val="0"/>
            </w:pPr>
            <w:r>
              <w:t>UE is configured with f/b disabled HARQ id alone through RRC</w:t>
            </w:r>
          </w:p>
          <w:p w14:paraId="0D1D2926" w14:textId="354AB910" w:rsidR="00167E6F" w:rsidRPr="00167E6F" w:rsidRDefault="00167E6F" w:rsidP="00167E6F">
            <w:pPr>
              <w:pStyle w:val="ListParagraph"/>
              <w:numPr>
                <w:ilvl w:val="0"/>
                <w:numId w:val="75"/>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ListParagraph"/>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CE5B25">
            <w:pPr>
              <w:pStyle w:val="ListParagraph"/>
              <w:numPr>
                <w:ilvl w:val="0"/>
                <w:numId w:val="76"/>
              </w:numPr>
              <w:snapToGrid w:val="0"/>
            </w:pPr>
            <w:r>
              <w:t>UE is configured with f/b disabled HARQ id alone through RRC</w:t>
            </w:r>
          </w:p>
          <w:p w14:paraId="3559D159" w14:textId="77777777" w:rsidR="00CE5B25" w:rsidRPr="00167E6F" w:rsidRDefault="00CE5B25" w:rsidP="00CE5B25">
            <w:pPr>
              <w:pStyle w:val="ListParagraph"/>
              <w:numPr>
                <w:ilvl w:val="0"/>
                <w:numId w:val="76"/>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527C7C"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5pt;height:117.75pt;mso-width-percent:0;mso-height-percent:0;mso-width-percent:0;mso-height-percent:0" o:ole="">
                  <v:imagedata r:id="rId16" o:title=""/>
                </v:shape>
                <o:OLEObject Type="Embed" ProgID="Visio.Drawing.15" ShapeID="_x0000_i1025" DrawAspect="Content" ObjectID="_1683090828"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527C7C" w:rsidP="00C6251F">
            <w:pPr>
              <w:spacing w:after="120"/>
              <w:contextualSpacing/>
              <w:jc w:val="both"/>
              <w:rPr>
                <w:rFonts w:ascii="Times" w:eastAsiaTheme="minorEastAsia" w:hAnsi="Times"/>
              </w:rPr>
            </w:pPr>
            <w:r>
              <w:rPr>
                <w:noProof/>
              </w:rPr>
              <w:object w:dxaOrig="27121" w:dyaOrig="9025" w14:anchorId="709D74B5">
                <v:shape id="_x0000_i1026" type="#_x0000_t75" alt="" style="width:414.75pt;height:138pt;mso-width-percent:0;mso-height-percent:0;mso-width-percent:0;mso-height-percent:0" o:ole="">
                  <v:imagedata r:id="rId18" o:title=""/>
                </v:shape>
                <o:OLEObject Type="Embed" ProgID="Visio.Drawing.15" ShapeID="_x0000_i1026" DrawAspect="Content" ObjectID="_1683090829"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527C7C"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2pt;height:187.5pt;mso-width-percent:0;mso-height-percent:0;mso-width-percent:0;mso-height-percent:0" o:ole="">
            <v:imagedata r:id="rId20" o:title=""/>
          </v:shape>
          <o:OLEObject Type="Embed" ProgID="Visio.Drawing.15" ShapeID="_x0000_i1027" DrawAspect="Content" ObjectID="_1683090830"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527C7C" w:rsidP="000F1B4D">
            <w:pPr>
              <w:snapToGrid w:val="0"/>
              <w:ind w:left="360"/>
            </w:pPr>
            <w:r>
              <w:rPr>
                <w:noProof/>
              </w:rPr>
              <w:object w:dxaOrig="9649" w:dyaOrig="4813" w14:anchorId="53D4D086">
                <v:shape id="_x0000_i1028" type="#_x0000_t75" alt="" style="width:326.25pt;height:163.5pt;mso-width-percent:0;mso-height-percent:0;mso-width-percent:0;mso-height-percent:0" o:ole="">
                  <v:imagedata r:id="rId20" o:title=""/>
                </v:shape>
                <o:OLEObject Type="Embed" ProgID="Visio.Drawing.15" ShapeID="_x0000_i1028" DrawAspect="Content" ObjectID="_1683090831"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AD26A3">
            <w:pPr>
              <w:pStyle w:val="ListParagraph"/>
              <w:numPr>
                <w:ilvl w:val="0"/>
                <w:numId w:val="29"/>
              </w:numPr>
              <w:snapToGrid w:val="0"/>
            </w:pPr>
            <w:r w:rsidRPr="005538B9">
              <w:lastRenderedPageBreak/>
              <w:t>different transmit parameters and/or configurations per HARQ process or per HARQ process</w:t>
            </w:r>
          </w:p>
          <w:p w14:paraId="7E82E142" w14:textId="17A989D7" w:rsidR="00637027" w:rsidRPr="00CB31F2" w:rsidRDefault="00AD26A3" w:rsidP="00AD26A3">
            <w:pPr>
              <w:pStyle w:val="ListParagraph"/>
              <w:numPr>
                <w:ilvl w:val="0"/>
                <w:numId w:val="29"/>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lastRenderedPageBreak/>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val="en-GB" w:eastAsia="ja-JP"/>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val="en-GB" w:eastAsia="ja-JP"/>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ListParagraph"/>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lastRenderedPageBreak/>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ListParagraph"/>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lastRenderedPageBreak/>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lastRenderedPageBreak/>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ListParagraph"/>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D90BFB"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lastRenderedPageBreak/>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lastRenderedPageBreak/>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BodyText"/>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D90BFB"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lastRenderedPageBreak/>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lastRenderedPageBreak/>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ListParagraph"/>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ListParagraph"/>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lastRenderedPageBreak/>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ListParagraph"/>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the followings might be a start point for configuring different aggregation factors</w:t>
            </w:r>
          </w:p>
          <w:p w14:paraId="000AED93"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lastRenderedPageBreak/>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ListParagraph"/>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lastRenderedPageBreak/>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D90BFB"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lastRenderedPageBreak/>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lastRenderedPageBreak/>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D90BFB"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D90BFB"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D90BFB"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D90BFB"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6"/>
      <w:headerReference w:type="default" r:id="rId27"/>
      <w:footerReference w:type="even" r:id="rId28"/>
      <w:footerReference w:type="default" r:id="rId29"/>
      <w:headerReference w:type="first" r:id="rId30"/>
      <w:footerReference w:type="first" r:id="rId31"/>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Frank" w:date="2021-05-20T00:53:00Z" w:initials="FF">
    <w:p w14:paraId="3BD1E3D1" w14:textId="30A1E86F" w:rsidR="00D90BFB" w:rsidRDefault="00D90BFB">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D90BFB" w:rsidRDefault="00D90BFB">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D90BFB" w:rsidRDefault="00D90BFB"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D90BFB" w:rsidRDefault="00D90BFB"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D90BFB" w:rsidRDefault="00D90BFB">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D90BFB" w:rsidRDefault="00D90BFB">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75BE" w14:textId="77777777" w:rsidR="00C93F7F" w:rsidRDefault="00C93F7F">
      <w:pPr>
        <w:spacing w:after="0"/>
      </w:pPr>
      <w:r>
        <w:separator/>
      </w:r>
    </w:p>
  </w:endnote>
  <w:endnote w:type="continuationSeparator" w:id="0">
    <w:p w14:paraId="41A1E6CB" w14:textId="77777777" w:rsidR="00C93F7F" w:rsidRDefault="00C93F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D90BFB" w:rsidRDefault="00D90B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D90BFB" w:rsidRDefault="00D90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F46FCB9" w:rsidR="00D90BFB" w:rsidRDefault="00D90BF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756" w14:textId="77777777" w:rsidR="00D90BFB" w:rsidRDefault="00D90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F644" w14:textId="77777777" w:rsidR="00C93F7F" w:rsidRDefault="00C93F7F">
      <w:pPr>
        <w:spacing w:after="0"/>
      </w:pPr>
      <w:r>
        <w:separator/>
      </w:r>
    </w:p>
  </w:footnote>
  <w:footnote w:type="continuationSeparator" w:id="0">
    <w:p w14:paraId="592D7240" w14:textId="77777777" w:rsidR="00C93F7F" w:rsidRDefault="00C93F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D90BFB" w:rsidRDefault="00D90BF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C793" w14:textId="77777777" w:rsidR="00D90BFB" w:rsidRDefault="00D90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B7C1" w14:textId="77777777" w:rsidR="00D90BFB" w:rsidRDefault="00D90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5"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6"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7"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73"/>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5"/>
  </w:num>
  <w:num w:numId="6">
    <w:abstractNumId w:val="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7"/>
  </w:num>
  <w:num w:numId="10">
    <w:abstractNumId w:val="16"/>
  </w:num>
  <w:num w:numId="11">
    <w:abstractNumId w:val="64"/>
  </w:num>
  <w:num w:numId="12">
    <w:abstractNumId w:val="66"/>
  </w:num>
  <w:num w:numId="13">
    <w:abstractNumId w:val="43"/>
  </w:num>
  <w:num w:numId="14">
    <w:abstractNumId w:val="19"/>
  </w:num>
  <w:num w:numId="15">
    <w:abstractNumId w:val="13"/>
  </w:num>
  <w:num w:numId="16">
    <w:abstractNumId w:val="25"/>
  </w:num>
  <w:num w:numId="17">
    <w:abstractNumId w:val="35"/>
  </w:num>
  <w:num w:numId="18">
    <w:abstractNumId w:val="39"/>
  </w:num>
  <w:num w:numId="19">
    <w:abstractNumId w:val="18"/>
  </w:num>
  <w:num w:numId="20">
    <w:abstractNumId w:val="75"/>
  </w:num>
  <w:num w:numId="21">
    <w:abstractNumId w:val="48"/>
  </w:num>
  <w:num w:numId="22">
    <w:abstractNumId w:val="7"/>
  </w:num>
  <w:num w:numId="23">
    <w:abstractNumId w:val="21"/>
  </w:num>
  <w:num w:numId="24">
    <w:abstractNumId w:val="74"/>
  </w:num>
  <w:num w:numId="25">
    <w:abstractNumId w:val="71"/>
  </w:num>
  <w:num w:numId="26">
    <w:abstractNumId w:val="32"/>
  </w:num>
  <w:num w:numId="27">
    <w:abstractNumId w:val="65"/>
  </w:num>
  <w:num w:numId="28">
    <w:abstractNumId w:val="9"/>
  </w:num>
  <w:num w:numId="29">
    <w:abstractNumId w:val="14"/>
  </w:num>
  <w:num w:numId="30">
    <w:abstractNumId w:val="62"/>
  </w:num>
  <w:num w:numId="31">
    <w:abstractNumId w:val="68"/>
  </w:num>
  <w:num w:numId="32">
    <w:abstractNumId w:val="27"/>
  </w:num>
  <w:num w:numId="33">
    <w:abstractNumId w:val="15"/>
  </w:num>
  <w:num w:numId="34">
    <w:abstractNumId w:val="61"/>
  </w:num>
  <w:num w:numId="35">
    <w:abstractNumId w:val="10"/>
  </w:num>
  <w:num w:numId="36">
    <w:abstractNumId w:val="33"/>
  </w:num>
  <w:num w:numId="37">
    <w:abstractNumId w:val="53"/>
  </w:num>
  <w:num w:numId="38">
    <w:abstractNumId w:val="38"/>
  </w:num>
  <w:num w:numId="39">
    <w:abstractNumId w:val="41"/>
  </w:num>
  <w:num w:numId="40">
    <w:abstractNumId w:val="8"/>
  </w:num>
  <w:num w:numId="41">
    <w:abstractNumId w:val="56"/>
  </w:num>
  <w:num w:numId="42">
    <w:abstractNumId w:val="47"/>
  </w:num>
  <w:num w:numId="43">
    <w:abstractNumId w:val="20"/>
  </w:num>
  <w:num w:numId="44">
    <w:abstractNumId w:val="29"/>
  </w:num>
  <w:num w:numId="45">
    <w:abstractNumId w:val="58"/>
  </w:num>
  <w:num w:numId="46">
    <w:abstractNumId w:val="49"/>
  </w:num>
  <w:num w:numId="47">
    <w:abstractNumId w:val="36"/>
  </w:num>
  <w:num w:numId="48">
    <w:abstractNumId w:val="5"/>
  </w:num>
  <w:num w:numId="49">
    <w:abstractNumId w:val="24"/>
  </w:num>
  <w:num w:numId="50">
    <w:abstractNumId w:val="57"/>
  </w:num>
  <w:num w:numId="51">
    <w:abstractNumId w:val="44"/>
  </w:num>
  <w:num w:numId="52">
    <w:abstractNumId w:val="54"/>
  </w:num>
  <w:num w:numId="53">
    <w:abstractNumId w:val="60"/>
  </w:num>
  <w:num w:numId="54">
    <w:abstractNumId w:val="2"/>
  </w:num>
  <w:num w:numId="55">
    <w:abstractNumId w:val="12"/>
  </w:num>
  <w:num w:numId="56">
    <w:abstractNumId w:val="28"/>
  </w:num>
  <w:num w:numId="57">
    <w:abstractNumId w:val="46"/>
  </w:num>
  <w:num w:numId="58">
    <w:abstractNumId w:val="37"/>
  </w:num>
  <w:num w:numId="59">
    <w:abstractNumId w:val="42"/>
  </w:num>
  <w:num w:numId="60">
    <w:abstractNumId w:val="22"/>
  </w:num>
  <w:num w:numId="61">
    <w:abstractNumId w:val="4"/>
  </w:num>
  <w:num w:numId="62">
    <w:abstractNumId w:val="6"/>
  </w:num>
  <w:num w:numId="63">
    <w:abstractNumId w:val="11"/>
  </w:num>
  <w:num w:numId="64">
    <w:abstractNumId w:val="51"/>
  </w:num>
  <w:num w:numId="65">
    <w:abstractNumId w:val="30"/>
  </w:num>
  <w:num w:numId="66">
    <w:abstractNumId w:val="31"/>
  </w:num>
  <w:num w:numId="67">
    <w:abstractNumId w:val="72"/>
  </w:num>
  <w:num w:numId="68">
    <w:abstractNumId w:val="67"/>
  </w:num>
  <w:num w:numId="69">
    <w:abstractNumId w:val="45"/>
  </w:num>
  <w:num w:numId="70">
    <w:abstractNumId w:val="69"/>
  </w:num>
  <w:num w:numId="71">
    <w:abstractNumId w:val="70"/>
  </w:num>
  <w:num w:numId="72">
    <w:abstractNumId w:val="3"/>
  </w:num>
  <w:num w:numId="73">
    <w:abstractNumId w:val="26"/>
  </w:num>
  <w:num w:numId="74">
    <w:abstractNumId w:val="63"/>
  </w:num>
  <w:num w:numId="75">
    <w:abstractNumId w:val="59"/>
  </w:num>
  <w:num w:numId="76">
    <w:abstractNumId w:val="5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401E657D-ADCA-45C5-96AC-E7118B53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7108EC0-3251-47B3-8A87-C00C521F32C5}">
  <ds:schemaRefs>
    <ds:schemaRef ds:uri="http://schemas.openxmlformats.org/officeDocument/2006/bibliography"/>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37</Pages>
  <Words>14055</Words>
  <Characters>80119</Characters>
  <Application>Microsoft Office Word</Application>
  <DocSecurity>0</DocSecurity>
  <Lines>667</Lines>
  <Paragraphs>187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Unrestricted</cp:keywords>
  <cp:lastModifiedBy>Ayesha Ijaz</cp:lastModifiedBy>
  <cp:revision>3</cp:revision>
  <cp:lastPrinted>2011-11-09T07:49:00Z</cp:lastPrinted>
  <dcterms:created xsi:type="dcterms:W3CDTF">2021-05-21T07:18:00Z</dcterms:created>
  <dcterms:modified xsi:type="dcterms:W3CDTF">2021-05-21T07:27:00Z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