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9BBB1BB" w:rsidR="00EC2AB3" w:rsidRDefault="007F7F24" w:rsidP="00891CE6">
      <w:pPr>
        <w:pStyle w:val="ac"/>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a"/>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A8708B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p>
        </w:tc>
        <w:tc>
          <w:tcPr>
            <w:tcW w:w="1046" w:type="pct"/>
          </w:tcPr>
          <w:p w14:paraId="0D4BC5C5" w14:textId="293858CF" w:rsidR="00EC2B26" w:rsidRDefault="007707A2" w:rsidP="004A33D5">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0020B6A8"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49A2F495" w14:textId="7116A395"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32D6A6E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p>
        </w:tc>
        <w:tc>
          <w:tcPr>
            <w:tcW w:w="1046" w:type="pct"/>
          </w:tcPr>
          <w:p w14:paraId="1C5C1C0E" w14:textId="059D9C25" w:rsidR="00EC2B26" w:rsidRDefault="007707A2"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28E0815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5A808B7B" w14:textId="2B791B5B"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601B2AB4"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r w:rsidR="003F4EF3">
              <w:rPr>
                <w:iCs/>
                <w:lang w:eastAsia="zh-CN"/>
              </w:rPr>
              <w:t>, LG</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D422185"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3"/>
            <w:r w:rsidR="004C7BD4">
              <w:rPr>
                <w:iCs/>
                <w:lang w:eastAsia="zh-CN"/>
              </w:rPr>
              <w:t>Nokia</w:t>
            </w:r>
            <w:commentRangeEnd w:id="3"/>
            <w:r w:rsidR="004C7BD4">
              <w:rPr>
                <w:rStyle w:val="af7"/>
                <w:rFonts w:ascii="Times New Roman" w:hAnsi="Times New Roman"/>
              </w:rPr>
              <w:commentReference w:id="3"/>
            </w:r>
            <w:r w:rsidR="004C7BD4">
              <w:rPr>
                <w:iCs/>
                <w:lang w:eastAsia="zh-CN"/>
              </w:rPr>
              <w:t>, Nokia Shanghai Bell</w:t>
            </w:r>
            <w:r w:rsidR="003F4EF3">
              <w:rPr>
                <w:iCs/>
                <w:lang w:eastAsia="zh-CN"/>
              </w:rPr>
              <w:t>, LG</w:t>
            </w:r>
          </w:p>
        </w:tc>
        <w:tc>
          <w:tcPr>
            <w:tcW w:w="1046" w:type="pct"/>
          </w:tcPr>
          <w:p w14:paraId="04352599" w14:textId="3D0CB4E6"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p>
        </w:tc>
        <w:tc>
          <w:tcPr>
            <w:tcW w:w="907" w:type="pct"/>
          </w:tcPr>
          <w:p w14:paraId="1CAB0B12" w14:textId="2B849D45" w:rsidR="00EC2B26" w:rsidRDefault="0039498E" w:rsidP="004A33D5">
            <w:pPr>
              <w:overflowPunct/>
              <w:autoSpaceDE/>
              <w:autoSpaceDN/>
              <w:adjustRightInd/>
              <w:spacing w:beforeLines="50" w:afterLines="50" w:after="120"/>
              <w:jc w:val="center"/>
              <w:textAlignment w:val="auto"/>
              <w:rPr>
                <w:iCs/>
                <w:lang w:eastAsia="zh-CN"/>
              </w:rPr>
            </w:pPr>
            <w:commentRangeStart w:id="4"/>
            <w:r>
              <w:rPr>
                <w:iCs/>
                <w:lang w:eastAsia="zh-CN"/>
              </w:rPr>
              <w:t xml:space="preserve">APT </w:t>
            </w:r>
            <w:commentRangeEnd w:id="4"/>
            <w:r>
              <w:rPr>
                <w:rStyle w:val="af7"/>
                <w:rFonts w:ascii="Times New Roman" w:hAnsi="Times New Roman"/>
              </w:rPr>
              <w:commentReference w:id="4"/>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p>
        </w:tc>
        <w:tc>
          <w:tcPr>
            <w:tcW w:w="956" w:type="pct"/>
          </w:tcPr>
          <w:p w14:paraId="04B32889" w14:textId="369F75C7"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lastRenderedPageBreak/>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a"/>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a"/>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a"/>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a"/>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a"/>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a"/>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a"/>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a"/>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a"/>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a"/>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a"/>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a"/>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a"/>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a"/>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a"/>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a"/>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lastRenderedPageBreak/>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lastRenderedPageBreak/>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lastRenderedPageBreak/>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rFonts w:hint="eastAsia"/>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맑은 고딕" w:hint="eastAsia"/>
                <w:lang w:eastAsia="ko-KR"/>
              </w:rPr>
            </w:pPr>
            <w:r>
              <w:rPr>
                <w:rFonts w:eastAsia="맑은 고딕"/>
                <w:lang w:eastAsia="ko-KR"/>
              </w:rPr>
              <w:t>For more clarification, we would suggest to modify proposal 2-1 as</w:t>
            </w:r>
          </w:p>
          <w:p w14:paraId="4C7A08F9" w14:textId="77777777" w:rsidR="003F4EF3" w:rsidRDefault="003F4EF3" w:rsidP="003F4EF3">
            <w:pPr>
              <w:snapToGrid w:val="0"/>
              <w:ind w:left="360"/>
              <w:rPr>
                <w:rFonts w:hint="eastAsia"/>
                <w:lang w:eastAsia="zh-CN"/>
              </w:rPr>
            </w:pPr>
            <w:r w:rsidRPr="00DD7746">
              <w:rPr>
                <w:lang w:eastAsia="zh-CN"/>
              </w:rPr>
              <w:lastRenderedPageBreak/>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lastRenderedPageBreak/>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a"/>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a"/>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9pt;height:117.75pt;mso-width-percent:0;mso-height-percent:0;mso-width-percent:0;mso-height-percent:0" o:ole="">
                  <v:imagedata r:id="rId14" o:title=""/>
                </v:shape>
                <o:OLEObject Type="Embed" ProgID="Visio.Drawing.15" ShapeID="_x0000_i1025" DrawAspect="Content" ObjectID="_1683039989"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a"/>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15pt;height:138pt;mso-width-percent:0;mso-height-percent:0;mso-width-percent:0;mso-height-percent:0" o:ole="">
                  <v:imagedata r:id="rId16" o:title=""/>
                </v:shape>
                <o:OLEObject Type="Embed" ProgID="Visio.Drawing.15" ShapeID="_x0000_i1026" DrawAspect="Content" ObjectID="_1683039990"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lastRenderedPageBreak/>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lastRenderedPageBreak/>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rFonts w:hint="eastAsia"/>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a"/>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rFonts w:hint="eastAsia"/>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rFonts w:hint="eastAsia"/>
                <w:lang w:eastAsia="zh-CN"/>
              </w:rPr>
            </w:pPr>
            <w:r>
              <w:rPr>
                <w:lang w:eastAsia="zh-CN"/>
              </w:rPr>
              <w:t>Support the proposal 3-1 and 3-2.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6.4pt;mso-width-percent:0;mso-height-percent:0;mso-width-percent:0;mso-height-percent:0" o:ole="">
            <v:imagedata r:id="rId18" o:title=""/>
          </v:shape>
          <o:OLEObject Type="Embed" ProgID="Visio.Drawing.15" ShapeID="_x0000_i1027" DrawAspect="Content" ObjectID="_1683039991"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DengXian" w:hAnsi="Times New Roman"/>
          <w:i/>
          <w:color w:val="000000"/>
          <w:sz w:val="20"/>
          <w:szCs w:val="20"/>
        </w:rPr>
        <w:t xml:space="preserve">L2 is defined as the next uplink symbol with its CP starting </w:t>
      </w:r>
      <w:bookmarkStart w:id="6" w:name="_Hlk45746554"/>
      <w:bookmarkEnd w:id="6"/>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65pt;height:162.4pt;mso-width-percent:0;mso-height-percent:0;mso-width-percent:0;mso-height-percent:0" o:ole="">
                  <v:imagedata r:id="rId18" o:title=""/>
                </v:shape>
                <o:OLEObject Type="Embed" ProgID="Visio.Drawing.15" ShapeID="_x0000_i1028" DrawAspect="Content" ObjectID="_1683039992"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lastRenderedPageBreak/>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lastRenderedPageBreak/>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rFonts w:hint="eastAsia"/>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rFonts w:hint="eastAsia"/>
                <w:lang w:eastAsia="zh-CN"/>
              </w:rPr>
            </w:pPr>
            <w:r>
              <w:rPr>
                <w:rFonts w:eastAsia="맑은 고딕" w:hint="eastAsia"/>
                <w:lang w:eastAsia="ko-KR"/>
              </w:rPr>
              <w:t xml:space="preserve">       </w:t>
            </w:r>
            <w:r>
              <w:rPr>
                <w:rFonts w:eastAsia="맑은 고딕"/>
                <w:lang w:eastAsia="ko-KR"/>
              </w:rPr>
              <w:t>Fine with initial proposal 4-1.</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lastRenderedPageBreak/>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rFonts w:hint="eastAsia"/>
                <w:iCs/>
                <w:lang w:eastAsia="zh-CN"/>
              </w:rPr>
            </w:pPr>
            <w:bookmarkStart w:id="7" w:name="_GoBack" w:colFirst="0" w:colLast="1"/>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rFonts w:hint="eastAsia"/>
                <w:lang w:eastAsia="zh-CN"/>
              </w:rPr>
            </w:pPr>
            <w:r>
              <w:rPr>
                <w:lang w:eastAsia="zh-CN"/>
              </w:rPr>
              <w:t>Support proposal 5-1.</w:t>
            </w:r>
          </w:p>
        </w:tc>
      </w:tr>
    </w:tbl>
    <w:bookmarkEnd w:id="7"/>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lastRenderedPageBreak/>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ko-KR"/>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ko-KR"/>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T-DAI in a DCI format denotes the total number of {serving cell, PDCCH monitoring occasion}-pair(s) in which PDSCH reception(s) </w:t>
            </w:r>
            <w:r w:rsidRPr="002F09DC">
              <w:rPr>
                <w:rFonts w:ascii="Times New Roman" w:hAnsi="Times New Roman"/>
                <w:sz w:val="20"/>
                <w:szCs w:val="20"/>
                <w:lang w:val="en-GB"/>
              </w:rPr>
              <w:lastRenderedPageBreak/>
              <w:t>with enabled HARQ and SPS PDSCH release associated with the DCI formats up to the current PDCCH monitoring occasion.</w:t>
            </w:r>
          </w:p>
          <w:p w14:paraId="15705B7E" w14:textId="77777777" w:rsidR="00A70EDB" w:rsidRPr="002F09DC" w:rsidRDefault="00A70EDB" w:rsidP="00A70EDB">
            <w:pPr>
              <w:pStyle w:val="afa"/>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afa"/>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a"/>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a"/>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a"/>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 xml:space="preserve">UE expects that at least one HARQ process with feedback is configured for the scheduling of MAC-CE. </w:t>
            </w:r>
          </w:p>
          <w:p w14:paraId="1EAAEF0D"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a"/>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afa"/>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a"/>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a"/>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lastRenderedPageBreak/>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a"/>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a"/>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a"/>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103E8D"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lastRenderedPageBreak/>
              <w:t xml:space="preserve">Proposal 7: Enhancements to PDSCH/PUSCH with disabled HARQ process to achieve a higher reliability should be considered. </w:t>
            </w:r>
          </w:p>
          <w:p w14:paraId="5D4B5C8D" w14:textId="77777777" w:rsidR="00495280" w:rsidRPr="002F09DC" w:rsidRDefault="00495280" w:rsidP="00495280">
            <w:pPr>
              <w:pStyle w:val="ac"/>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Whether 32 HARQ processes are used or not in the downlink can be configured by </w:t>
              </w:r>
              <w:r w:rsidR="004A170E" w:rsidRPr="002F09DC">
                <w:rPr>
                  <w:rStyle w:val="af6"/>
                  <w:rFonts w:ascii="Times New Roman" w:hAnsi="Times New Roman" w:cs="Times New Roman"/>
                  <w:b w:val="0"/>
                  <w:noProof/>
                  <w:sz w:val="20"/>
                  <w:szCs w:val="20"/>
                </w:rPr>
                <w:lastRenderedPageBreak/>
                <w:t>RRC.</w:t>
              </w:r>
            </w:hyperlink>
          </w:p>
          <w:p w14:paraId="120FC47A"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103E8D"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lastRenderedPageBreak/>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lastRenderedPageBreak/>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a"/>
              <w:numPr>
                <w:ilvl w:val="0"/>
                <w:numId w:val="39"/>
              </w:numPr>
              <w:jc w:val="both"/>
              <w:rPr>
                <w:rFonts w:ascii="Times New Roman" w:eastAsia="맑은 고딕" w:hAnsi="Times New Roman"/>
                <w:sz w:val="20"/>
                <w:szCs w:val="20"/>
                <w:lang w:eastAsia="zh-CN"/>
              </w:rPr>
            </w:pPr>
            <w:r w:rsidRPr="002F09DC">
              <w:rPr>
                <w:rFonts w:ascii="Times New Roman" w:eastAsia="맑은 고딕"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a"/>
              <w:numPr>
                <w:ilvl w:val="0"/>
                <w:numId w:val="39"/>
              </w:numPr>
              <w:jc w:val="both"/>
              <w:rPr>
                <w:rFonts w:ascii="Times New Roman" w:eastAsia="맑은 고딕" w:hAnsi="Times New Roman"/>
                <w:sz w:val="20"/>
                <w:szCs w:val="20"/>
                <w:lang w:eastAsia="zh-CN"/>
              </w:rPr>
            </w:pPr>
            <w:r w:rsidRPr="002F09DC">
              <w:rPr>
                <w:rFonts w:ascii="Times New Roman" w:eastAsia="맑은 고딕"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a"/>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a"/>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a"/>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a"/>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a"/>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lastRenderedPageBreak/>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lastRenderedPageBreak/>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a"/>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afa"/>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a"/>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a"/>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a"/>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a"/>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maintain : possible (reaction for receiving ACKs quite consistently)</w:t>
            </w:r>
          </w:p>
          <w:p w14:paraId="612984F9"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afa"/>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for minimizing specification impact.</w:t>
            </w:r>
          </w:p>
          <w:p w14:paraId="3133B48D" w14:textId="5C9BC899" w:rsidR="000311D2" w:rsidRPr="002F09DC" w:rsidRDefault="00316635" w:rsidP="00316635">
            <w:pPr>
              <w:pStyle w:val="afa"/>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맑은 고딕"/>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a"/>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a"/>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afa"/>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a"/>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a"/>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바탕"/>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103E8D"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103E8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103E8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103E8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103E8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7707A2" w:rsidRDefault="007707A2">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Nokia, Frank" w:date="2021-05-20T00:54:00Z" w:initials="FF">
    <w:p w14:paraId="1EDFC73B" w14:textId="153F04BB" w:rsidR="007707A2" w:rsidRDefault="007707A2">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4" w:author="Chien-Chun" w:date="2021-05-19T14:09:00Z" w:initials="C">
    <w:p w14:paraId="60F73370" w14:textId="108F82AE" w:rsidR="007707A2" w:rsidRDefault="007707A2">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3096" w14:textId="77777777" w:rsidR="00103E8D" w:rsidRDefault="00103E8D">
      <w:pPr>
        <w:spacing w:after="0"/>
      </w:pPr>
      <w:r>
        <w:separator/>
      </w:r>
    </w:p>
  </w:endnote>
  <w:endnote w:type="continuationSeparator" w:id="0">
    <w:p w14:paraId="7AEDEAF4" w14:textId="77777777" w:rsidR="00103E8D" w:rsidRDefault="00103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7707A2" w:rsidRDefault="007707A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7707A2" w:rsidRDefault="007707A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B957A75" w:rsidR="007707A2" w:rsidRDefault="007707A2">
    <w:pPr>
      <w:pStyle w:val="ae"/>
      <w:ind w:right="360"/>
    </w:pPr>
    <w:r>
      <w:rPr>
        <w:rStyle w:val="af3"/>
      </w:rPr>
      <w:fldChar w:fldCharType="begin"/>
    </w:r>
    <w:r>
      <w:rPr>
        <w:rStyle w:val="af3"/>
      </w:rPr>
      <w:instrText xml:space="preserve"> PAGE </w:instrText>
    </w:r>
    <w:r>
      <w:rPr>
        <w:rStyle w:val="af3"/>
      </w:rPr>
      <w:fldChar w:fldCharType="separate"/>
    </w:r>
    <w:r w:rsidR="003F4EF3">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F4EF3">
      <w:rPr>
        <w:rStyle w:val="af3"/>
        <w:noProof/>
      </w:rPr>
      <w:t>33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0D67A" w14:textId="77777777" w:rsidR="00103E8D" w:rsidRDefault="00103E8D">
      <w:pPr>
        <w:spacing w:after="0"/>
      </w:pPr>
      <w:r>
        <w:separator/>
      </w:r>
    </w:p>
  </w:footnote>
  <w:footnote w:type="continuationSeparator" w:id="0">
    <w:p w14:paraId="15F3E498" w14:textId="77777777" w:rsidR="00103E8D" w:rsidRDefault="00103E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7707A2" w:rsidRDefault="007707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5F70C4F"/>
    <w:multiLevelType w:val="hybridMultilevel"/>
    <w:tmpl w:val="D1CAC728"/>
    <w:lvl w:ilvl="0" w:tplc="639E4342">
      <w:numFmt w:val="bullet"/>
      <w:lvlText w:val="-"/>
      <w:lvlJc w:val="left"/>
      <w:pPr>
        <w:ind w:left="780" w:hanging="360"/>
      </w:pPr>
      <w:rPr>
        <w:rFonts w:ascii="맑은 고딕" w:eastAsia="맑은 고딕" w:hAnsi="맑은 고딕"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3.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392B691-CF3C-421F-8E47-B255A3ED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12840</Words>
  <Characters>73189</Characters>
  <Application>Microsoft Office Word</Application>
  <DocSecurity>0</DocSecurity>
  <Lines>609</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85858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박해욱/책임연구원/미래기술센터 C&amp;M표준(연)5G무선통신표준Task(haewook.park@lge.com)</cp:lastModifiedBy>
  <cp:revision>2</cp:revision>
  <cp:lastPrinted>2011-11-09T07:49:00Z</cp:lastPrinted>
  <dcterms:created xsi:type="dcterms:W3CDTF">2021-05-20T09:17:00Z</dcterms:created>
  <dcterms:modified xsi:type="dcterms:W3CDTF">2021-05-20T09:17:00Z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