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34035">
        <w:rPr>
          <w:rFonts w:cs="Arial"/>
          <w:sz w:val="22"/>
        </w:rPr>
        <w:t>5</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5D284073"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1451653B"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Objected by </w:t>
      </w:r>
    </w:p>
    <w:p w14:paraId="20C55181" w14:textId="2347B2D6"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lastRenderedPageBreak/>
        <w:t>[</w:t>
      </w:r>
      <w:r w:rsidR="00110C5D" w:rsidRPr="00110C5D">
        <w:rPr>
          <w:rFonts w:ascii="Times New Roman" w:eastAsiaTheme="minorEastAsia" w:hAnsi="Times New Roman"/>
          <w:sz w:val="20"/>
          <w:szCs w:val="20"/>
          <w:lang w:eastAsia="zh-CN"/>
        </w:rPr>
        <w:t>Ericsson</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0391615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9A2F495"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55CB0FA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5A808B7B" w14:textId="1C3D0000"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09D0B75A"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14A5DAD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69734486"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D7B614C"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7CA37D0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Strong concern</w:t>
            </w:r>
          </w:p>
        </w:tc>
        <w:tc>
          <w:tcPr>
            <w:tcW w:w="977" w:type="pct"/>
          </w:tcPr>
          <w:p w14:paraId="04C07F27" w14:textId="70E8ED86"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4352599"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1CAB0B12" w14:textId="267B4942" w:rsidR="00EC2B26" w:rsidRDefault="0039498E" w:rsidP="004A33D5">
            <w:pPr>
              <w:overflowPunct/>
              <w:autoSpaceDE/>
              <w:autoSpaceDN/>
              <w:adjustRightInd/>
              <w:spacing w:beforeLines="50" w:afterLines="50" w:after="120"/>
              <w:jc w:val="center"/>
              <w:textAlignment w:val="auto"/>
              <w:rPr>
                <w:iCs/>
                <w:lang w:eastAsia="zh-CN"/>
              </w:rPr>
            </w:pPr>
            <w:commentRangeStart w:id="2"/>
            <w:r>
              <w:rPr>
                <w:iCs/>
                <w:lang w:eastAsia="zh-CN"/>
              </w:rPr>
              <w:t xml:space="preserve">APT </w:t>
            </w:r>
            <w:commentRangeEnd w:id="2"/>
            <w:r>
              <w:rPr>
                <w:rStyle w:val="afd"/>
                <w:rFonts w:ascii="Times New Roman" w:hAnsi="Times New Roman"/>
              </w:rPr>
              <w:commentReference w:id="2"/>
            </w:r>
            <w:r w:rsidR="00C6251F">
              <w:rPr>
                <w:iCs/>
                <w:lang w:eastAsia="zh-CN"/>
              </w:rPr>
              <w:t>, OPPO</w:t>
            </w:r>
          </w:p>
        </w:tc>
        <w:tc>
          <w:tcPr>
            <w:tcW w:w="956" w:type="pct"/>
          </w:tcPr>
          <w:p w14:paraId="04B32889" w14:textId="3C637D68"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ＭＳ 明朝"/>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f0"/>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lastRenderedPageBreak/>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f0"/>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f0"/>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f0"/>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f0"/>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f0"/>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f0"/>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f0"/>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f0"/>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lastRenderedPageBreak/>
        <w:t>The UE reports HARQ feedback information for the SPS PDSCH release, either the related SPS PDSCH is HARQ feedback disabled or enabled.</w:t>
      </w:r>
    </w:p>
    <w:p w14:paraId="3EE04EB9" w14:textId="400FC91A"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340" w14:paraId="4F629B7D"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ＭＳ 明朝" w:cstheme="minorBidi"/>
                <w:lang w:eastAsia="zh-CN"/>
              </w:rPr>
            </w:pPr>
            <w:proofErr w:type="gramStart"/>
            <w:r>
              <w:rPr>
                <w:rFonts w:eastAsia="ＭＳ 明朝"/>
                <w:lang w:eastAsia="zh-CN"/>
              </w:rPr>
              <w:t>Generally</w:t>
            </w:r>
            <w:proofErr w:type="gramEnd"/>
            <w:r>
              <w:rPr>
                <w:rFonts w:eastAsia="ＭＳ 明朝"/>
                <w:lang w:eastAsia="zh-CN"/>
              </w:rPr>
              <w:t xml:space="preserve"> agree with proposal 2-1, but we would propose the following modification because UE </w:t>
            </w:r>
            <w:proofErr w:type="spellStart"/>
            <w:r>
              <w:rPr>
                <w:rFonts w:eastAsia="ＭＳ 明朝"/>
                <w:lang w:eastAsia="zh-CN"/>
              </w:rPr>
              <w:t>can not</w:t>
            </w:r>
            <w:proofErr w:type="spellEnd"/>
            <w:r>
              <w:rPr>
                <w:rFonts w:eastAsia="ＭＳ 明朝"/>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ＭＳ 明朝"/>
                <w:b/>
                <w:bCs/>
                <w:lang w:eastAsia="zh-CN"/>
              </w:rPr>
            </w:pPr>
            <w:r w:rsidRPr="008E0008">
              <w:rPr>
                <w:rFonts w:eastAsia="ＭＳ 明朝"/>
                <w:b/>
                <w:bCs/>
                <w:lang w:eastAsia="zh-CN"/>
              </w:rPr>
              <w:t xml:space="preserve">Modified proposal 2-1: For Type-1 HARQ codebook in NTN, the UE may skip the codebook feedback </w:t>
            </w:r>
            <w:r w:rsidRPr="008E0008">
              <w:rPr>
                <w:rFonts w:eastAsia="ＭＳ 明朝"/>
                <w:b/>
                <w:bCs/>
                <w:u w:val="single"/>
                <w:lang w:eastAsia="zh-CN"/>
              </w:rPr>
              <w:t>if UE is scheduled with</w:t>
            </w:r>
            <w:r w:rsidRPr="008E0008">
              <w:rPr>
                <w:rFonts w:eastAsia="ＭＳ 明朝"/>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ＭＳ 明朝"/>
                <w:lang w:eastAsia="zh-CN"/>
              </w:rPr>
            </w:pPr>
            <w:proofErr w:type="gramStart"/>
            <w:r>
              <w:rPr>
                <w:rFonts w:eastAsia="ＭＳ 明朝"/>
                <w:lang w:eastAsia="zh-CN"/>
              </w:rPr>
              <w:t>Generally</w:t>
            </w:r>
            <w:proofErr w:type="gramEnd"/>
            <w:r>
              <w:rPr>
                <w:rFonts w:eastAsia="ＭＳ 明朝"/>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ＭＳ 明朝"/>
                <w:b/>
                <w:bCs/>
                <w:lang w:eastAsia="zh-CN"/>
              </w:rPr>
              <w:t xml:space="preserve">Modified proposal 2-2: For Type-3 HARQ codebook in NTN, the UE should skip the </w:t>
            </w:r>
            <w:r w:rsidRPr="008E0008">
              <w:rPr>
                <w:rFonts w:eastAsia="ＭＳ 明朝"/>
                <w:b/>
                <w:bCs/>
                <w:u w:val="single"/>
                <w:lang w:eastAsia="zh-CN"/>
              </w:rPr>
              <w:t>HARQ-ACK for feedback-disabled HARQ processes in the HARQ codebook</w:t>
            </w:r>
            <w:r>
              <w:rPr>
                <w:rFonts w:eastAsia="ＭＳ 明朝"/>
                <w:lang w:eastAsia="zh-CN"/>
              </w:rPr>
              <w:t xml:space="preserve">. </w:t>
            </w:r>
          </w:p>
        </w:tc>
      </w:tr>
      <w:tr w:rsidR="003415B4" w14:paraId="0A82AC35"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3585F0" w14:textId="77777777" w:rsidR="003415B4" w:rsidRDefault="003415B4" w:rsidP="003415B4">
            <w:pPr>
              <w:jc w:val="center"/>
              <w:rPr>
                <w:rFonts w:eastAsia="ＭＳ 明朝"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C6003E7" w14:textId="77777777" w:rsidR="003415B4" w:rsidRDefault="003415B4" w:rsidP="003415B4">
            <w:pPr>
              <w:snapToGrid w:val="0"/>
              <w:ind w:left="360"/>
              <w:rPr>
                <w:rFonts w:eastAsia="ＭＳ 明朝"/>
                <w:lang w:eastAsia="zh-CN"/>
              </w:rPr>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C6251F" w:rsidP="00C6251F">
            <w:pPr>
              <w:spacing w:after="160" w:line="256" w:lineRule="auto"/>
              <w:contextualSpacing/>
              <w:jc w:val="center"/>
              <w:rPr>
                <w:rFonts w:ascii="Times" w:eastAsiaTheme="minorEastAsia" w:hAnsi="Times"/>
              </w:rPr>
            </w:pPr>
            <w: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85pt;height:118.4pt" o:ole="">
                  <v:imagedata r:id="rId16" o:title=""/>
                </v:shape>
                <o:OLEObject Type="Embed" ProgID="Visio.Drawing.15" ShapeID="_x0000_i1025" DrawAspect="Content" ObjectID="_1682972442"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lastRenderedPageBreak/>
              <w:t>We may consider the following two cases as shown in the following figure:</w:t>
            </w:r>
          </w:p>
          <w:p w14:paraId="303C7D3C"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C6251F" w:rsidP="00C6251F">
            <w:pPr>
              <w:spacing w:after="120"/>
              <w:contextualSpacing/>
              <w:jc w:val="both"/>
              <w:rPr>
                <w:rFonts w:ascii="Times" w:eastAsiaTheme="minorEastAsia" w:hAnsi="Times"/>
              </w:rPr>
            </w:pPr>
            <w:r>
              <w:object w:dxaOrig="27121" w:dyaOrig="9025" w14:anchorId="709D74B5">
                <v:shape id="_x0000_i1026" type="#_x0000_t75" style="width:414.75pt;height:138.25pt" o:ole="">
                  <v:imagedata r:id="rId18" o:title=""/>
                </v:shape>
                <o:OLEObject Type="Embed" ProgID="Visio.Drawing.15" ShapeID="_x0000_i1026" DrawAspect="Content" ObjectID="_1682972443"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ＭＳ 明朝"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ＭＳ 明朝" w:cstheme="minorBidi"/>
                <w:lang w:eastAsia="zh-CN"/>
              </w:rPr>
            </w:pPr>
            <w:r>
              <w:rPr>
                <w:rFonts w:eastAsia="ＭＳ 明朝"/>
                <w:lang w:eastAsia="zh-CN"/>
              </w:rPr>
              <w:t xml:space="preserve">Regarding the DCI of PDSCH with feedback-disabled HARQ process, indication of both C-DAI and T-DAI would not be useful. T-DAI would be more useful to avoid </w:t>
            </w:r>
            <w:proofErr w:type="gramStart"/>
            <w:r>
              <w:rPr>
                <w:rFonts w:eastAsia="ＭＳ 明朝"/>
                <w:lang w:eastAsia="zh-CN"/>
              </w:rPr>
              <w:t>mis-alignment</w:t>
            </w:r>
            <w:proofErr w:type="gramEnd"/>
            <w:r>
              <w:rPr>
                <w:rFonts w:eastAsia="ＭＳ 明朝"/>
                <w:lang w:eastAsia="zh-CN"/>
              </w:rPr>
              <w:t xml:space="preserve"> of the codebook size between </w:t>
            </w:r>
            <w:proofErr w:type="spellStart"/>
            <w:r>
              <w:rPr>
                <w:rFonts w:eastAsia="ＭＳ 明朝"/>
                <w:lang w:eastAsia="zh-CN"/>
              </w:rPr>
              <w:t>gNB</w:t>
            </w:r>
            <w:proofErr w:type="spellEnd"/>
            <w:r>
              <w:rPr>
                <w:rFonts w:eastAsia="ＭＳ 明朝"/>
                <w:lang w:eastAsia="zh-CN"/>
              </w:rPr>
              <w:t xml:space="preserve"> and UE </w:t>
            </w:r>
            <w:r w:rsidRPr="003415B4">
              <w:rPr>
                <w:rFonts w:eastAsia="ＭＳ 明朝"/>
                <w:lang w:eastAsia="zh-CN"/>
              </w:rPr>
              <w:t xml:space="preserve">when the last DCI is </w:t>
            </w:r>
            <w:r>
              <w:rPr>
                <w:rFonts w:eastAsia="ＭＳ 明朝"/>
                <w:lang w:eastAsia="zh-CN"/>
              </w:rPr>
              <w:t>missed</w:t>
            </w:r>
            <w:r w:rsidRPr="003415B4">
              <w:rPr>
                <w:rFonts w:eastAsia="ＭＳ 明朝"/>
                <w:lang w:eastAsia="zh-CN"/>
              </w:rPr>
              <w:t xml:space="preserve">. In this situation to inform C-DAI </w:t>
            </w:r>
            <w:r w:rsidR="00C52D11">
              <w:rPr>
                <w:rFonts w:eastAsia="ＭＳ 明朝"/>
                <w:lang w:eastAsia="zh-CN"/>
              </w:rPr>
              <w:t xml:space="preserve">in DCI for feedback-disabled process </w:t>
            </w:r>
            <w:r w:rsidRPr="003415B4">
              <w:rPr>
                <w:rFonts w:eastAsia="ＭＳ 明朝"/>
                <w:lang w:eastAsia="zh-CN"/>
              </w:rPr>
              <w:t>is not useful</w:t>
            </w:r>
            <w:r>
              <w:rPr>
                <w:rFonts w:eastAsia="ＭＳ 明朝"/>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ＭＳ 明朝"/>
                <w:b/>
                <w:bCs/>
                <w:lang w:eastAsia="zh-CN"/>
              </w:rPr>
              <w:t>Option-4</w:t>
            </w:r>
            <w:r>
              <w:rPr>
                <w:rFonts w:eastAsia="ＭＳ 明朝"/>
                <w:lang w:eastAsia="zh-CN"/>
              </w:rPr>
              <w:t xml:space="preserve">: The C-DAI is given a reserved value that can be ignored by the UE and T-DAI is given the true value (i.e., the count of feedback-enabled processes) despite it not incremented. </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ＭＳ 明朝"/>
                <w:lang w:eastAsia="zh-CN"/>
              </w:rPr>
              <w:t xml:space="preserve">Support both proposal 3-1 and proposal 3-2. </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lastRenderedPageBreak/>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 id="_x0000_i1027" type="#_x0000_t75" style="width:371.95pt;height:185.95pt" o:ole="">
            <v:imagedata r:id="rId20" o:title=""/>
          </v:shape>
          <o:OLEObject Type="Embed" ProgID="Visio.Drawing.15" ShapeID="_x0000_i1027" DrawAspect="Content" ObjectID="_1682972444"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lastRenderedPageBreak/>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109"/>
      </w:tblGrid>
      <w:tr w:rsidR="005F2788" w14:paraId="0F754152"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09"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09"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09"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w:t>
            </w:r>
            <w:proofErr w:type="gramStart"/>
            <w:r>
              <w:t>a</w:t>
            </w:r>
            <w:proofErr w:type="gramEnd"/>
            <w:r>
              <w:t xml:space="preserve"> NTN new timeline. </w:t>
            </w:r>
          </w:p>
          <w:p w14:paraId="03DC1719" w14:textId="24EEC2C8" w:rsidR="000F1B4D" w:rsidRDefault="000F1B4D" w:rsidP="000F1B4D">
            <w:pPr>
              <w:snapToGrid w:val="0"/>
              <w:ind w:left="360"/>
            </w:pPr>
            <w:r>
              <w:object w:dxaOrig="9649" w:dyaOrig="4813" w14:anchorId="53D4D086">
                <v:shape id="_x0000_i1028" type="#_x0000_t75" style="width:326.45pt;height:163pt" o:ole="">
                  <v:imagedata r:id="rId20" o:title=""/>
                </v:shape>
                <o:OLEObject Type="Embed" ProgID="Visio.Drawing.15" ShapeID="_x0000_i1028" DrawAspect="Content" ObjectID="_1682972445" r:id="rId22"/>
              </w:object>
            </w:r>
          </w:p>
        </w:tc>
      </w:tr>
      <w:tr w:rsidR="00C52D11" w14:paraId="3F4BACDA"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ＭＳ 明朝" w:cs="Arial"/>
                <w:lang w:eastAsia="zh-CN"/>
              </w:rPr>
              <w:t>Panasonic</w:t>
            </w:r>
          </w:p>
        </w:tc>
        <w:tc>
          <w:tcPr>
            <w:tcW w:w="7109"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ＭＳ 明朝"/>
                <w:lang w:eastAsia="zh-CN"/>
              </w:rPr>
              <w:t xml:space="preserve">Agree with above conclusion. </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ＭＳ 明朝"/>
                <w:lang w:eastAsia="zh-CN"/>
              </w:rPr>
              <w:t xml:space="preserve">Disagree with proposal 4-1. This is unnecessary restriction and it should be purely </w:t>
            </w:r>
            <w:proofErr w:type="spellStart"/>
            <w:r>
              <w:rPr>
                <w:rFonts w:eastAsia="ＭＳ 明朝"/>
                <w:lang w:eastAsia="zh-CN"/>
              </w:rPr>
              <w:t>gNB</w:t>
            </w:r>
            <w:proofErr w:type="spellEnd"/>
            <w:r>
              <w:rPr>
                <w:rFonts w:eastAsia="ＭＳ 明朝"/>
                <w:lang w:eastAsia="zh-CN"/>
              </w:rPr>
              <w:t xml:space="preserve">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w:t>
            </w:r>
            <w:proofErr w:type="spellStart"/>
            <w:r>
              <w:rPr>
                <w:lang w:eastAsia="zh-CN"/>
              </w:rPr>
              <w:t>gNB</w:t>
            </w:r>
            <w:proofErr w:type="spellEnd"/>
            <w:r>
              <w:rPr>
                <w:lang w:eastAsia="zh-CN"/>
              </w:rPr>
              <w:t xml:space="preserve"> </w:t>
            </w:r>
            <w:proofErr w:type="gramStart"/>
            <w:r>
              <w:rPr>
                <w:lang w:eastAsia="zh-CN"/>
              </w:rPr>
              <w:t>has to</w:t>
            </w:r>
            <w:proofErr w:type="gramEnd"/>
            <w:r>
              <w:rPr>
                <w:lang w:eastAsia="zh-CN"/>
              </w:rPr>
              <w:t xml:space="preserve">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lastRenderedPageBreak/>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ＭＳ 明朝"/>
                <w:lang w:eastAsia="zh-CN"/>
              </w:rPr>
              <w:t>Support proposal 5-1</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lastRenderedPageBreak/>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f0"/>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f0"/>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lastRenderedPageBreak/>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lastRenderedPageBreak/>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f0"/>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lastRenderedPageBreak/>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0846B6" w:rsidP="00764EA0">
            <w:pPr>
              <w:snapToGrid w:val="0"/>
              <w:spacing w:after="0"/>
              <w:jc w:val="center"/>
              <w:rPr>
                <w:lang w:eastAsia="x-none"/>
              </w:rPr>
            </w:pPr>
            <w:hyperlink r:id="rId24"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e"/>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RAN1 to discuss what parameters need to be configured differently for HARQ </w:t>
              </w:r>
              <w:r w:rsidR="004A170E" w:rsidRPr="002F09DC">
                <w:rPr>
                  <w:rStyle w:val="afc"/>
                  <w:rFonts w:ascii="Times New Roman" w:hAnsi="Times New Roman" w:cs="Times New Roman"/>
                  <w:b w:val="0"/>
                  <w:noProof/>
                  <w:sz w:val="20"/>
                  <w:szCs w:val="20"/>
                </w:rPr>
                <w:lastRenderedPageBreak/>
                <w:t>processes with feedback and HARQ processes without feedback. One example parameter is aggregation factor.</w:t>
              </w:r>
            </w:hyperlink>
          </w:p>
          <w:p w14:paraId="50BD3E04"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0846B6"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lastRenderedPageBreak/>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f0"/>
              <w:numPr>
                <w:ilvl w:val="0"/>
                <w:numId w:val="41"/>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Option 1: Slot index as the MSB</w:t>
            </w:r>
          </w:p>
          <w:p w14:paraId="7C4DF943" w14:textId="77777777" w:rsidR="001947FA" w:rsidRPr="002F09DC" w:rsidRDefault="001947FA" w:rsidP="001947FA">
            <w:pPr>
              <w:pStyle w:val="aff0"/>
              <w:numPr>
                <w:ilvl w:val="0"/>
                <w:numId w:val="41"/>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lastRenderedPageBreak/>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f0"/>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lastRenderedPageBreak/>
              <w:t>Observation 9 :</w:t>
            </w:r>
            <w:r w:rsidRPr="002F09DC">
              <w:t>larger aggregation factor might be inevitable for NTN.</w:t>
            </w:r>
          </w:p>
          <w:p w14:paraId="072D36EA"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f0"/>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f0"/>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(seems to be )impossible</w:t>
            </w:r>
          </w:p>
          <w:p w14:paraId="7CB766A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lastRenderedPageBreak/>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f0"/>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ＭＳ 明朝"/>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0846B6" w:rsidP="00764EA0">
            <w:pPr>
              <w:snapToGrid w:val="0"/>
              <w:spacing w:after="0"/>
              <w:jc w:val="center"/>
            </w:pPr>
            <w:hyperlink r:id="rId25"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lastRenderedPageBreak/>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ＭＳ 明朝"/>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0846B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0846B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0846B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0846B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hien-Chun" w:date="2021-05-19T14:09:00Z" w:initials="C">
    <w:p w14:paraId="60F73370" w14:textId="108F82AE" w:rsidR="003415B4" w:rsidRDefault="003415B4">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749D9" w14:textId="77777777" w:rsidR="000846B6" w:rsidRDefault="000846B6">
      <w:pPr>
        <w:spacing w:after="0"/>
      </w:pPr>
      <w:r>
        <w:separator/>
      </w:r>
    </w:p>
  </w:endnote>
  <w:endnote w:type="continuationSeparator" w:id="0">
    <w:p w14:paraId="52884C5E" w14:textId="77777777" w:rsidR="000846B6" w:rsidRDefault="00084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3415B4" w:rsidRDefault="003415B4">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3415B4" w:rsidRDefault="003415B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3415B4" w:rsidRDefault="003415B4">
    <w:pPr>
      <w:pStyle w:val="af1"/>
      <w:ind w:right="360"/>
    </w:pPr>
    <w:r>
      <w:rPr>
        <w:rStyle w:val="af9"/>
      </w:rPr>
      <w:fldChar w:fldCharType="begin"/>
    </w:r>
    <w:r>
      <w:rPr>
        <w:rStyle w:val="af9"/>
      </w:rPr>
      <w:instrText xml:space="preserve"> PAGE </w:instrText>
    </w:r>
    <w:r>
      <w:rPr>
        <w:rStyle w:val="af9"/>
      </w:rPr>
      <w:fldChar w:fldCharType="separate"/>
    </w:r>
    <w:r>
      <w:rPr>
        <w:rStyle w:val="af9"/>
        <w:noProof/>
      </w:rPr>
      <w:t>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26</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2766" w14:textId="77777777" w:rsidR="000846B6" w:rsidRDefault="000846B6">
      <w:pPr>
        <w:spacing w:after="0"/>
      </w:pPr>
      <w:r>
        <w:separator/>
      </w:r>
    </w:p>
  </w:footnote>
  <w:footnote w:type="continuationSeparator" w:id="0">
    <w:p w14:paraId="07AD2986" w14:textId="77777777" w:rsidR="000846B6" w:rsidRDefault="000846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3415B4" w:rsidRDefault="003415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ＭＳ 明朝" w:hAnsi="Symbol" w:cs="Times New Roman" w:hint="default"/>
      </w:rPr>
    </w:lvl>
    <w:lvl w:ilvl="1" w:tplc="90D2449C">
      <w:numFmt w:val="bullet"/>
      <w:lvlText w:val="•"/>
      <w:lvlJc w:val="left"/>
      <w:pPr>
        <w:ind w:left="1140" w:hanging="720"/>
      </w:pPr>
      <w:rPr>
        <w:rFonts w:ascii="ＭＳ ゴシック" w:eastAsia="ＭＳ ゴシック" w:hAnsi="ＭＳ ゴシック"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1st level - Bullet List Paragraph (文字),Lettre d'introduction (文字),Paragrafo elenco (文字),Normal bullet 2 (文字),Bullet list (文字),Numbered List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5D49CA-3A7B-4DDF-B2FF-6100FA7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28</Pages>
  <Words>11358</Words>
  <Characters>64747</Characters>
  <Application>Microsoft Office Word</Application>
  <DocSecurity>0</DocSecurity>
  <Lines>539</Lines>
  <Paragraphs>151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75954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Nishio Akihiko (西尾 昭彦)</cp:lastModifiedBy>
  <cp:revision>10</cp:revision>
  <cp:lastPrinted>2011-11-09T07:49:00Z</cp:lastPrinted>
  <dcterms:created xsi:type="dcterms:W3CDTF">2021-05-19T05:43:00Z</dcterms:created>
  <dcterms:modified xsi:type="dcterms:W3CDTF">2021-05-19T14:33:00Z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