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59BBB1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34035">
        <w:rPr>
          <w:rFonts w:cs="Arial"/>
          <w:sz w:val="22"/>
        </w:rPr>
        <w:t>5</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5D284073"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1451653B"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Objected by </w:t>
      </w:r>
    </w:p>
    <w:p w14:paraId="20C55181" w14:textId="2347B2D6"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lastRenderedPageBreak/>
        <w:t>[</w:t>
      </w:r>
      <w:r w:rsidR="00110C5D" w:rsidRPr="00110C5D">
        <w:rPr>
          <w:rFonts w:ascii="Times New Roman" w:eastAsiaTheme="minorEastAsia" w:hAnsi="Times New Roman"/>
          <w:sz w:val="20"/>
          <w:szCs w:val="20"/>
          <w:lang w:eastAsia="zh-CN"/>
        </w:rPr>
        <w:t>Ericsson</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D4BC5C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0F92EA2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9A2F495"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C5C1C0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587CF6B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5A808B7B" w14:textId="6C002C56"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578113C7"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9734486"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7CA37D04"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Strong concern</w:t>
            </w:r>
          </w:p>
        </w:tc>
        <w:tc>
          <w:tcPr>
            <w:tcW w:w="977" w:type="pct"/>
          </w:tcPr>
          <w:p w14:paraId="04C07F27" w14:textId="70E8ED86"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4352599"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1CAB0B12" w14:textId="268BB669" w:rsidR="00EC2B26" w:rsidRDefault="0039498E" w:rsidP="004A33D5">
            <w:pPr>
              <w:overflowPunct/>
              <w:autoSpaceDE/>
              <w:autoSpaceDN/>
              <w:adjustRightInd/>
              <w:spacing w:beforeLines="50" w:afterLines="50" w:after="120"/>
              <w:jc w:val="center"/>
              <w:textAlignment w:val="auto"/>
              <w:rPr>
                <w:iCs/>
                <w:lang w:eastAsia="zh-CN"/>
              </w:rPr>
            </w:pPr>
            <w:commentRangeStart w:id="2"/>
            <w:r>
              <w:rPr>
                <w:iCs/>
                <w:lang w:eastAsia="zh-CN"/>
              </w:rPr>
              <w:t xml:space="preserve">APT </w:t>
            </w:r>
            <w:commentRangeEnd w:id="2"/>
            <w:r>
              <w:rPr>
                <w:rStyle w:val="CommentReference"/>
                <w:rFonts w:ascii="Times New Roman" w:hAnsi="Times New Roman"/>
              </w:rPr>
              <w:commentReference w:id="2"/>
            </w:r>
          </w:p>
        </w:tc>
        <w:tc>
          <w:tcPr>
            <w:tcW w:w="956" w:type="pct"/>
          </w:tcPr>
          <w:p w14:paraId="04B32889" w14:textId="77777777" w:rsidR="00EC2B26" w:rsidRDefault="00EC2B26" w:rsidP="004A33D5">
            <w:pPr>
              <w:overflowPunct/>
              <w:autoSpaceDE/>
              <w:autoSpaceDN/>
              <w:adjustRightInd/>
              <w:spacing w:beforeLines="50" w:afterLines="50" w:after="120"/>
              <w:jc w:val="center"/>
              <w:textAlignment w:val="auto"/>
              <w:rPr>
                <w:iCs/>
                <w:lang w:eastAsia="zh-CN"/>
              </w:rPr>
            </w:pP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lastRenderedPageBreak/>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lastRenderedPageBreak/>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0340" w14:paraId="4F629B7D"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C84941" w14:textId="77777777" w:rsidR="00CD0340" w:rsidRDefault="00CD0340" w:rsidP="00876B1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FAF3B1A" w14:textId="77777777" w:rsidR="00CD0340" w:rsidRDefault="00CD0340" w:rsidP="00876B1C">
            <w:pPr>
              <w:snapToGrid w:val="0"/>
              <w:ind w:left="360"/>
            </w:pP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 xml:space="preserve">Support </w:t>
            </w:r>
            <w:r w:rsidRPr="0035123E">
              <w:rPr>
                <w:bCs/>
                <w:color w:val="000000" w:themeColor="text1"/>
                <w:lang w:eastAsia="zh-CN"/>
              </w:rPr>
              <w:t>Initial Proposal 2-3</w:t>
            </w:r>
          </w:p>
        </w:tc>
      </w:tr>
      <w:tr w:rsidR="00D6269C"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0420F" w14:textId="77777777" w:rsidR="00D6269C" w:rsidRDefault="00D6269C" w:rsidP="009220E9">
            <w:pPr>
              <w:snapToGrid w:val="0"/>
              <w:ind w:left="360"/>
            </w:pP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lastRenderedPageBreak/>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r w:rsidR="00C0530D">
              <w:t>.</w:t>
            </w:r>
          </w:p>
        </w:tc>
      </w:tr>
      <w:tr w:rsidR="009D1234"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77777777" w:rsidR="009D1234" w:rsidRDefault="009D1234" w:rsidP="001B0A9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77777777" w:rsidR="009D1234" w:rsidRDefault="009D1234" w:rsidP="001B0A9F">
            <w:pPr>
              <w:snapToGrid w:val="0"/>
              <w:ind w:left="360"/>
            </w:pPr>
          </w:p>
        </w:tc>
      </w:tr>
      <w:tr w:rsidR="009D1234"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77777777" w:rsidR="009D1234" w:rsidRDefault="009D1234" w:rsidP="001B0A9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7777777" w:rsidR="009D1234" w:rsidRDefault="009D1234" w:rsidP="001B0A9F">
            <w:pPr>
              <w:snapToGrid w:val="0"/>
              <w:ind w:left="360"/>
            </w:pP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EE52C6" w:rsidP="00965230">
      <w:pPr>
        <w:spacing w:beforeLines="50" w:before="120" w:after="120"/>
        <w:ind w:leftChars="100" w:left="200"/>
        <w:jc w:val="center"/>
        <w:rPr>
          <w:rFonts w:eastAsiaTheme="minorEastAsia"/>
          <w:lang w:eastAsia="zh-CN"/>
        </w:rPr>
      </w:pPr>
      <w:r>
        <w:object w:dxaOrig="9649" w:dyaOrig="4813" w14:anchorId="5B77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6" o:title=""/>
          </v:shape>
          <o:OLEObject Type="Embed" ProgID="Visio.Drawing.15" ShapeID="_x0000_i1025" DrawAspect="Content" ObjectID="_1682941921" r:id="rId17"/>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t>
      </w:r>
      <w:r w:rsidRPr="00075094">
        <w:rPr>
          <w:rFonts w:ascii="Times New Roman" w:hAnsi="Times New Roman"/>
        </w:rPr>
        <w:lastRenderedPageBreak/>
        <w:t>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moderator</w:t>
            </w:r>
            <w:r>
              <w:rPr>
                <w:rFonts w:eastAsiaTheme="minorEastAsia"/>
                <w:lang w:eastAsia="zh-CN"/>
              </w:rPr>
              <w:t xml:space="preserve">. It can be discussed in the future releases. </w:t>
            </w:r>
          </w:p>
        </w:tc>
      </w:tr>
      <w:tr w:rsidR="005F2788"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77777777" w:rsidR="005F2788" w:rsidRDefault="005F2788" w:rsidP="003A65DA">
            <w:pPr>
              <w:snapToGrid w:val="0"/>
              <w:ind w:left="360"/>
            </w:pPr>
          </w:p>
        </w:tc>
      </w:tr>
      <w:tr w:rsidR="005F2788"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5F2788" w:rsidRDefault="005F2788" w:rsidP="003A65DA">
            <w:pPr>
              <w:snapToGrid w:val="0"/>
              <w:ind w:left="360"/>
            </w:pP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lastRenderedPageBreak/>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77777777" w:rsidR="005F2788" w:rsidRDefault="005F2788" w:rsidP="003A65DA">
            <w:pPr>
              <w:snapToGrid w:val="0"/>
              <w:ind w:left="360"/>
            </w:pP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lastRenderedPageBreak/>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77777777" w:rsidR="002951A7" w:rsidRDefault="002951A7" w:rsidP="009220E9">
            <w:pPr>
              <w:snapToGrid w:val="0"/>
              <w:ind w:left="360"/>
            </w:pPr>
          </w:p>
        </w:tc>
      </w:tr>
      <w:tr w:rsidR="002951A7"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77777777" w:rsidR="002951A7" w:rsidRDefault="002951A7" w:rsidP="009220E9">
            <w:pPr>
              <w:snapToGrid w:val="0"/>
              <w:ind w:left="360"/>
            </w:pP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lastRenderedPageBreak/>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lastRenderedPageBreak/>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lastRenderedPageBreak/>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lastRenderedPageBreak/>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lastRenderedPageBreak/>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315463" w:rsidP="00764EA0">
            <w:pPr>
              <w:snapToGrid w:val="0"/>
              <w:spacing w:after="0"/>
              <w:jc w:val="center"/>
              <w:rPr>
                <w:lang w:eastAsia="x-none"/>
              </w:rPr>
            </w:pPr>
            <w:hyperlink r:id="rId19"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 xml:space="preserve">Reusing one bit from other bit field to indicate 32 HARQ processes is not a clean design approach. Such hack in the specification should in general be avoided, as it </w:t>
              </w:r>
              <w:r w:rsidR="004A170E" w:rsidRPr="002F09DC">
                <w:rPr>
                  <w:rStyle w:val="Hyperlink"/>
                  <w:rFonts w:ascii="Times New Roman" w:hAnsi="Times New Roman" w:cs="Times New Roman"/>
                  <w:b w:val="0"/>
                  <w:iCs/>
                  <w:noProof/>
                  <w:sz w:val="20"/>
                  <w:szCs w:val="20"/>
                </w:rPr>
                <w:lastRenderedPageBreak/>
                <w:t>can easily cause confusion and complications in the specification.</w:t>
              </w:r>
            </w:hyperlink>
          </w:p>
          <w:p w14:paraId="291F0D66"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In the case of the NR Type-3 HARQ codebook, when HARQ processes are </w:t>
              </w:r>
              <w:r w:rsidR="004A170E" w:rsidRPr="002F09DC">
                <w:rPr>
                  <w:rStyle w:val="Hyperlink"/>
                  <w:rFonts w:ascii="Times New Roman" w:hAnsi="Times New Roman" w:cs="Times New Roman"/>
                  <w:b w:val="0"/>
                  <w:noProof/>
                  <w:sz w:val="20"/>
                  <w:szCs w:val="20"/>
                </w:rPr>
                <w:lastRenderedPageBreak/>
                <w:t>enabled/disabled on a per HARQ process basis, the codebook size is dimensioned to include ACK/NACK information only for HARQ processes that are enabled.</w:t>
              </w:r>
            </w:hyperlink>
          </w:p>
          <w:p w14:paraId="05411EA4"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315463"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lastRenderedPageBreak/>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lastRenderedPageBreak/>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w:t>
            </w:r>
            <w:r w:rsidRPr="002F09DC">
              <w:rPr>
                <w:color w:val="000000"/>
                <w:lang w:eastAsia="zh-CN"/>
              </w:rPr>
              <w:lastRenderedPageBreak/>
              <w:t xml:space="preserve">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lastRenderedPageBreak/>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lastRenderedPageBreak/>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lastRenderedPageBreak/>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315463" w:rsidP="00764EA0">
            <w:pPr>
              <w:snapToGrid w:val="0"/>
              <w:spacing w:after="0"/>
              <w:jc w:val="center"/>
            </w:pPr>
            <w:hyperlink r:id="rId20"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lastRenderedPageBreak/>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315463"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315463"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315463"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315463"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1"/>
      <w:footerReference w:type="even" r:id="rId22"/>
      <w:footerReference w:type="default" r:id="rId23"/>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ien-Chun" w:date="2021-05-19T14:09:00Z" w:initials="C">
    <w:p w14:paraId="60F73370" w14:textId="108F82AE" w:rsidR="0039498E" w:rsidRDefault="0039498E">
      <w:pPr>
        <w:pStyle w:val="CommentText"/>
      </w:pPr>
      <w:r>
        <w:rPr>
          <w:rStyle w:val="CommentReference"/>
        </w:rPr>
        <w:annotationRef/>
      </w:r>
      <w:r>
        <w:rPr>
          <w:iCs/>
          <w:lang w:eastAsia="zh-CN"/>
        </w:rPr>
        <w:t xml:space="preserve">HARQ-ACK disabling via RRC has 10ms of ambiguous period. During this period, UE cannot tell whether reusing bits is allowed because HARQ-ACK </w:t>
      </w:r>
      <w:r w:rsidR="0035123E">
        <w:rPr>
          <w:iCs/>
          <w:lang w:eastAsia="zh-CN"/>
        </w:rPr>
        <w:t xml:space="preserve">has been </w:t>
      </w:r>
      <w:r>
        <w:rPr>
          <w:iCs/>
          <w:lang w:eastAsia="zh-CN"/>
        </w:rPr>
        <w:t>disabl</w:t>
      </w:r>
      <w:r w:rsidR="0035123E">
        <w:rPr>
          <w:iCs/>
          <w:lang w:eastAsia="zh-CN"/>
        </w:rPr>
        <w:t>ed</w:t>
      </w:r>
      <w:r>
        <w:rPr>
          <w:iCs/>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1E51" w14:textId="77777777" w:rsidR="00315463" w:rsidRDefault="00315463">
      <w:pPr>
        <w:spacing w:after="0"/>
      </w:pPr>
      <w:r>
        <w:separator/>
      </w:r>
    </w:p>
  </w:endnote>
  <w:endnote w:type="continuationSeparator" w:id="0">
    <w:p w14:paraId="22382C97" w14:textId="77777777" w:rsidR="00315463" w:rsidRDefault="003154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7B7558" w:rsidRDefault="007B75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B7558" w:rsidRDefault="007B75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7777777" w:rsidR="007B7558" w:rsidRDefault="007B7558">
    <w:pPr>
      <w:pStyle w:val="Footer"/>
      <w:ind w:right="360"/>
    </w:pPr>
    <w:r>
      <w:rPr>
        <w:rStyle w:val="PageNumber"/>
      </w:rPr>
      <w:fldChar w:fldCharType="begin"/>
    </w:r>
    <w:r>
      <w:rPr>
        <w:rStyle w:val="PageNumber"/>
      </w:rPr>
      <w:instrText xml:space="preserve"> PAGE </w:instrText>
    </w:r>
    <w:r>
      <w:rPr>
        <w:rStyle w:val="PageNumber"/>
      </w:rPr>
      <w:fldChar w:fldCharType="separate"/>
    </w:r>
    <w:r w:rsidR="00124802">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4802">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DD49" w14:textId="77777777" w:rsidR="00315463" w:rsidRDefault="00315463">
      <w:pPr>
        <w:spacing w:after="0"/>
      </w:pPr>
      <w:r>
        <w:separator/>
      </w:r>
    </w:p>
  </w:footnote>
  <w:footnote w:type="continuationSeparator" w:id="0">
    <w:p w14:paraId="4AE1BE1A" w14:textId="77777777" w:rsidR="00315463" w:rsidRDefault="003154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7B7558" w:rsidRDefault="007B75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4"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1"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6"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2"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3"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8"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0"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2"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8"/>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2"/>
  </w:num>
  <w:num w:numId="6">
    <w:abstractNumId w:val="1"/>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6"/>
  </w:num>
  <w:num w:numId="10">
    <w:abstractNumId w:val="15"/>
  </w:num>
  <w:num w:numId="11">
    <w:abstractNumId w:val="59"/>
  </w:num>
  <w:num w:numId="12">
    <w:abstractNumId w:val="61"/>
  </w:num>
  <w:num w:numId="13">
    <w:abstractNumId w:val="41"/>
  </w:num>
  <w:num w:numId="14">
    <w:abstractNumId w:val="18"/>
  </w:num>
  <w:num w:numId="15">
    <w:abstractNumId w:val="12"/>
  </w:num>
  <w:num w:numId="16">
    <w:abstractNumId w:val="24"/>
  </w:num>
  <w:num w:numId="17">
    <w:abstractNumId w:val="33"/>
  </w:num>
  <w:num w:numId="18">
    <w:abstractNumId w:val="37"/>
  </w:num>
  <w:num w:numId="19">
    <w:abstractNumId w:val="17"/>
  </w:num>
  <w:num w:numId="20">
    <w:abstractNumId w:val="70"/>
  </w:num>
  <w:num w:numId="21">
    <w:abstractNumId w:val="46"/>
  </w:num>
  <w:num w:numId="22">
    <w:abstractNumId w:val="6"/>
  </w:num>
  <w:num w:numId="23">
    <w:abstractNumId w:val="20"/>
  </w:num>
  <w:num w:numId="24">
    <w:abstractNumId w:val="69"/>
  </w:num>
  <w:num w:numId="25">
    <w:abstractNumId w:val="66"/>
  </w:num>
  <w:num w:numId="26">
    <w:abstractNumId w:val="30"/>
  </w:num>
  <w:num w:numId="27">
    <w:abstractNumId w:val="60"/>
  </w:num>
  <w:num w:numId="28">
    <w:abstractNumId w:val="8"/>
  </w:num>
  <w:num w:numId="29">
    <w:abstractNumId w:val="13"/>
  </w:num>
  <w:num w:numId="30">
    <w:abstractNumId w:val="58"/>
  </w:num>
  <w:num w:numId="31">
    <w:abstractNumId w:val="63"/>
  </w:num>
  <w:num w:numId="32">
    <w:abstractNumId w:val="25"/>
  </w:num>
  <w:num w:numId="33">
    <w:abstractNumId w:val="14"/>
  </w:num>
  <w:num w:numId="34">
    <w:abstractNumId w:val="57"/>
  </w:num>
  <w:num w:numId="35">
    <w:abstractNumId w:val="9"/>
  </w:num>
  <w:num w:numId="36">
    <w:abstractNumId w:val="31"/>
  </w:num>
  <w:num w:numId="37">
    <w:abstractNumId w:val="50"/>
  </w:num>
  <w:num w:numId="38">
    <w:abstractNumId w:val="36"/>
  </w:num>
  <w:num w:numId="39">
    <w:abstractNumId w:val="39"/>
  </w:num>
  <w:num w:numId="40">
    <w:abstractNumId w:val="7"/>
  </w:num>
  <w:num w:numId="41">
    <w:abstractNumId w:val="53"/>
  </w:num>
  <w:num w:numId="42">
    <w:abstractNumId w:val="45"/>
  </w:num>
  <w:num w:numId="43">
    <w:abstractNumId w:val="19"/>
  </w:num>
  <w:num w:numId="44">
    <w:abstractNumId w:val="27"/>
  </w:num>
  <w:num w:numId="45">
    <w:abstractNumId w:val="55"/>
  </w:num>
  <w:num w:numId="46">
    <w:abstractNumId w:val="47"/>
  </w:num>
  <w:num w:numId="47">
    <w:abstractNumId w:val="34"/>
  </w:num>
  <w:num w:numId="48">
    <w:abstractNumId w:val="4"/>
  </w:num>
  <w:num w:numId="49">
    <w:abstractNumId w:val="23"/>
  </w:num>
  <w:num w:numId="50">
    <w:abstractNumId w:val="54"/>
  </w:num>
  <w:num w:numId="51">
    <w:abstractNumId w:val="42"/>
  </w:num>
  <w:num w:numId="52">
    <w:abstractNumId w:val="51"/>
  </w:num>
  <w:num w:numId="53">
    <w:abstractNumId w:val="56"/>
  </w:num>
  <w:num w:numId="54">
    <w:abstractNumId w:val="2"/>
  </w:num>
  <w:num w:numId="55">
    <w:abstractNumId w:val="11"/>
  </w:num>
  <w:num w:numId="56">
    <w:abstractNumId w:val="26"/>
  </w:num>
  <w:num w:numId="57">
    <w:abstractNumId w:val="44"/>
  </w:num>
  <w:num w:numId="58">
    <w:abstractNumId w:val="35"/>
  </w:num>
  <w:num w:numId="59">
    <w:abstractNumId w:val="40"/>
  </w:num>
  <w:num w:numId="60">
    <w:abstractNumId w:val="21"/>
  </w:num>
  <w:num w:numId="61">
    <w:abstractNumId w:val="3"/>
  </w:num>
  <w:num w:numId="62">
    <w:abstractNumId w:val="5"/>
  </w:num>
  <w:num w:numId="63">
    <w:abstractNumId w:val="10"/>
  </w:num>
  <w:num w:numId="64">
    <w:abstractNumId w:val="49"/>
  </w:num>
  <w:num w:numId="65">
    <w:abstractNumId w:val="28"/>
  </w:num>
  <w:num w:numId="66">
    <w:abstractNumId w:val="29"/>
  </w:num>
  <w:num w:numId="67">
    <w:abstractNumId w:val="67"/>
  </w:num>
  <w:num w:numId="68">
    <w:abstractNumId w:val="62"/>
  </w:num>
  <w:num w:numId="69">
    <w:abstractNumId w:val="43"/>
  </w:num>
  <w:num w:numId="70">
    <w:abstractNumId w:val="64"/>
  </w:num>
  <w:num w:numId="71">
    <w:abstractNumId w:val="6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wanshic\OneDrive%20-%20Qualcomm\Documents\Standards\3GPP%20Standards\Meeting%20Documents\TSGR1_105\Docs\R1-210562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5\Docs\R1-210472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52BEF36-BAD2-4B8F-B3B3-58B21F895E40}">
  <ds:schemaRefs>
    <ds:schemaRef ds:uri="http://schemas.openxmlformats.org/officeDocument/2006/bibliography"/>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26</Pages>
  <Words>10406</Words>
  <Characters>59319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Chien-Chun</cp:lastModifiedBy>
  <cp:revision>4</cp:revision>
  <cp:lastPrinted>2011-11-09T07:49:00Z</cp:lastPrinted>
  <dcterms:created xsi:type="dcterms:W3CDTF">2021-05-19T05:43:00Z</dcterms:created>
  <dcterms:modified xsi:type="dcterms:W3CDTF">2021-05-19T07:06:00Z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