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pt;height:117.6pt;mso-width-percent:0;mso-height-percent:0;mso-width-percent:0;mso-height-percent:0" o:ole="">
                  <v:imagedata r:id="rId16" o:title=""/>
                </v:shape>
                <o:OLEObject Type="Embed" ProgID="Visio.Drawing.15" ShapeID="_x0000_i1025" DrawAspect="Content" ObjectID="_1683361333"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2pt;height:138pt;mso-width-percent:0;mso-height-percent:0;mso-width-percent:0;mso-height-percent:0" o:ole="">
                  <v:imagedata r:id="rId18" o:title=""/>
                </v:shape>
                <o:OLEObject Type="Embed" ProgID="Visio.Drawing.15" ShapeID="_x0000_i1026" DrawAspect="Content" ObjectID="_1683361334"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6pt;mso-width-percent:0;mso-height-percent:0;mso-width-percent:0;mso-height-percent:0" o:ole="">
            <v:imagedata r:id="rId20" o:title=""/>
          </v:shape>
          <o:OLEObject Type="Embed" ProgID="Visio.Drawing.15" ShapeID="_x0000_i1027" DrawAspect="Content" ObjectID="_1683361335"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2pt;height:163.2pt;mso-width-percent:0;mso-height-percent:0;mso-width-percent:0;mso-height-percent:0" o:ole="">
                  <v:imagedata r:id="rId20" o:title=""/>
                </v:shape>
                <o:OLEObject Type="Embed" ProgID="Visio.Drawing.15" ShapeID="_x0000_i1028" DrawAspect="Content" ObjectID="_1683361336"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0C2F78">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0C2F78">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E66727" w:rsidRPr="008F5968" w14:paraId="3449C045"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42FF26" w14:textId="37CC942D" w:rsidR="00E66727" w:rsidRDefault="00E66727" w:rsidP="000C2F78">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943420D" w14:textId="467BF427" w:rsidR="00E66727" w:rsidRDefault="00E66727" w:rsidP="00026B37">
            <w:pPr>
              <w:snapToGrid w:val="0"/>
            </w:pPr>
            <w:r>
              <w:t>We are OK with the proposal.</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lastRenderedPageBreak/>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lastRenderedPageBreak/>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lastRenderedPageBreak/>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B37B22">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B37B22">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B37B22">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B37B22">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lastRenderedPageBreak/>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5AEA5C42"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2326D2D4"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9700AC4" w:rsidR="0093542A" w:rsidRDefault="00026B37" w:rsidP="00037CC9">
            <w:pPr>
              <w:snapToGrid w:val="0"/>
              <w:ind w:left="360"/>
            </w:pPr>
            <w:r>
              <w:rPr>
                <w:lang w:eastAsia="zh-CN"/>
              </w:rPr>
              <w:t>Huawei/</w:t>
            </w:r>
            <w:proofErr w:type="spellStart"/>
            <w:r>
              <w:rPr>
                <w:lang w:eastAsia="zh-CN"/>
              </w:rPr>
              <w:t>HiSilicon</w:t>
            </w:r>
            <w:proofErr w:type="spellEnd"/>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lastRenderedPageBreak/>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B37B22">
            <w:pPr>
              <w:jc w:val="center"/>
              <w:rPr>
                <w:rFonts w:eastAsia="MS Mincho" w:cs="Arial"/>
                <w:lang w:eastAsia="ja-JP"/>
              </w:rPr>
            </w:pPr>
            <w:r w:rsidRPr="0098302F">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B37B22">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B37B22">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B37B22">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w:t>
            </w:r>
            <w:proofErr w:type="spellStart"/>
            <w:r>
              <w:rPr>
                <w:lang w:eastAsia="zh-CN"/>
              </w:rPr>
              <w:t>gNB</w:t>
            </w:r>
            <w:proofErr w:type="spellEnd"/>
            <w:r>
              <w:rPr>
                <w:lang w:eastAsia="zh-CN"/>
              </w:rPr>
              <w:t xml:space="preserve">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lastRenderedPageBreak/>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lastRenderedPageBreak/>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B37B22">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B37B22">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B37B22">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0C2F78">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0C2F78">
            <w:pPr>
              <w:snapToGrid w:val="0"/>
              <w:ind w:left="360"/>
              <w:rPr>
                <w:rFonts w:eastAsiaTheme="minorEastAsia"/>
                <w:lang w:eastAsia="zh-CN"/>
              </w:rPr>
            </w:pPr>
            <w:r>
              <w:rPr>
                <w:lang w:eastAsia="zh-CN"/>
              </w:rPr>
              <w:t>We support the proposal and conclusion.</w:t>
            </w:r>
          </w:p>
        </w:tc>
      </w:tr>
      <w:tr w:rsidR="00B97A16" w:rsidRPr="0071189B" w14:paraId="6A939411"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0D0C0" w14:textId="1C7C149B" w:rsidR="00B97A16" w:rsidRDefault="00B97A16" w:rsidP="000C2F78">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125539B5" w14:textId="2F6D8BDC" w:rsidR="00B97A16" w:rsidRDefault="00B97A16" w:rsidP="000C2F78">
            <w:pPr>
              <w:snapToGrid w:val="0"/>
              <w:ind w:left="360"/>
              <w:rPr>
                <w:lang w:eastAsia="zh-CN"/>
              </w:rPr>
            </w:pPr>
            <w:r>
              <w:t xml:space="preserve">We are </w:t>
            </w:r>
            <w:r>
              <w:t>support</w:t>
            </w:r>
            <w:r>
              <w:t xml:space="preserve"> updated Proposal 3-1 and Conclusion 3-1.</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lastRenderedPageBreak/>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B37B22">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0C2F78">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0C2F78">
            <w:pPr>
              <w:snapToGrid w:val="0"/>
              <w:ind w:left="360"/>
              <w:rPr>
                <w:rFonts w:eastAsiaTheme="minorEastAsia"/>
                <w:lang w:eastAsia="zh-CN"/>
              </w:rPr>
            </w:pPr>
            <w:r>
              <w:rPr>
                <w:rFonts w:eastAsia="MS Mincho"/>
                <w:lang w:eastAsia="ja-JP"/>
              </w:rPr>
              <w:t>We support the proposal.</w:t>
            </w:r>
          </w:p>
        </w:tc>
      </w:tr>
      <w:tr w:rsidR="00BD2A24" w:rsidRPr="0071189B" w14:paraId="35A27764"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B5FE918" w14:textId="3F1A03AC" w:rsidR="00BD2A24" w:rsidRDefault="00BD2A24" w:rsidP="000C2F78">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397E196F" w14:textId="2F451876" w:rsidR="00BD2A24" w:rsidRDefault="00BD2A24" w:rsidP="000C2F78">
            <w:pPr>
              <w:snapToGrid w:val="0"/>
              <w:ind w:left="360"/>
              <w:rPr>
                <w:rFonts w:eastAsia="MS Mincho"/>
                <w:lang w:eastAsia="ja-JP"/>
              </w:rPr>
            </w:pPr>
            <w:r>
              <w:rPr>
                <w:rFonts w:eastAsia="MS Mincho"/>
                <w:lang w:eastAsia="ja-JP"/>
              </w:rPr>
              <w:t>We do not support. It is up to network implementation. There is no need to specify it.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Consider to use DCI field of second block as additional HARQ bit indication to support 32 </w:t>
            </w:r>
            <w:r w:rsidRPr="002F09DC">
              <w:rPr>
                <w:rFonts w:ascii="Times New Roman" w:hAnsi="Times New Roman"/>
                <w:noProof/>
                <w:sz w:val="20"/>
                <w:szCs w:val="20"/>
                <w:lang w:eastAsia="zh-CN"/>
              </w:rPr>
              <w:lastRenderedPageBreak/>
              <w:t>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lastRenderedPageBreak/>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lastRenderedPageBreak/>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8C404F"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lastRenderedPageBreak/>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NR is a toolbox of features. Each feature should not be limited to a certain use case </w:t>
              </w:r>
              <w:r w:rsidR="004A170E" w:rsidRPr="002F09DC">
                <w:rPr>
                  <w:rStyle w:val="Hyperlink"/>
                  <w:rFonts w:ascii="Times New Roman" w:hAnsi="Times New Roman" w:cs="Times New Roman"/>
                  <w:b w:val="0"/>
                  <w:noProof/>
                  <w:sz w:val="20"/>
                  <w:szCs w:val="20"/>
                </w:rPr>
                <w:lastRenderedPageBreak/>
                <w:t>or deployment and it is up to implementation to use it as fit.</w:t>
              </w:r>
            </w:hyperlink>
          </w:p>
          <w:p w14:paraId="59F1C5CC"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8C404F"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lastRenderedPageBreak/>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lastRenderedPageBreak/>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lastRenderedPageBreak/>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lastRenderedPageBreak/>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lastRenderedPageBreak/>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lastRenderedPageBreak/>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8C404F"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8C404F"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8C404F"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8C404F"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8C404F"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 xml:space="preserve">We have a strong concern related to the options under “1”, as these solutions would not function well when UE search space is configured with period larger than 1. Further, this solution would put scheduling restrictions for the </w:t>
      </w:r>
      <w:proofErr w:type="spellStart"/>
      <w:r>
        <w:t>gNB</w:t>
      </w:r>
      <w:proofErr w:type="spellEnd"/>
      <w:r>
        <w:t xml:space="preserve">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C2D24" w14:textId="77777777" w:rsidR="008C404F" w:rsidRDefault="008C404F">
      <w:pPr>
        <w:spacing w:after="0"/>
      </w:pPr>
      <w:r>
        <w:separator/>
      </w:r>
    </w:p>
  </w:endnote>
  <w:endnote w:type="continuationSeparator" w:id="0">
    <w:p w14:paraId="45DB3F25" w14:textId="77777777" w:rsidR="008C404F" w:rsidRDefault="008C40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DB0916B"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sidR="00026B37">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6B37">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C917F" w14:textId="77777777" w:rsidR="008C404F" w:rsidRDefault="008C404F">
      <w:pPr>
        <w:spacing w:after="0"/>
      </w:pPr>
      <w:r>
        <w:separator/>
      </w:r>
    </w:p>
  </w:footnote>
  <w:footnote w:type="continuationSeparator" w:id="0">
    <w:p w14:paraId="6DB08EA8" w14:textId="77777777" w:rsidR="008C404F" w:rsidRDefault="008C40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04F"/>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A1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A24"/>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72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A87E64-FCCE-4E08-8475-4CEADA35DF07}">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47</Pages>
  <Words>17750</Words>
  <Characters>101181</Characters>
  <Application>Microsoft Office Word</Application>
  <DocSecurity>0</DocSecurity>
  <Lines>843</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Ying, Kai</cp:lastModifiedBy>
  <cp:revision>6</cp:revision>
  <cp:lastPrinted>2011-11-09T07:49:00Z</cp:lastPrinted>
  <dcterms:created xsi:type="dcterms:W3CDTF">2021-05-24T14:32:00Z</dcterms:created>
  <dcterms:modified xsi:type="dcterms:W3CDTF">2021-05-24T18:36:00Z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