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5E9962C4" w:rsidR="00EC2AB3" w:rsidRPr="00300D04" w:rsidRDefault="007F7F24" w:rsidP="00891CE6">
      <w:pPr>
        <w:pStyle w:val="ae"/>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d"/>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d"/>
                <w:rFonts w:ascii="Times New Roman" w:hAnsi="Times New Roman"/>
              </w:rPr>
              <w:commentReference w:id="3"/>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afd"/>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afd"/>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d"/>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d"/>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f0"/>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f0"/>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f0"/>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f0"/>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proofErr w:type="gramStart"/>
      <w:r w:rsidR="00121B54" w:rsidRPr="00374650">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proofErr w:type="gramEnd"/>
      <w:r>
        <w:rPr>
          <w:rFonts w:ascii="Times New Roman" w:eastAsiaTheme="minorEastAsia" w:hAnsi="Times New Roman"/>
          <w:sz w:val="20"/>
          <w:szCs w:val="20"/>
          <w:lang w:eastAsia="zh-CN"/>
        </w:rPr>
        <w:t xml:space="preserve">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f0"/>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f0"/>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f0"/>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f0"/>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f0"/>
        <w:numPr>
          <w:ilvl w:val="1"/>
          <w:numId w:val="45"/>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f0"/>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f0"/>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f0"/>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w:t>
            </w:r>
            <w:r>
              <w:rPr>
                <w:lang w:eastAsia="zh-CN"/>
              </w:rPr>
              <w:lastRenderedPageBreak/>
              <w:t xml:space="preserve">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 xml:space="preserve">the UE has not decoded DCI for a PDSCH with </w:t>
            </w:r>
            <w:proofErr w:type="gramStart"/>
            <w:r w:rsidRPr="00CB31F2">
              <w:rPr>
                <w:color w:val="4472C4" w:themeColor="accent5"/>
                <w:u w:val="single"/>
              </w:rPr>
              <w:t>a</w:t>
            </w:r>
            <w:proofErr w:type="gramEnd"/>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f0"/>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f0"/>
              <w:numPr>
                <w:ilvl w:val="0"/>
                <w:numId w:val="62"/>
              </w:numPr>
              <w:snapToGrid w:val="0"/>
            </w:pPr>
            <w:r>
              <w:t>UE is configured with f/b disabled HARQ id alone through RRC</w:t>
            </w:r>
          </w:p>
          <w:p w14:paraId="0D1D2926" w14:textId="354AB910" w:rsidR="00167E6F" w:rsidRPr="00167E6F" w:rsidRDefault="00167E6F" w:rsidP="004330D4">
            <w:pPr>
              <w:pStyle w:val="aff0"/>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f0"/>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f0"/>
              <w:numPr>
                <w:ilvl w:val="0"/>
                <w:numId w:val="63"/>
              </w:numPr>
              <w:snapToGrid w:val="0"/>
            </w:pPr>
            <w:r>
              <w:t>UE is configured with f/b disabled HARQ id alone through RRC</w:t>
            </w:r>
          </w:p>
          <w:p w14:paraId="3559D159" w14:textId="77777777" w:rsidR="00CE5B25" w:rsidRPr="00167E6F" w:rsidRDefault="00CE5B25" w:rsidP="004330D4">
            <w:pPr>
              <w:pStyle w:val="aff0"/>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17.35pt;mso-width-percent:0;mso-height-percent:0;mso-width-percent:0;mso-height-percent:0" o:ole="">
                  <v:imagedata r:id="rId14" o:title=""/>
                </v:shape>
                <o:OLEObject Type="Embed" ProgID="Visio.Drawing.15" ShapeID="_x0000_i1025" DrawAspect="Content" ObjectID="_1683384608"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4.95pt;height:138.15pt;mso-width-percent:0;mso-height-percent:0;mso-width-percent:0;mso-height-percent:0" o:ole="">
                  <v:imagedata r:id="rId16" o:title=""/>
                </v:shape>
                <o:OLEObject Type="Embed" ProgID="Visio.Drawing.15" ShapeID="_x0000_i1026" DrawAspect="Content" ObjectID="_1683384609"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05pt;height:186.85pt;mso-width-percent:0;mso-height-percent:0;mso-width-percent:0;mso-height-percent:0" o:ole="">
            <v:imagedata r:id="rId18" o:title=""/>
          </v:shape>
          <o:OLEObject Type="Embed" ProgID="Visio.Drawing.15" ShapeID="_x0000_i1027" DrawAspect="Content" ObjectID="_1683384610"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等线" w:hAnsi="Times New Roman"/>
          <w:i/>
          <w:color w:val="000000"/>
          <w:sz w:val="20"/>
          <w:szCs w:val="20"/>
        </w:rPr>
        <w:t xml:space="preserve">L2 is defined as the next uplink symbol with its CP starting </w:t>
      </w:r>
      <w:bookmarkStart w:id="9" w:name="_Hlk45746554"/>
      <w:bookmarkEnd w:id="9"/>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05pt;height:164pt;mso-width-percent:0;mso-height-percent:0;mso-width-percent:0;mso-height-percent:0" o:ole="">
                  <v:imagedata r:id="rId18" o:title=""/>
                </v:shape>
                <o:OLEObject Type="Embed" ProgID="Visio.Drawing.15" ShapeID="_x0000_i1028" DrawAspect="Content" ObjectID="_1683384611"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f0"/>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f0"/>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f0"/>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f0"/>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f0"/>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f0"/>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7109D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hint="eastAsia"/>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 xml:space="preserve">For </w:t>
            </w:r>
            <w:proofErr w:type="spellStart"/>
            <w:r>
              <w:rPr>
                <w:lang w:eastAsia="zh-CN"/>
              </w:rPr>
              <w:t>fallback</w:t>
            </w:r>
            <w:proofErr w:type="spellEnd"/>
            <w:r>
              <w:rPr>
                <w:lang w:eastAsia="zh-CN"/>
              </w:rPr>
              <w:t xml:space="preserve"> DCI, we think it is feasible to support up to 32 HARQ process. Meanwhile, it is used in initial access, and thus, the </w:t>
            </w:r>
            <w:proofErr w:type="spellStart"/>
            <w:r>
              <w:rPr>
                <w:lang w:eastAsia="zh-CN"/>
              </w:rPr>
              <w:t>bitfield</w:t>
            </w:r>
            <w:proofErr w:type="spellEnd"/>
            <w:r>
              <w:rPr>
                <w:lang w:eastAsia="zh-CN"/>
              </w:rPr>
              <w:t xml:space="preserve"> size should kept unchanged.</w:t>
            </w:r>
          </w:p>
          <w:p w14:paraId="10E1BF32" w14:textId="77777777" w:rsidR="00CC66CD" w:rsidRDefault="00CC66CD" w:rsidP="00CC66CD">
            <w:pPr>
              <w:snapToGrid w:val="0"/>
              <w:rPr>
                <w:rFonts w:hint="eastAsia"/>
                <w:lang w:eastAsia="zh-CN"/>
              </w:rPr>
            </w:pP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f0"/>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w:t>
            </w:r>
            <w:proofErr w:type="spellStart"/>
            <w:r>
              <w:rPr>
                <w:rFonts w:eastAsia="MS Mincho"/>
                <w:lang w:eastAsia="ja-JP"/>
              </w:rPr>
              <w:t>behavior</w:t>
            </w:r>
            <w:proofErr w:type="spellEnd"/>
            <w:r>
              <w:rPr>
                <w:rFonts w:eastAsia="MS Mincho"/>
                <w:lang w:eastAsia="ja-JP"/>
              </w:rPr>
              <w:t xml:space="preserve">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lastRenderedPageBreak/>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hint="eastAsia"/>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rFonts w:hint="eastAsia"/>
                <w:lang w:eastAsia="zh-CN"/>
              </w:rPr>
            </w:pPr>
            <w:r>
              <w:rPr>
                <w:lang w:eastAsia="zh-CN"/>
              </w:rPr>
              <w:t>We share Apple’s view, the type 1 HARQ codebook should not be subject to the DCI decoding.</w:t>
            </w:r>
          </w:p>
        </w:tc>
      </w:tr>
    </w:tbl>
    <w:p w14:paraId="4237E162" w14:textId="77777777" w:rsidR="00F3064A" w:rsidRPr="00432451"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w:t>
      </w:r>
      <w:proofErr w:type="gramStart"/>
      <w:r w:rsidRPr="002A1130">
        <w:rPr>
          <w:rFonts w:ascii="Times New Roman" w:eastAsiaTheme="minorEastAsia" w:hAnsi="Times New Roman"/>
          <w:sz w:val="20"/>
          <w:szCs w:val="20"/>
          <w:lang w:eastAsia="zh-CN"/>
        </w:rPr>
        <w:t>OPPO,Samsung</w:t>
      </w:r>
      <w:proofErr w:type="gramEnd"/>
      <w:r w:rsidRPr="002A1130">
        <w:rPr>
          <w:rFonts w:ascii="Times New Roman" w:eastAsiaTheme="minorEastAsia" w:hAnsi="Times New Roman"/>
          <w:sz w:val="20"/>
          <w:szCs w:val="20"/>
          <w:lang w:eastAsia="zh-CN"/>
        </w:rPr>
        <w:t>,Xiaomi]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f0"/>
              <w:numPr>
                <w:ilvl w:val="0"/>
                <w:numId w:val="65"/>
              </w:numPr>
              <w:snapToGrid w:val="0"/>
            </w:pPr>
            <w:r w:rsidRPr="00037CC9">
              <w:rPr>
                <w:rFonts w:ascii="Times New Roman" w:eastAsia="宋体"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7109D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hint="eastAsia"/>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6A99994D" w:rsidR="00BC62A9" w:rsidRDefault="00C51CF8" w:rsidP="00037CC9">
            <w:pPr>
              <w:snapToGrid w:val="0"/>
              <w:ind w:left="360"/>
              <w:rPr>
                <w:lang w:eastAsia="zh-CN"/>
              </w:rPr>
            </w:pPr>
            <w:r>
              <w:rPr>
                <w:rFonts w:hint="eastAsia"/>
                <w:lang w:eastAsia="zh-CN"/>
              </w:rPr>
              <w:t>CATT</w:t>
            </w:r>
            <w:r w:rsidR="00B679B0">
              <w:rPr>
                <w:lang w:eastAsia="zh-CN"/>
              </w:rPr>
              <w:t xml:space="preserve">, </w:t>
            </w:r>
            <w:proofErr w:type="spellStart"/>
            <w:r w:rsidR="00B679B0">
              <w:rPr>
                <w:lang w:eastAsia="zh-CN"/>
              </w:rPr>
              <w:t>Sony</w:t>
            </w:r>
            <w:r w:rsidR="008F2F0F">
              <w:rPr>
                <w:lang w:eastAsia="zh-CN"/>
              </w:rPr>
              <w:t>,vivo</w:t>
            </w:r>
            <w:proofErr w:type="spellEnd"/>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77777777" w:rsidR="00BC62A9" w:rsidRDefault="00BC62A9" w:rsidP="00037CC9">
            <w:pPr>
              <w:snapToGrid w:val="0"/>
              <w:ind w:left="360"/>
            </w:pP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4BE9F406" w:rsidR="00BC62A9" w:rsidRDefault="004B6F64" w:rsidP="00037CC9">
            <w:pPr>
              <w:snapToGrid w:val="0"/>
              <w:ind w:left="360"/>
              <w:rPr>
                <w:rFonts w:hint="eastAsia"/>
                <w:lang w:eastAsia="zh-CN"/>
              </w:rPr>
            </w:pPr>
            <w:r>
              <w:rPr>
                <w:rFonts w:hint="eastAsia"/>
                <w:lang w:eastAsia="zh-CN"/>
              </w:rPr>
              <w:t>X</w:t>
            </w:r>
            <w:r>
              <w:rPr>
                <w:lang w:eastAsia="zh-CN"/>
              </w:rPr>
              <w:t>iaomi</w:t>
            </w:r>
            <w:bookmarkStart w:id="10" w:name="_GoBack"/>
            <w:bookmarkEnd w:id="10"/>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1071EAB6" w:rsidR="00BC62A9" w:rsidRDefault="00037CC9" w:rsidP="00037CC9">
            <w:pPr>
              <w:snapToGrid w:val="0"/>
              <w:ind w:left="360"/>
            </w:pPr>
            <w:r>
              <w:t>Apple</w:t>
            </w:r>
            <w:r w:rsidR="00F07E8A">
              <w:t>, APT</w:t>
            </w:r>
            <w:r w:rsidR="00B679B0">
              <w:t>, Sony</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4DA9C1C6" w:rsidR="0093542A" w:rsidRDefault="00037CC9" w:rsidP="00037CC9">
            <w:pPr>
              <w:snapToGrid w:val="0"/>
              <w:ind w:left="360"/>
            </w:pPr>
            <w:r>
              <w:t>Apple</w:t>
            </w:r>
            <w:r w:rsidR="00F07E8A">
              <w:t>, APT</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lastRenderedPageBreak/>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w:t>
            </w:r>
            <w:proofErr w:type="spellStart"/>
            <w:r w:rsidRPr="00B679B0">
              <w:t>ack</w:t>
            </w:r>
            <w:proofErr w:type="spellEnd"/>
            <w:r w:rsidRPr="00B679B0">
              <w:t>/</w:t>
            </w:r>
            <w:proofErr w:type="spellStart"/>
            <w:r w:rsidRPr="00B679B0">
              <w:t>nack</w:t>
            </w:r>
            <w:proofErr w:type="spellEnd"/>
            <w:r w:rsidRPr="00B679B0">
              <w:t xml:space="preserve">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ae"/>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e"/>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 xml:space="preserve">1 company [Qualcomm] thinks existing restriction should be removed to avoid the ambiguity of time when the first PUSCH ends, and to enable back to back </w:t>
      </w:r>
      <w:r w:rsidR="000B1737" w:rsidRPr="00BA7EEC">
        <w:rPr>
          <w:color w:val="000000"/>
          <w:lang w:val="en-US" w:eastAsia="zh-CN"/>
        </w:rPr>
        <w:lastRenderedPageBreak/>
        <w:t>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bl>
    <w:p w14:paraId="31AE1310" w14:textId="77777777" w:rsidR="00AC7951" w:rsidRPr="00AC7951" w:rsidRDefault="00AC7951"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lastRenderedPageBreak/>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7109D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7109D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 xml:space="preserve">the MAC CE with disabled or enabled HARQ feedback can be left to </w:t>
            </w:r>
            <w:proofErr w:type="spellStart"/>
            <w:r w:rsidR="009212D6">
              <w:rPr>
                <w:rFonts w:eastAsiaTheme="minorEastAsia"/>
                <w:lang w:eastAsia="zh-CN"/>
              </w:rPr>
              <w:t>gNB</w:t>
            </w:r>
            <w:proofErr w:type="spellEnd"/>
            <w:r w:rsidR="009212D6">
              <w:rPr>
                <w:rFonts w:eastAsiaTheme="minorEastAsia"/>
                <w:lang w:eastAsia="zh-CN"/>
              </w:rPr>
              <w:t>.</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lastRenderedPageBreak/>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lastRenderedPageBreak/>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f0"/>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f0"/>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lastRenderedPageBreak/>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lastRenderedPageBreak/>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f0"/>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lastRenderedPageBreak/>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BF6787" w:rsidP="00764EA0">
            <w:pPr>
              <w:snapToGrid w:val="0"/>
              <w:spacing w:after="0"/>
              <w:jc w:val="center"/>
              <w:rPr>
                <w:lang w:eastAsia="x-none"/>
              </w:rPr>
            </w:pPr>
            <w:hyperlink r:id="rId22"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e"/>
              <w:numPr>
                <w:ilvl w:val="0"/>
                <w:numId w:val="50"/>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lastRenderedPageBreak/>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BF6787" w:rsidP="004A170E">
            <w:pPr>
              <w:pStyle w:val="aff6"/>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lastRenderedPageBreak/>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lastRenderedPageBreak/>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f0"/>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aff0"/>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lastRenderedPageBreak/>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lastRenderedPageBreak/>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6"/>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f0"/>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 xml:space="preserve">for PDSCH : </w:t>
            </w:r>
          </w:p>
          <w:p w14:paraId="5F598771" w14:textId="454C408D"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 xml:space="preserve">HARQ-ACK information based on a reception outcome of a corresponding TB for the HARQ </w:t>
            </w:r>
            <w:r w:rsidRPr="002F09DC">
              <w:rPr>
                <w:rFonts w:ascii="Times New Roman" w:hAnsi="Times New Roman"/>
                <w:sz w:val="20"/>
                <w:szCs w:val="20"/>
              </w:rPr>
              <w:lastRenderedPageBreak/>
              <w:t>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aff0"/>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lastRenderedPageBreak/>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BF6787" w:rsidP="00764EA0">
            <w:pPr>
              <w:snapToGrid w:val="0"/>
              <w:spacing w:after="0"/>
              <w:jc w:val="center"/>
            </w:pPr>
            <w:hyperlink r:id="rId23"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lastRenderedPageBreak/>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BF6787"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BF6787"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BF6787"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BF6787"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okia, Frank" w:date="2021-05-20T00:53:00Z" w:initials="FF">
    <w:p w14:paraId="3BD1E3D1" w14:textId="30A1E86F" w:rsidR="00037CC9" w:rsidRDefault="00037CC9">
      <w:pPr>
        <w:pStyle w:val="a7"/>
      </w:pPr>
      <w:r>
        <w:rPr>
          <w:rStyle w:val="afd"/>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a7"/>
        <w:rPr>
          <w:lang w:eastAsia="zh-CN"/>
        </w:rPr>
      </w:pPr>
      <w:r>
        <w:rPr>
          <w:rStyle w:val="afd"/>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a7"/>
      </w:pPr>
      <w:r>
        <w:rPr>
          <w:rStyle w:val="afd"/>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a7"/>
      </w:pPr>
      <w:r>
        <w:rPr>
          <w:rStyle w:val="afd"/>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a7"/>
      </w:pPr>
      <w:r>
        <w:rPr>
          <w:rStyle w:val="afd"/>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53830" w14:textId="77777777" w:rsidR="00BF6787" w:rsidRDefault="00BF6787">
      <w:pPr>
        <w:spacing w:after="0"/>
      </w:pPr>
      <w:r>
        <w:separator/>
      </w:r>
    </w:p>
  </w:endnote>
  <w:endnote w:type="continuationSeparator" w:id="0">
    <w:p w14:paraId="796CF330" w14:textId="77777777" w:rsidR="00BF6787" w:rsidRDefault="00BF6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037CC9" w:rsidRDefault="00037CC9">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037CC9" w:rsidRDefault="00037CC9">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7DB0916B" w:rsidR="00037CC9" w:rsidRDefault="00037CC9">
    <w:pPr>
      <w:pStyle w:val="af1"/>
      <w:ind w:right="360"/>
    </w:pPr>
    <w:r>
      <w:rPr>
        <w:rStyle w:val="af9"/>
      </w:rPr>
      <w:fldChar w:fldCharType="begin"/>
    </w:r>
    <w:r>
      <w:rPr>
        <w:rStyle w:val="af9"/>
      </w:rPr>
      <w:instrText xml:space="preserve"> PAGE </w:instrText>
    </w:r>
    <w:r>
      <w:rPr>
        <w:rStyle w:val="af9"/>
      </w:rPr>
      <w:fldChar w:fldCharType="separate"/>
    </w:r>
    <w:r w:rsidR="004B6F64">
      <w:rPr>
        <w:rStyle w:val="af9"/>
        <w:noProof/>
      </w:rPr>
      <w:t>26</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4B6F64">
      <w:rPr>
        <w:rStyle w:val="af9"/>
        <w:noProof/>
      </w:rPr>
      <w:t>44</w:t>
    </w:r>
    <w:r>
      <w:rPr>
        <w:rStyle w:val="af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79A84" w14:textId="77777777" w:rsidR="00BF6787" w:rsidRDefault="00BF6787">
      <w:pPr>
        <w:spacing w:after="0"/>
      </w:pPr>
      <w:r>
        <w:separator/>
      </w:r>
    </w:p>
  </w:footnote>
  <w:footnote w:type="continuationSeparator" w:id="0">
    <w:p w14:paraId="48ACA362" w14:textId="77777777" w:rsidR="00BF6787" w:rsidRDefault="00BF678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E476DDF-1D75-4F0E-B789-2ECEA96F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44</Pages>
  <Words>16881</Words>
  <Characters>96227</Characters>
  <Application>Microsoft Office Word</Application>
  <DocSecurity>0</DocSecurity>
  <Lines>801</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Microsoft</cp:lastModifiedBy>
  <cp:revision>5</cp:revision>
  <cp:lastPrinted>2011-11-09T07:49:00Z</cp:lastPrinted>
  <dcterms:created xsi:type="dcterms:W3CDTF">2021-05-24T08:56:00Z</dcterms:created>
  <dcterms:modified xsi:type="dcterms:W3CDTF">2021-05-24T09:04:00Z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