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E9962C4"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7"/>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7"/>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7"/>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527C7C"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6pt;mso-width-percent:0;mso-height-percent:0;mso-width-percent:0;mso-height-percent:0" o:ole="">
                  <v:imagedata r:id="rId14" o:title=""/>
                </v:shape>
                <o:OLEObject Type="Embed" ProgID="Visio.Drawing.15" ShapeID="_x0000_i1025" DrawAspect="Content" ObjectID="_1683142791"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527C7C" w:rsidP="00C6251F">
            <w:pPr>
              <w:spacing w:after="120"/>
              <w:contextualSpacing/>
              <w:jc w:val="both"/>
              <w:rPr>
                <w:rFonts w:ascii="Times" w:eastAsiaTheme="minorEastAsia" w:hAnsi="Times"/>
              </w:rPr>
            </w:pPr>
            <w:r>
              <w:rPr>
                <w:noProof/>
              </w:rPr>
              <w:object w:dxaOrig="27121" w:dyaOrig="9025" w14:anchorId="709D74B5">
                <v:shape id="_x0000_i1026" type="#_x0000_t75" alt="" style="width:414.9pt;height:138.3pt;mso-width-percent:0;mso-height-percent:0;mso-width-percent:0;mso-height-percent:0" o:ole="">
                  <v:imagedata r:id="rId16" o:title=""/>
                </v:shape>
                <o:OLEObject Type="Embed" ProgID="Visio.Drawing.15" ShapeID="_x0000_i1026" DrawAspect="Content" ObjectID="_1683142792"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527C7C"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1pt;height:187.5pt;mso-width-percent:0;mso-height-percent:0;mso-width-percent:0;mso-height-percent:0" o:ole="">
            <v:imagedata r:id="rId18" o:title=""/>
          </v:shape>
          <o:OLEObject Type="Embed" ProgID="Visio.Drawing.15" ShapeID="_x0000_i1027" DrawAspect="Content" ObjectID="_1683142793"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等线" w:hAnsi="Times New Roman"/>
          <w:i/>
          <w:color w:val="000000"/>
          <w:sz w:val="20"/>
          <w:szCs w:val="20"/>
        </w:rPr>
        <w:t xml:space="preserve">L2 is defined as the next uplink symbol with its CP starting </w:t>
      </w:r>
      <w:bookmarkStart w:id="9" w:name="_Hlk45746554"/>
      <w:bookmarkEnd w:id="9"/>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527C7C" w:rsidP="000F1B4D">
            <w:pPr>
              <w:snapToGrid w:val="0"/>
              <w:ind w:left="360"/>
            </w:pPr>
            <w:r>
              <w:rPr>
                <w:noProof/>
              </w:rPr>
              <w:object w:dxaOrig="9649" w:dyaOrig="4813" w14:anchorId="53D4D086">
                <v:shape id="_x0000_i1028" type="#_x0000_t75" alt="" style="width:325.8pt;height:163.25pt;mso-width-percent:0;mso-height-percent:0;mso-width-percent:0;mso-height-percent:0" o:ole="">
                  <v:imagedata r:id="rId18" o:title=""/>
                </v:shape>
                <o:OLEObject Type="Embed" ProgID="Visio.Drawing.15" ShapeID="_x0000_i1028" DrawAspect="Content" ObjectID="_1683142794"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6A3D5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6A3D55">
            <w:pPr>
              <w:jc w:val="center"/>
              <w:rPr>
                <w:b/>
                <w:sz w:val="28"/>
                <w:lang w:eastAsia="zh-CN"/>
              </w:rPr>
            </w:pPr>
            <w:r w:rsidRPr="008D3FED">
              <w:rPr>
                <w:b/>
                <w:sz w:val="22"/>
                <w:lang w:eastAsia="zh-CN"/>
              </w:rPr>
              <w:t>Comments and Views</w:t>
            </w:r>
          </w:p>
        </w:tc>
      </w:tr>
      <w:tr w:rsidR="00BC62A9" w14:paraId="07E915E4"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77777777" w:rsidR="00BC62A9" w:rsidRDefault="00BC62A9" w:rsidP="006A3D5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178F202" w14:textId="77777777" w:rsidR="00BC62A9" w:rsidRDefault="00BC62A9" w:rsidP="006A3D55">
            <w:pPr>
              <w:snapToGrid w:val="0"/>
              <w:ind w:left="360"/>
            </w:pP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6A3D5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6A3D55">
            <w:pPr>
              <w:jc w:val="center"/>
              <w:rPr>
                <w:b/>
                <w:sz w:val="28"/>
                <w:lang w:eastAsia="zh-CN"/>
              </w:rPr>
            </w:pPr>
            <w:r w:rsidRPr="008D3FED">
              <w:rPr>
                <w:b/>
                <w:sz w:val="22"/>
                <w:lang w:eastAsia="zh-CN"/>
              </w:rPr>
              <w:t>Comments and Views</w:t>
            </w:r>
          </w:p>
        </w:tc>
      </w:tr>
      <w:tr w:rsidR="00825000" w14:paraId="5C98325D"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77777777" w:rsidR="00825000" w:rsidRDefault="00825000" w:rsidP="006A3D5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77777777" w:rsidR="00825000" w:rsidRDefault="00825000" w:rsidP="006A3D55">
            <w:pPr>
              <w:snapToGrid w:val="0"/>
              <w:ind w:left="360"/>
            </w:pP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w:t>
      </w:r>
      <w:r>
        <w:rPr>
          <w:rFonts w:eastAsiaTheme="minorEastAsia"/>
          <w:lang w:eastAsia="zh-CN"/>
        </w:rPr>
        <w:lastRenderedPageBreak/>
        <w:t xml:space="preserve">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6A3D5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6A3D55">
            <w:pPr>
              <w:jc w:val="center"/>
              <w:rPr>
                <w:b/>
                <w:sz w:val="28"/>
                <w:lang w:eastAsia="zh-CN"/>
              </w:rPr>
            </w:pPr>
            <w:r w:rsidRPr="008D3FED">
              <w:rPr>
                <w:b/>
                <w:sz w:val="22"/>
                <w:lang w:eastAsia="zh-CN"/>
              </w:rPr>
              <w:t>Comments and Views</w:t>
            </w:r>
          </w:p>
        </w:tc>
      </w:tr>
      <w:tr w:rsidR="00A35491" w14:paraId="17F93084"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7777777" w:rsidR="00A35491" w:rsidRDefault="00A35491" w:rsidP="006A3D5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E2120EE" w14:textId="77777777" w:rsidR="00A35491" w:rsidRDefault="00A35491" w:rsidP="006A3D55">
            <w:pPr>
              <w:snapToGrid w:val="0"/>
              <w:ind w:left="360"/>
            </w:pP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841A0B">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6A3D55">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6A3D55">
            <w:pPr>
              <w:jc w:val="center"/>
              <w:rPr>
                <w:b/>
                <w:sz w:val="22"/>
                <w:lang w:eastAsia="zh-CN"/>
              </w:rPr>
            </w:pPr>
            <w:r>
              <w:rPr>
                <w:b/>
                <w:sz w:val="22"/>
                <w:lang w:eastAsia="zh-CN"/>
              </w:rPr>
              <w:t>Preference</w:t>
            </w:r>
          </w:p>
        </w:tc>
      </w:tr>
      <w:tr w:rsidR="0093542A" w14:paraId="058A8FB1" w14:textId="77777777" w:rsidTr="00841A0B">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6A3D55">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6A3D55">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6A3D55">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6A3D55">
            <w:pPr>
              <w:snapToGrid w:val="0"/>
              <w:ind w:left="360"/>
              <w:rPr>
                <w:lang w:eastAsia="zh-CN"/>
              </w:rPr>
            </w:pPr>
            <w:r>
              <w:rPr>
                <w:rFonts w:hint="eastAsia"/>
                <w:lang w:eastAsia="zh-CN"/>
              </w:rPr>
              <w:t>S</w:t>
            </w:r>
            <w:r>
              <w:rPr>
                <w:lang w:eastAsia="zh-CN"/>
              </w:rPr>
              <w:t>trong concerns</w:t>
            </w:r>
          </w:p>
        </w:tc>
      </w:tr>
      <w:tr w:rsidR="00BC62A9" w14:paraId="506E2E7B" w14:textId="77777777" w:rsidTr="006A3D55">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6A3D55">
            <w:pPr>
              <w:jc w:val="center"/>
              <w:rPr>
                <w:rFonts w:cs="Arial"/>
                <w:lang w:eastAsia="zh-CN"/>
              </w:rPr>
            </w:pPr>
            <w:r>
              <w:rPr>
                <w:rFonts w:cs="Arial" w:hint="eastAsia"/>
                <w:lang w:eastAsia="zh-CN"/>
              </w:rPr>
              <w:lastRenderedPageBreak/>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77777777" w:rsidR="00BC62A9" w:rsidRDefault="00BC62A9" w:rsidP="006A3D55">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6A3D55">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6A3D55">
            <w:pPr>
              <w:snapToGrid w:val="0"/>
              <w:ind w:left="360"/>
            </w:pPr>
          </w:p>
        </w:tc>
      </w:tr>
      <w:tr w:rsidR="00BC62A9" w14:paraId="1F23ECF7" w14:textId="77777777" w:rsidTr="006A3D55">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6A3D55">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77777777" w:rsidR="00BC62A9" w:rsidRDefault="00BC62A9" w:rsidP="006A3D55">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6A3D55">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6A3D55">
            <w:pPr>
              <w:snapToGrid w:val="0"/>
              <w:ind w:left="360"/>
            </w:pPr>
          </w:p>
        </w:tc>
      </w:tr>
      <w:tr w:rsidR="00BC62A9" w14:paraId="331063B6" w14:textId="77777777" w:rsidTr="006A3D55">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6A3D55">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6A3D55">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6A3D55">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77777777" w:rsidR="00BC62A9" w:rsidRDefault="00BC62A9" w:rsidP="006A3D55">
            <w:pPr>
              <w:snapToGrid w:val="0"/>
              <w:ind w:left="360"/>
            </w:pPr>
          </w:p>
        </w:tc>
      </w:tr>
      <w:tr w:rsidR="0093542A" w14:paraId="0F6E5D7E" w14:textId="77777777" w:rsidTr="006A3D55">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6A3D55">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77777777" w:rsidR="0093542A" w:rsidRDefault="0093542A" w:rsidP="006A3D55">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0C203EFC" w14:textId="77777777" w:rsidR="0093542A" w:rsidRDefault="0093542A" w:rsidP="006A3D55">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6A3D55">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6A3D5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6A3D55">
            <w:pPr>
              <w:jc w:val="center"/>
              <w:rPr>
                <w:b/>
                <w:sz w:val="28"/>
                <w:lang w:eastAsia="zh-CN"/>
              </w:rPr>
            </w:pPr>
            <w:r w:rsidRPr="008D3FED">
              <w:rPr>
                <w:b/>
                <w:sz w:val="22"/>
                <w:lang w:eastAsia="zh-CN"/>
              </w:rPr>
              <w:t>Comments and Views</w:t>
            </w:r>
          </w:p>
        </w:tc>
      </w:tr>
      <w:tr w:rsidR="00ED7DDA" w14:paraId="562F77F0" w14:textId="77777777" w:rsidTr="006A3D5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77777777" w:rsidR="00ED7DDA" w:rsidRDefault="00ED7DDA" w:rsidP="006A3D5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D04A4B5" w14:textId="77777777" w:rsidR="00ED7DDA" w:rsidRDefault="00ED7DDA" w:rsidP="006A3D55">
            <w:pPr>
              <w:snapToGrid w:val="0"/>
              <w:ind w:left="360"/>
            </w:pP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E4D9C85" w:rsidR="00AC7951" w:rsidRDefault="00AC7951" w:rsidP="00482827">
            <w:pPr>
              <w:jc w:val="center"/>
              <w:rPr>
                <w:rFonts w:cs="Arial"/>
              </w:rPr>
            </w:pPr>
          </w:p>
        </w:tc>
        <w:tc>
          <w:tcPr>
            <w:tcW w:w="7116" w:type="dxa"/>
            <w:tcBorders>
              <w:top w:val="single" w:sz="4" w:space="0" w:color="auto"/>
              <w:left w:val="single" w:sz="4" w:space="0" w:color="auto"/>
              <w:bottom w:val="single" w:sz="4" w:space="0" w:color="auto"/>
              <w:right w:val="single" w:sz="4" w:space="0" w:color="auto"/>
            </w:tcBorders>
            <w:vAlign w:val="center"/>
          </w:tcPr>
          <w:p w14:paraId="469BC346" w14:textId="55E71CED" w:rsidR="00AC7951" w:rsidRDefault="00AC7951" w:rsidP="00482827">
            <w:pPr>
              <w:snapToGrid w:val="0"/>
              <w:ind w:left="360"/>
            </w:pP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6A3D55">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6A3D55">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6A3D55">
            <w:pPr>
              <w:jc w:val="center"/>
              <w:rPr>
                <w:b/>
                <w:sz w:val="28"/>
                <w:lang w:eastAsia="zh-CN"/>
              </w:rPr>
            </w:pPr>
            <w:r w:rsidRPr="008D3FED">
              <w:rPr>
                <w:b/>
                <w:sz w:val="22"/>
                <w:lang w:eastAsia="zh-CN"/>
              </w:rPr>
              <w:t>Comments and Views</w:t>
            </w:r>
          </w:p>
        </w:tc>
      </w:tr>
      <w:tr w:rsidR="00902544" w14:paraId="39EE9417" w14:textId="77777777" w:rsidTr="006A3D55">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77777777" w:rsidR="00902544" w:rsidRDefault="00902544" w:rsidP="006A3D55">
            <w:pPr>
              <w:jc w:val="center"/>
              <w:rPr>
                <w:rFonts w:cs="Arial"/>
              </w:rPr>
            </w:pP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77777777" w:rsidR="00902544" w:rsidRDefault="00902544" w:rsidP="006A3D55">
            <w:pPr>
              <w:snapToGrid w:val="0"/>
              <w:ind w:left="360"/>
            </w:pP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bookmarkStart w:id="10" w:name="_GoBack"/>
      <w:bookmarkEnd w:id="10"/>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lastRenderedPageBreak/>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 xml:space="preserve">The value of C-DAI in a DCI format denotes the accumulative number of {serving cell, PDCCH monitoring occasion}-pair(s) in which PDSCH reception(s) with enabled HARQ or SPS PDSCH release associated with the </w:t>
            </w:r>
            <w:r w:rsidRPr="002F09DC">
              <w:rPr>
                <w:rFonts w:ascii="Times New Roman" w:hAnsi="Times New Roman"/>
                <w:sz w:val="20"/>
                <w:szCs w:val="20"/>
                <w:lang w:val="en-GB"/>
              </w:rPr>
              <w:lastRenderedPageBreak/>
              <w:t>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lastRenderedPageBreak/>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lastRenderedPageBreak/>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lastRenderedPageBreak/>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3A679B"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等线"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等线" w:hAnsi="Times New Roman"/>
                <w:szCs w:val="20"/>
                <w:lang w:eastAsia="zh-CN"/>
              </w:rPr>
            </w:pPr>
            <w:r w:rsidRPr="002F09DC">
              <w:rPr>
                <w:rFonts w:ascii="Times New Roman" w:eastAsia="等线" w:hAnsi="Times New Roman"/>
                <w:szCs w:val="20"/>
                <w:lang w:eastAsia="zh-CN"/>
              </w:rPr>
              <w:lastRenderedPageBreak/>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等线"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If 32 HARQ processes are configured, the size of the HARQ process ID field in DCI </w:t>
              </w:r>
              <w:r w:rsidR="004A170E" w:rsidRPr="002F09DC">
                <w:rPr>
                  <w:rStyle w:val="af6"/>
                  <w:rFonts w:ascii="Times New Roman" w:hAnsi="Times New Roman" w:cs="Times New Roman"/>
                  <w:b w:val="0"/>
                  <w:noProof/>
                  <w:sz w:val="20"/>
                  <w:szCs w:val="20"/>
                </w:rPr>
                <w:lastRenderedPageBreak/>
                <w:t>0_1/1_1 is 5 bits.</w:t>
              </w:r>
            </w:hyperlink>
          </w:p>
          <w:p w14:paraId="01F12E74"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3A679B"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lastRenderedPageBreak/>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lastRenderedPageBreak/>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lastRenderedPageBreak/>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lastRenderedPageBreak/>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lastRenderedPageBreak/>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lastRenderedPageBreak/>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3A679B"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lastRenderedPageBreak/>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3A679B"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3A679B"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3A679B"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3A679B"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482827" w:rsidRDefault="00482827">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482827" w:rsidRDefault="00482827">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482827" w:rsidRDefault="00482827" w:rsidP="00AC0360">
      <w:pPr>
        <w:pStyle w:val="a7"/>
      </w:pPr>
      <w:r>
        <w:rPr>
          <w:rStyle w:val="af7"/>
        </w:rPr>
        <w:annotationRef/>
      </w:r>
      <w:r>
        <w:rPr>
          <w:iCs/>
          <w:lang w:eastAsia="zh-CN"/>
        </w:rPr>
        <w:t>The bit field of TPC command for PUCCH/PUSCH could be considered</w:t>
      </w:r>
    </w:p>
  </w:comment>
  <w:comment w:id="5" w:author="CAICT" w:date="2021-05-20T21:39:00Z" w:initials="CAICT">
    <w:p w14:paraId="2ED6A63C" w14:textId="77777777" w:rsidR="00482827" w:rsidRDefault="00482827" w:rsidP="00AC0360">
      <w:pPr>
        <w:pStyle w:val="a7"/>
      </w:pPr>
      <w:r>
        <w:rPr>
          <w:rStyle w:val="af7"/>
        </w:rPr>
        <w:annotationRef/>
      </w:r>
      <w:r>
        <w:rPr>
          <w:iCs/>
          <w:lang w:eastAsia="zh-CN"/>
        </w:rPr>
        <w:t>The bit field of TPC command for PUCCH/PUSCH could be considered</w:t>
      </w:r>
    </w:p>
  </w:comment>
  <w:comment w:id="6" w:author="Nokia, Frank" w:date="2021-05-20T00:54:00Z" w:initials="FF">
    <w:p w14:paraId="1EDFC73B" w14:textId="153F04BB" w:rsidR="00482827" w:rsidRDefault="00482827">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482827" w:rsidRDefault="00482827">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E8BE" w14:textId="77777777" w:rsidR="003A679B" w:rsidRDefault="003A679B">
      <w:pPr>
        <w:spacing w:after="0"/>
      </w:pPr>
      <w:r>
        <w:separator/>
      </w:r>
    </w:p>
  </w:endnote>
  <w:endnote w:type="continuationSeparator" w:id="0">
    <w:p w14:paraId="3B41C6E3" w14:textId="77777777" w:rsidR="003A679B" w:rsidRDefault="003A6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82827" w:rsidRDefault="00482827">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482827" w:rsidRDefault="0048282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F46FCB9" w:rsidR="00482827" w:rsidRDefault="00482827">
    <w:pPr>
      <w:pStyle w:val="ae"/>
      <w:ind w:right="360"/>
    </w:pPr>
    <w:r>
      <w:rPr>
        <w:rStyle w:val="af3"/>
      </w:rPr>
      <w:fldChar w:fldCharType="begin"/>
    </w:r>
    <w:r>
      <w:rPr>
        <w:rStyle w:val="af3"/>
      </w:rPr>
      <w:instrText xml:space="preserve"> PAGE </w:instrText>
    </w:r>
    <w:r>
      <w:rPr>
        <w:rStyle w:val="af3"/>
      </w:rPr>
      <w:fldChar w:fldCharType="separate"/>
    </w:r>
    <w:r w:rsidR="0069184A">
      <w:rPr>
        <w:rStyle w:val="af3"/>
        <w:noProof/>
      </w:rPr>
      <w:t>35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9184A">
      <w:rPr>
        <w:rStyle w:val="af3"/>
        <w:noProof/>
      </w:rPr>
      <w:t>41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8C4FC" w14:textId="77777777" w:rsidR="003A679B" w:rsidRDefault="003A679B">
      <w:pPr>
        <w:spacing w:after="0"/>
      </w:pPr>
      <w:r>
        <w:separator/>
      </w:r>
    </w:p>
  </w:footnote>
  <w:footnote w:type="continuationSeparator" w:id="0">
    <w:p w14:paraId="46A83358" w14:textId="77777777" w:rsidR="003A679B" w:rsidRDefault="003A67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82827" w:rsidRDefault="004828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71C054D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4D6B29-CBDC-494E-9CCB-9698880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41</Pages>
  <Words>15843</Words>
  <Characters>90306</Characters>
  <Application>Microsoft Office Word</Application>
  <DocSecurity>0</DocSecurity>
  <Lines>752</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ZTE</cp:lastModifiedBy>
  <cp:revision>108</cp:revision>
  <cp:lastPrinted>2011-11-09T07:49:00Z</cp:lastPrinted>
  <dcterms:created xsi:type="dcterms:W3CDTF">2021-05-21T07:18:00Z</dcterms:created>
  <dcterms:modified xsi:type="dcterms:W3CDTF">2021-05-21T14:53:00Z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