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proofErr w:type="spellStart"/>
            <w:r>
              <w:rPr>
                <w:rFonts w:eastAsia="SimSun" w:hint="eastAsia"/>
              </w:rPr>
              <w:t>S</w:t>
            </w:r>
            <w:r>
              <w:rPr>
                <w:rFonts w:eastAsia="SimSun"/>
              </w:rPr>
              <w:t>preadtrum</w:t>
            </w:r>
            <w:proofErr w:type="spellEnd"/>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SimSun"/>
              </w:rPr>
            </w:pPr>
            <w:r>
              <w:rPr>
                <w:rFonts w:eastAsia="SimSun"/>
              </w:rPr>
              <w:t>Sony</w:t>
            </w:r>
          </w:p>
        </w:tc>
        <w:tc>
          <w:tcPr>
            <w:tcW w:w="7560" w:type="dxa"/>
          </w:tcPr>
          <w:p w14:paraId="1733E4D6" w14:textId="7480A6A7" w:rsidR="008839F8" w:rsidRDefault="008839F8" w:rsidP="00CA21FD">
            <w:pPr>
              <w:pStyle w:val="BodyText"/>
              <w:spacing w:after="0"/>
              <w:ind w:right="27"/>
              <w:rPr>
                <w:rFonts w:eastAsia="SimSun"/>
                <w:iCs/>
                <w:lang w:val="en-US"/>
              </w:rPr>
            </w:pPr>
            <w:r>
              <w:rPr>
                <w:rFonts w:eastAsia="SimSun"/>
                <w:iCs/>
                <w:lang w:val="en-US"/>
              </w:rPr>
              <w:t>We are okay with this proposal.</w:t>
            </w:r>
            <w:bookmarkStart w:id="40" w:name="_GoBack"/>
            <w:bookmarkEnd w:id="40"/>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1"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lastRenderedPageBreak/>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2"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2"/>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3"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3"/>
          </w:p>
          <w:p w14:paraId="167BDADB" w14:textId="77777777" w:rsidR="00B63F3D" w:rsidRDefault="00C25C6E">
            <w:pPr>
              <w:pStyle w:val="Caption"/>
            </w:pPr>
            <w:bookmarkStart w:id="44" w:name="_Ref68190188"/>
            <w:bookmarkStart w:id="45"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4"/>
            <w:r>
              <w:t xml:space="preserve"> </w:t>
            </w:r>
            <w:bookmarkEnd w:id="45"/>
          </w:p>
          <w:p w14:paraId="2887C306" w14:textId="77777777" w:rsidR="00B63F3D" w:rsidRDefault="00C25C6E">
            <w:pPr>
              <w:pStyle w:val="Caption"/>
              <w:rPr>
                <w:b w:val="0"/>
                <w:sz w:val="20"/>
                <w:szCs w:val="20"/>
                <w:lang w:eastAsia="zh-CN"/>
              </w:rPr>
            </w:pPr>
            <w:bookmarkStart w:id="46"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6"/>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7" w:name="_Hlk71624566"/>
            <w:r>
              <w:rPr>
                <w:rFonts w:eastAsia="SimSun"/>
                <w:b/>
                <w:i/>
                <w:lang w:eastAsia="en-US"/>
              </w:rPr>
              <w:t>Proposal 2:</w:t>
            </w:r>
            <w:r>
              <w:rPr>
                <w:rFonts w:eastAsia="SimSun"/>
                <w:i/>
                <w:lang w:eastAsia="en-US"/>
              </w:rPr>
              <w:t xml:space="preserve"> All REs within each RB are mapped for enhanced PUCCH format 0/1/4.</w:t>
            </w:r>
            <w:bookmarkEnd w:id="47"/>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lastRenderedPageBreak/>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 xml:space="preserve">Alt-1: Intel, ZTE, Nokia, LGE, Huawei, Apple, Samsung, WILUS, </w:t>
      </w:r>
      <w:proofErr w:type="spellStart"/>
      <w:r>
        <w:t>Spreadtrum</w:t>
      </w:r>
      <w:proofErr w:type="spellEnd"/>
      <w:r>
        <w:t>,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lastRenderedPageBreak/>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 xml:space="preserve">Alt-2 is not preferred due to additional </w:t>
      </w:r>
      <w:proofErr w:type="spellStart"/>
      <w:r>
        <w:t>signaling</w:t>
      </w:r>
      <w:proofErr w:type="spellEnd"/>
      <w:r>
        <w:t xml:space="preserve">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1"/>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8" w:name="_Toc62396102"/>
      <w:bookmarkStart w:id="49" w:name="_Toc69069517"/>
      <w:bookmarkStart w:id="50" w:name="_Toc71910527"/>
      <w:bookmarkStart w:id="51" w:name="_Hlk62139257"/>
      <w:r>
        <w:t>2.3.1</w:t>
      </w:r>
      <w:r>
        <w:tab/>
        <w:t>&lt;1st Round Comments&gt;</w:t>
      </w:r>
      <w:bookmarkEnd w:id="48"/>
      <w:bookmarkEnd w:id="49"/>
      <w:bookmarkEnd w:id="50"/>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lastRenderedPageBreak/>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1"/>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lastRenderedPageBreak/>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lastRenderedPageBreak/>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2"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lastRenderedPageBreak/>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proofErr w:type="spellStart"/>
            <w:r>
              <w:rPr>
                <w:rFonts w:ascii="Arial" w:hAnsi="Arial"/>
                <w:lang w:val="en-US" w:eastAsia="zh-CN"/>
              </w:rPr>
              <w:t>Futurewei</w:t>
            </w:r>
            <w:proofErr w:type="spellEnd"/>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 xml:space="preserve">We think that Alt 2 have additional implantation impact for the UE and 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8839F8">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8839F8">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 xml:space="preserve">Intel, LG, Nokia,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xml:space="preserve">, Apple, Lenovo, Qualcomm, Interdigital, Samsung, NTT DOCOMO, ZTE, </w:t>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proofErr w:type="spellStart"/>
            <w:r>
              <w:rPr>
                <w:rFonts w:eastAsia="SimSun" w:hint="eastAsia"/>
              </w:rPr>
              <w:t>S</w:t>
            </w:r>
            <w:r>
              <w:rPr>
                <w:rFonts w:eastAsia="SimSun"/>
              </w:rPr>
              <w:t>preadtrum</w:t>
            </w:r>
            <w:proofErr w:type="spellEnd"/>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bl>
    <w:p w14:paraId="5EE393F9" w14:textId="77777777" w:rsidR="00B63F3D" w:rsidRDefault="00B63F3D"/>
    <w:p w14:paraId="5BB0AC1E" w14:textId="77777777" w:rsidR="00B63F3D" w:rsidRDefault="00C25C6E">
      <w:pPr>
        <w:pStyle w:val="Heading1"/>
      </w:pPr>
      <w:r>
        <w:lastRenderedPageBreak/>
        <w:t>3</w:t>
      </w:r>
      <w:r>
        <w:tab/>
        <w:t>Sequence Construction for Enhanced PF0/1</w:t>
      </w:r>
      <w:bookmarkEnd w:id="52"/>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3"/>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lastRenderedPageBreak/>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4" w:name="_Hlk71553777"/>
            <w:r>
              <w:rPr>
                <w:i/>
                <w:lang w:val="en-US"/>
              </w:rPr>
              <w:t xml:space="preserve"> should be supported as the PUCCH format 0/1 base sequence design with multiple RBs</w:t>
            </w:r>
            <w:bookmarkEnd w:id="54"/>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t>Nokia</w:t>
            </w:r>
          </w:p>
        </w:tc>
        <w:tc>
          <w:tcPr>
            <w:tcW w:w="7560" w:type="dxa"/>
          </w:tcPr>
          <w:p w14:paraId="5A735C13" w14:textId="77777777" w:rsidR="00B63F3D" w:rsidRDefault="00C25C6E">
            <w:pPr>
              <w:spacing w:before="180" w:line="240" w:lineRule="auto"/>
              <w:rPr>
                <w:rFonts w:eastAsia="SimSun"/>
                <w:i/>
                <w:lang w:eastAsia="en-US"/>
              </w:rPr>
            </w:pPr>
            <w:bookmarkStart w:id="55"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5"/>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6"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6"/>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lastRenderedPageBreak/>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t>Alt-1: vivo, Intel, Lenovo(?), CATT, ZTE, NTT DOCOMO, Nokia, OPPO, Apple, Interdigital, MediaTek, Ericsson</w:t>
      </w:r>
    </w:p>
    <w:p w14:paraId="5B6005F2" w14:textId="77777777" w:rsidR="00B63F3D" w:rsidRDefault="00C25C6E">
      <w:pPr>
        <w:pStyle w:val="BodyText"/>
        <w:numPr>
          <w:ilvl w:val="0"/>
          <w:numId w:val="20"/>
        </w:numPr>
        <w:spacing w:after="0"/>
      </w:pPr>
      <w:r>
        <w:t xml:space="preserve">Alt-2: Sony, Qualcomm, LGE, Samsung, WILUS, </w:t>
      </w:r>
      <w:proofErr w:type="spellStart"/>
      <w:r>
        <w:t>Spreadtrum</w:t>
      </w:r>
      <w:proofErr w:type="spellEnd"/>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lastRenderedPageBreak/>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Improved coverage vs. Alt-1 for 120 kHz SCS in US/SK for 12</w:t>
      </w:r>
      <w:proofErr w:type="gramStart"/>
      <w:r>
        <w:t xml:space="preserve"> ..</w:t>
      </w:r>
      <w:proofErr w:type="gramEnd"/>
      <w:r>
        <w:t xml:space="preserve">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 xml:space="preserve">Support Alt-1. User multiplexing with misaligned RB allocations can be solved by sub-PRB interlaced mapping. Taking the following figure as an example, assuming </w:t>
            </w:r>
            <w:r>
              <w:rPr>
                <w:rFonts w:ascii="Times New Roman" w:eastAsia="SimSun" w:hAnsi="Times New Roman"/>
                <w:color w:val="000000" w:themeColor="text1"/>
              </w:rPr>
              <w:lastRenderedPageBreak/>
              <w:t>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C25C6E">
            <w:pPr>
              <w:pStyle w:val="BodyText"/>
              <w:spacing w:after="0"/>
              <w:rPr>
                <w:sz w:val="20"/>
                <w:szCs w:val="20"/>
                <w:lang w:val="de-DE"/>
              </w:rPr>
            </w:pPr>
            <w:r>
              <w:rPr>
                <w:rFonts w:eastAsiaTheme="minorEastAsia"/>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79.5pt" o:ole="">
                  <v:imagedata r:id="rId17" o:title=""/>
                </v:shape>
                <o:OLEObject Type="Embed" ProgID="Visio.Drawing.15" ShapeID="_x0000_i1025" DrawAspect="Content" ObjectID="_1683549580"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lastRenderedPageBreak/>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60" w:name="_Toc71910530"/>
      <w:bookmarkStart w:id="61" w:name="_Toc69069530"/>
      <w:bookmarkStart w:id="62"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lastRenderedPageBreak/>
        <w:t>4</w:t>
      </w:r>
      <w:r>
        <w:tab/>
        <w:t>Rate matching for enhanced PF4</w:t>
      </w:r>
      <w:bookmarkEnd w:id="60"/>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3" w:name="_Toc71910531"/>
      <w:r>
        <w:t>4.1</w:t>
      </w:r>
      <w:r>
        <w:tab/>
        <w:t>&lt;1</w:t>
      </w:r>
      <w:r>
        <w:rPr>
          <w:vertAlign w:val="superscript"/>
        </w:rPr>
        <w:t>st</w:t>
      </w:r>
      <w:r>
        <w:t xml:space="preserve"> Round Comments&gt;</w:t>
      </w:r>
      <w:bookmarkEnd w:id="63"/>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4"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1:We</w:t>
            </w:r>
            <w:proofErr w:type="gramEnd"/>
            <w:r>
              <w:rPr>
                <w:rFonts w:eastAsia="SimSun" w:hint="eastAsia"/>
                <w:sz w:val="20"/>
                <w:szCs w:val="20"/>
                <w:lang w:val="en-US"/>
              </w:rPr>
              <w:t xml:space="preserv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2:We</w:t>
            </w:r>
            <w:proofErr w:type="gramEnd"/>
            <w:r>
              <w:rPr>
                <w:rFonts w:eastAsia="SimSun" w:hint="eastAsia"/>
                <w:sz w:val="20"/>
                <w:szCs w:val="20"/>
                <w:lang w:val="en-US"/>
              </w:rPr>
              <w:t xml:space="preserv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lastRenderedPageBreak/>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7"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7"/>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8"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8"/>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80" w:name="p2"/>
            <w:r>
              <w:rPr>
                <w:b/>
                <w:bCs/>
              </w:rPr>
              <w:t>Proposal 3: RAN1 should re-design common PUCCH resource set to support both legacy and wide-band PUCCH.</w:t>
            </w:r>
            <w:bookmarkEnd w:id="80"/>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lastRenderedPageBreak/>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lastRenderedPageBreak/>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1" w:name="_Ref70518215"/>
      <w:r>
        <w:t>Figure</w:t>
      </w:r>
      <w:bookmarkEnd w:id="81"/>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lastRenderedPageBreak/>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t>Since this is a new topic, a number of questions are posed in the following sub-sections to try to structure the discussion.</w:t>
      </w:r>
    </w:p>
    <w:p w14:paraId="766F0B26" w14:textId="77777777" w:rsidR="00B63F3D" w:rsidRDefault="00C25C6E">
      <w:pPr>
        <w:pStyle w:val="Heading2"/>
        <w:ind w:right="27"/>
      </w:pPr>
      <w:bookmarkStart w:id="82" w:name="_Toc71910533"/>
      <w:r>
        <w:t>5.1</w:t>
      </w:r>
      <w:r>
        <w:tab/>
        <w:t>Indication of Number of RBs</w:t>
      </w:r>
      <w:bookmarkEnd w:id="82"/>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3" w:name="_Toc71910534"/>
      <w:r>
        <w:t>5.1.1</w:t>
      </w:r>
      <w:r>
        <w:tab/>
        <w:t>&lt;1st Round Comments&gt;</w:t>
      </w:r>
      <w:bookmarkEnd w:id="83"/>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4"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With regard to Samsung’s question, </w:t>
            </w:r>
            <w:proofErr w:type="gramStart"/>
            <w:r>
              <w:rPr>
                <w:rFonts w:eastAsia="SimSun"/>
                <w:sz w:val="20"/>
                <w:szCs w:val="20"/>
                <w:lang w:val="en-US"/>
              </w:rPr>
              <w:t>We</w:t>
            </w:r>
            <w:proofErr w:type="gramEnd"/>
            <w:r>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lastRenderedPageBreak/>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lastRenderedPageBreak/>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bl>
    <w:p w14:paraId="2946F832" w14:textId="77777777"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4"/>
      <w:r>
        <w:t xml:space="preserve"> </w:t>
      </w:r>
    </w:p>
    <w:p w14:paraId="349BACB1" w14:textId="77777777" w:rsidR="00B63F3D" w:rsidRDefault="00C25C6E">
      <w:pPr>
        <w:pStyle w:val="Heading3"/>
        <w:ind w:right="27"/>
      </w:pPr>
      <w:bookmarkStart w:id="85" w:name="_Toc71910536"/>
      <w:r>
        <w:t>5.2.1</w:t>
      </w:r>
      <w:r>
        <w:tab/>
        <w:t>&lt;1</w:t>
      </w:r>
      <w:r>
        <w:rPr>
          <w:vertAlign w:val="superscript"/>
        </w:rPr>
        <w:t>st</w:t>
      </w:r>
      <w:r>
        <w:t xml:space="preserve"> Round Comments&gt;</w:t>
      </w:r>
      <w:bookmarkEnd w:id="85"/>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t>FL Recommendation</w:t>
      </w:r>
    </w:p>
    <w:p w14:paraId="651F3AE2" w14:textId="77777777" w:rsidR="00B63F3D" w:rsidRDefault="00C25C6E">
      <w:pPr>
        <w:pStyle w:val="BodyText"/>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6" w:name="_Toc71910537"/>
      <w:r>
        <w:t>5.3</w:t>
      </w:r>
      <w:r>
        <w:tab/>
        <w:t>Frequency Hopping Distance</w:t>
      </w:r>
      <w:bookmarkEnd w:id="86"/>
      <w:r>
        <w:t xml:space="preserve"> </w:t>
      </w:r>
    </w:p>
    <w:p w14:paraId="2C4C8812" w14:textId="77777777" w:rsidR="00B63F3D" w:rsidRDefault="00C25C6E">
      <w:pPr>
        <w:pStyle w:val="Heading3"/>
        <w:ind w:right="27"/>
      </w:pPr>
      <w:bookmarkStart w:id="87" w:name="_Toc71910538"/>
      <w:r>
        <w:t>5.3.1</w:t>
      </w:r>
      <w:r>
        <w:tab/>
        <w:t>&lt;1st Round Comments&gt;</w:t>
      </w:r>
      <w:bookmarkEnd w:id="87"/>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8" w:name="_Toc71910539"/>
      <w:r>
        <w:t>5.4</w:t>
      </w:r>
      <w:r>
        <w:tab/>
        <w:t>Handling Potential RB Shortage</w:t>
      </w:r>
      <w:bookmarkEnd w:id="88"/>
      <w:r>
        <w:t xml:space="preserve"> </w:t>
      </w:r>
    </w:p>
    <w:p w14:paraId="1ACF576C" w14:textId="77777777" w:rsidR="00B63F3D" w:rsidRDefault="00C25C6E">
      <w:pPr>
        <w:pStyle w:val="Heading3"/>
        <w:ind w:right="27"/>
      </w:pPr>
      <w:bookmarkStart w:id="89" w:name="_Toc71910540"/>
      <w:r>
        <w:t>5.4.1</w:t>
      </w:r>
      <w:r>
        <w:tab/>
        <w:t>&lt;1</w:t>
      </w:r>
      <w:r>
        <w:rPr>
          <w:vertAlign w:val="superscript"/>
        </w:rPr>
        <w:t>st</w:t>
      </w:r>
      <w:r>
        <w:t xml:space="preserve"> Round Comments&gt;</w:t>
      </w:r>
      <w:bookmarkEnd w:id="89"/>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lastRenderedPageBreak/>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77777777" w:rsidR="00B63F3D" w:rsidRDefault="00C25C6E">
      <w:pPr>
        <w:pStyle w:val="BodyText"/>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77777777" w:rsidR="00B63F3D" w:rsidRDefault="00C25C6E">
      <w:pPr>
        <w:pStyle w:val="BodyText"/>
        <w:numPr>
          <w:ilvl w:val="1"/>
          <w:numId w:val="61"/>
        </w:numPr>
        <w:spacing w:after="0"/>
        <w:ind w:right="29"/>
        <w:rPr>
          <w:rFonts w:cs="Arial"/>
          <w:lang w:val="en-US"/>
        </w:rPr>
      </w:pPr>
      <w:r>
        <w:rPr>
          <w:rFonts w:cs="Arial"/>
          <w:lang w:val="en-US"/>
        </w:rPr>
        <w:t>Nokia</w:t>
      </w:r>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90" w:name="_Toc71910541"/>
      <w:r>
        <w:t>References</w:t>
      </w:r>
      <w:bookmarkEnd w:id="65"/>
      <w:bookmarkEnd w:id="66"/>
      <w:bookmarkEnd w:id="67"/>
      <w:bookmarkEnd w:id="68"/>
      <w:bookmarkEnd w:id="69"/>
      <w:bookmarkEnd w:id="70"/>
      <w:bookmarkEnd w:id="71"/>
      <w:bookmarkEnd w:id="72"/>
      <w:bookmarkEnd w:id="73"/>
      <w:bookmarkEnd w:id="74"/>
      <w:bookmarkEnd w:id="90"/>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1" w:name="_Ref8219462"/>
      <w:r>
        <w:rPr>
          <w:rFonts w:ascii="Arial" w:eastAsiaTheme="minorEastAsia" w:hAnsi="Arial" w:cs="Arial"/>
          <w:sz w:val="20"/>
          <w:szCs w:val="20"/>
          <w:lang w:val="en-US" w:eastAsia="zh-CN"/>
        </w:rPr>
        <w:t>RP-202925, “Revised WID on Extending current NR operation to 71 GHz,” CMCC, RAN#90, December 2019.</w:t>
      </w:r>
      <w:bookmarkEnd w:id="91"/>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2"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2"/>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84B8" w14:textId="77777777" w:rsidR="006D72D6" w:rsidRDefault="006D72D6">
      <w:pPr>
        <w:spacing w:after="0" w:line="240" w:lineRule="auto"/>
      </w:pPr>
      <w:r>
        <w:separator/>
      </w:r>
    </w:p>
  </w:endnote>
  <w:endnote w:type="continuationSeparator" w:id="0">
    <w:p w14:paraId="76EB8AAF" w14:textId="77777777" w:rsidR="006D72D6" w:rsidRDefault="006D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2220" w14:textId="77777777" w:rsidR="008839F8" w:rsidRDefault="0088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519B" w14:textId="77777777" w:rsidR="008839F8" w:rsidRDefault="008839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105A" w14:textId="77777777" w:rsidR="008839F8" w:rsidRDefault="0088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7D6C3" w14:textId="77777777" w:rsidR="006D72D6" w:rsidRDefault="006D72D6">
      <w:pPr>
        <w:spacing w:after="0" w:line="240" w:lineRule="auto"/>
      </w:pPr>
      <w:r>
        <w:separator/>
      </w:r>
    </w:p>
  </w:footnote>
  <w:footnote w:type="continuationSeparator" w:id="0">
    <w:p w14:paraId="2B071CD4" w14:textId="77777777" w:rsidR="006D72D6" w:rsidRDefault="006D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B29C" w14:textId="77777777" w:rsidR="008839F8" w:rsidRDefault="008839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F498" w14:textId="77777777" w:rsidR="008839F8" w:rsidRDefault="00883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4CE5" w14:textId="77777777" w:rsidR="008839F8" w:rsidRDefault="00883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5"/>
  </w:num>
  <w:num w:numId="3">
    <w:abstractNumId w:val="6"/>
  </w:num>
  <w:num w:numId="4">
    <w:abstractNumId w:val="18"/>
  </w:num>
  <w:num w:numId="5">
    <w:abstractNumId w:val="16"/>
  </w:num>
  <w:num w:numId="6">
    <w:abstractNumId w:val="41"/>
  </w:num>
  <w:num w:numId="7">
    <w:abstractNumId w:val="0"/>
  </w:num>
  <w:num w:numId="8">
    <w:abstractNumId w:val="56"/>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8"/>
  </w:num>
  <w:num w:numId="18">
    <w:abstractNumId w:val="4"/>
  </w:num>
  <w:num w:numId="19">
    <w:abstractNumId w:val="44"/>
  </w:num>
  <w:num w:numId="20">
    <w:abstractNumId w:val="30"/>
  </w:num>
  <w:num w:numId="21">
    <w:abstractNumId w:val="54"/>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59"/>
  </w:num>
  <w:num w:numId="30">
    <w:abstractNumId w:val="17"/>
  </w:num>
  <w:num w:numId="31">
    <w:abstractNumId w:val="3"/>
  </w:num>
  <w:num w:numId="32">
    <w:abstractNumId w:val="43"/>
  </w:num>
  <w:num w:numId="33">
    <w:abstractNumId w:val="34"/>
  </w:num>
  <w:num w:numId="34">
    <w:abstractNumId w:val="9"/>
  </w:num>
  <w:num w:numId="35">
    <w:abstractNumId w:val="21"/>
  </w:num>
  <w:num w:numId="36">
    <w:abstractNumId w:val="20"/>
  </w:num>
  <w:num w:numId="37">
    <w:abstractNumId w:val="22"/>
  </w:num>
  <w:num w:numId="38">
    <w:abstractNumId w:val="48"/>
  </w:num>
  <w:num w:numId="39">
    <w:abstractNumId w:val="5"/>
  </w:num>
  <w:num w:numId="40">
    <w:abstractNumId w:val="40"/>
  </w:num>
  <w:num w:numId="41">
    <w:abstractNumId w:val="12"/>
  </w:num>
  <w:num w:numId="42">
    <w:abstractNumId w:val="26"/>
  </w:num>
  <w:num w:numId="43">
    <w:abstractNumId w:val="29"/>
  </w:num>
  <w:num w:numId="44">
    <w:abstractNumId w:val="52"/>
  </w:num>
  <w:num w:numId="45">
    <w:abstractNumId w:val="15"/>
  </w:num>
  <w:num w:numId="46">
    <w:abstractNumId w:val="50"/>
  </w:num>
  <w:num w:numId="47">
    <w:abstractNumId w:val="37"/>
  </w:num>
  <w:num w:numId="48">
    <w:abstractNumId w:val="1"/>
  </w:num>
  <w:num w:numId="49">
    <w:abstractNumId w:val="42"/>
  </w:num>
  <w:num w:numId="50">
    <w:abstractNumId w:val="55"/>
  </w:num>
  <w:num w:numId="51">
    <w:abstractNumId w:val="2"/>
  </w:num>
  <w:num w:numId="52">
    <w:abstractNumId w:val="19"/>
  </w:num>
  <w:num w:numId="53">
    <w:abstractNumId w:val="35"/>
  </w:num>
  <w:num w:numId="54">
    <w:abstractNumId w:val="60"/>
  </w:num>
  <w:num w:numId="55">
    <w:abstractNumId w:val="51"/>
  </w:num>
  <w:num w:numId="56">
    <w:abstractNumId w:val="57"/>
  </w:num>
  <w:num w:numId="57">
    <w:abstractNumId w:val="47"/>
  </w:num>
  <w:num w:numId="58">
    <w:abstractNumId w:val="45"/>
  </w:num>
  <w:num w:numId="59">
    <w:abstractNumId w:val="10"/>
  </w:num>
  <w:num w:numId="60">
    <w:abstractNumId w:val="8"/>
  </w:num>
  <w:num w:numId="61">
    <w:abstractNumId w:val="14"/>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sv-SE"/>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sv-SE"/>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0AD84F-66EA-4527-B240-8EEBF49F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35</TotalTime>
  <Pages>44</Pages>
  <Words>18397</Words>
  <Characters>97509</Characters>
  <Application>Microsoft Office Word</Application>
  <DocSecurity>0</DocSecurity>
  <Lines>812</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Flordelis, Jose</cp:lastModifiedBy>
  <cp:revision>3</cp:revision>
  <cp:lastPrinted>2008-01-30T21:09:00Z</cp:lastPrinted>
  <dcterms:created xsi:type="dcterms:W3CDTF">2021-05-26T13:40:00Z</dcterms:created>
  <dcterms:modified xsi:type="dcterms:W3CDTF">2021-05-26T13:53:00Z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