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3GPPHeader"/>
        <w:spacing w:before="0" w:after="60"/>
        <w:jc w:val="both"/>
        <w:rPr/>
      </w:pPr>
      <w:r>
        <w:rPr>
          <w:rFonts w:cs="Times New Roman" w:ascii="Times New Roman" w:hAnsi="Times New Roman"/>
          <w:position w:val="8"/>
        </w:rPr>
        <w:t>3GPP TSG-RAN WG1 Meeting #104b-e</w:t>
      </w:r>
      <w:r>
        <w:rPr>
          <w:rFonts w:cs="Times New Roman" w:ascii="Times New Roman" w:hAnsi="Times New Roman"/>
        </w:rPr>
        <w:tab/>
      </w:r>
      <w:r>
        <w:rPr>
          <w:rFonts w:cs="Times New Roman" w:ascii="Times New Roman" w:hAnsi="Times New Roman"/>
        </w:rPr>
        <w:t>R1-2103404</w:t>
      </w:r>
    </w:p>
    <w:p>
      <w:pPr>
        <w:pStyle w:val="3GPPHeader"/>
        <w:jc w:val="both"/>
        <w:rPr/>
      </w:pPr>
      <w:r>
        <w:rPr>
          <w:rFonts w:cs="Times New Roman" w:ascii="Times New Roman" w:hAnsi="Times New Roman"/>
        </w:rPr>
        <w:t>e-Meeting, April 12</w:t>
      </w:r>
      <w:r>
        <w:rPr>
          <w:rFonts w:cs="Times New Roman" w:ascii="Times New Roman" w:hAnsi="Times New Roman"/>
          <w:vertAlign w:val="superscript"/>
        </w:rPr>
        <w:t>h</w:t>
      </w:r>
      <w:r>
        <w:rPr>
          <w:rFonts w:cs="Times New Roman" w:ascii="Times New Roman" w:hAnsi="Times New Roman"/>
        </w:rPr>
        <w:t xml:space="preserve"> – April 20</w:t>
      </w:r>
      <w:r>
        <w:rPr>
          <w:rFonts w:cs="Times New Roman" w:ascii="Times New Roman" w:hAnsi="Times New Roman"/>
          <w:vertAlign w:val="superscript"/>
        </w:rPr>
        <w:t>th</w:t>
      </w:r>
      <w:r>
        <w:rPr>
          <w:rFonts w:cs="Times New Roman" w:ascii="Times New Roman" w:hAnsi="Times New Roman"/>
        </w:rPr>
        <w:t>, 2021</w:t>
      </w:r>
    </w:p>
    <w:p>
      <w:pPr>
        <w:pStyle w:val="3GPPHeader"/>
        <w:jc w:val="both"/>
        <w:rPr/>
      </w:pPr>
      <w:r>
        <w:rPr>
          <w:rFonts w:cs="Times New Roman" w:ascii="Times New Roman" w:hAnsi="Times New Roman"/>
        </w:rPr>
        <w:t>Agenda Item:</w:t>
        <w:tab/>
      </w:r>
      <w:r>
        <w:rPr>
          <w:rFonts w:cs="Times New Roman" w:ascii="Times New Roman" w:hAnsi="Times New Roman"/>
        </w:rPr>
        <w:t>8.6.1.2</w:t>
      </w:r>
    </w:p>
    <w:p>
      <w:pPr>
        <w:pStyle w:val="3GPPHeader"/>
        <w:jc w:val="both"/>
        <w:rPr>
          <w:rFonts w:ascii="Times New Roman" w:hAnsi="Times New Roman" w:cs="Times New Roman"/>
        </w:rPr>
      </w:pPr>
      <w:r>
        <w:rPr>
          <w:rFonts w:cs="Times New Roman" w:ascii="Times New Roman" w:hAnsi="Times New Roman"/>
        </w:rPr>
        <w:t>Source:</w:t>
        <w:tab/>
        <w:t>CEWiT</w:t>
      </w:r>
    </w:p>
    <w:p>
      <w:pPr>
        <w:pStyle w:val="3GPPHeader"/>
        <w:ind w:left="1701" w:hanging="1701"/>
        <w:jc w:val="both"/>
        <w:rPr/>
      </w:pPr>
      <w:r>
        <w:rPr>
          <w:rFonts w:cs="Times New Roman" w:ascii="Times New Roman" w:hAnsi="Times New Roman"/>
        </w:rPr>
        <w:t>Title:</w:t>
        <w:tab/>
      </w:r>
      <w:r>
        <w:rPr>
          <w:rFonts w:cs="Times New Roman" w:ascii="Times New Roman" w:hAnsi="Times New Roman"/>
          <w:bCs/>
          <w:lang w:val="en-GB"/>
        </w:rPr>
        <w:t>Discussion on solutions for reducing PDCCH blocking</w:t>
      </w:r>
    </w:p>
    <w:p>
      <w:pPr>
        <w:pStyle w:val="3GPPHeader"/>
        <w:jc w:val="both"/>
        <w:rPr>
          <w:rFonts w:ascii="Times New Roman" w:hAnsi="Times New Roman" w:cs="Times New Roman"/>
        </w:rPr>
      </w:pPr>
      <w:r>
        <w:rPr>
          <w:rFonts w:cs="Times New Roman" w:ascii="Times New Roman" w:hAnsi="Times New Roman"/>
        </w:rPr>
        <w:t>Document for:</w:t>
        <w:tab/>
        <w:t>Discussion</w:t>
      </w:r>
    </w:p>
    <w:p>
      <w:pPr>
        <w:pStyle w:val="3GPPHeader"/>
        <w:jc w:val="both"/>
        <w:rPr>
          <w:rFonts w:ascii="Times New Roman" w:hAnsi="Times New Roman" w:cs="Times New Roman"/>
        </w:rPr>
      </w:pPr>
      <w:r>
        <w:rPr>
          <w:rFonts w:cs="Times New Roman" w:ascii="Times New Roman" w:hAnsi="Times New Roman"/>
        </w:rPr>
        <w:t>1. Introduction</w:t>
      </w:r>
    </w:p>
    <w:p>
      <w:pPr>
        <w:pStyle w:val="3GPPHeader"/>
        <w:jc w:val="both"/>
        <w:rPr>
          <w:b w:val="false"/>
          <w:b w:val="false"/>
        </w:rPr>
      </w:pPr>
      <w:r>
        <w:rPr>
          <w:rFonts w:cs="Times New Roman" w:ascii="Times New Roman" w:hAnsi="Times New Roman"/>
          <w:b w:val="false"/>
        </w:rPr>
        <w:t>In RAN#90-e, a WI for RedCap devices was approved with the following objectives [1],</w:t>
      </w:r>
    </w:p>
    <w:tbl>
      <w:tblPr>
        <w:tblW w:w="9639" w:type="dxa"/>
        <w:jc w:val="left"/>
        <w:tblInd w:w="-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8" w:type="dxa"/>
          <w:bottom w:w="0" w:type="dxa"/>
          <w:right w:w="108" w:type="dxa"/>
        </w:tblCellMar>
        <w:tblLook w:val="04a0"/>
      </w:tblPr>
      <w:tblGrid>
        <w:gridCol w:w="9639"/>
      </w:tblGrid>
      <w:tr>
        <w:trPr/>
        <w:tc>
          <w:tcPr>
            <w:tcW w:w="963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B1"/>
              <w:numPr>
                <w:ilvl w:val="0"/>
                <w:numId w:val="2"/>
              </w:numPr>
              <w:overflowPunct w:val="false"/>
              <w:jc w:val="both"/>
              <w:textAlignment w:val="baseline"/>
              <w:rPr>
                <w:rFonts w:eastAsia="宋体;SimSun"/>
                <w:sz w:val="21"/>
                <w:lang w:eastAsia="ja-JP"/>
              </w:rPr>
            </w:pPr>
            <w:r>
              <w:rPr>
                <w:rFonts w:eastAsia="宋体;SimSun"/>
                <w:sz w:val="21"/>
                <w:lang w:eastAsia="ja-JP"/>
              </w:rPr>
              <w:t>Specify support for the following UE complexity reduction features [RAN1, RAN4]:</w:t>
            </w:r>
          </w:p>
          <w:p>
            <w:pPr>
              <w:pStyle w:val="TextBody"/>
              <w:numPr>
                <w:ilvl w:val="1"/>
                <w:numId w:val="2"/>
              </w:numPr>
              <w:overflowPunct w:val="false"/>
              <w:rPr>
                <w:rFonts w:cs="Times"/>
                <w:bCs/>
                <w:i/>
                <w:i/>
                <w:iCs/>
                <w:sz w:val="21"/>
                <w:szCs w:val="22"/>
              </w:rPr>
            </w:pPr>
            <w:r>
              <w:rPr>
                <w:rFonts w:cs="Times"/>
                <w:bCs/>
                <w:i/>
                <w:iCs/>
                <w:sz w:val="21"/>
                <w:szCs w:val="22"/>
              </w:rPr>
              <w:t>Reduced maximum UE bandwidth:</w:t>
            </w:r>
          </w:p>
          <w:p>
            <w:pPr>
              <w:pStyle w:val="TextBody"/>
              <w:numPr>
                <w:ilvl w:val="2"/>
                <w:numId w:val="2"/>
              </w:numPr>
              <w:overflowPunct w:val="false"/>
              <w:rPr/>
            </w:pPr>
            <w:r>
              <w:rPr>
                <w:rFonts w:cs="Times"/>
                <w:bCs/>
                <w:i/>
                <w:iCs/>
                <w:sz w:val="21"/>
                <w:szCs w:val="22"/>
              </w:rPr>
              <w:t>Maximum bandwidth of an FR1 RedCap UE during and after initial access of 20 MHzis supported. The possibility of, and any associated conditions for, optional support of a wider bandwidth up to 40MHz after initial access for this case will be further discussed at RAN#91e.</w:t>
            </w:r>
          </w:p>
          <w:p>
            <w:pPr>
              <w:pStyle w:val="TextBody"/>
              <w:numPr>
                <w:ilvl w:val="2"/>
                <w:numId w:val="2"/>
              </w:numPr>
              <w:overflowPunct w:val="false"/>
              <w:rPr>
                <w:rFonts w:cs="Times"/>
                <w:bCs/>
                <w:i/>
                <w:i/>
                <w:iCs/>
                <w:sz w:val="21"/>
                <w:szCs w:val="22"/>
              </w:rPr>
            </w:pPr>
            <w:r>
              <w:rPr>
                <w:rFonts w:cs="Times"/>
                <w:bCs/>
                <w:i/>
                <w:iCs/>
                <w:sz w:val="21"/>
                <w:szCs w:val="22"/>
              </w:rPr>
              <w:t>Maximum bandwidth of an FR2 RedCap UE during and after initial access is 100 MHz</w:t>
            </w:r>
          </w:p>
          <w:p>
            <w:pPr>
              <w:pStyle w:val="TextBody"/>
              <w:numPr>
                <w:ilvl w:val="1"/>
                <w:numId w:val="2"/>
              </w:numPr>
              <w:overflowPunct w:val="false"/>
              <w:rPr>
                <w:i/>
                <w:i/>
                <w:iCs/>
                <w:sz w:val="21"/>
              </w:rPr>
            </w:pPr>
            <w:r>
              <w:rPr>
                <w:i/>
                <w:iCs/>
                <w:sz w:val="21"/>
              </w:rPr>
              <w:t>Reduced minimum number of Rx branches:</w:t>
            </w:r>
          </w:p>
          <w:p>
            <w:pPr>
              <w:pStyle w:val="TextBody"/>
              <w:numPr>
                <w:ilvl w:val="2"/>
                <w:numId w:val="2"/>
              </w:numPr>
              <w:overflowPunct w:val="false"/>
              <w:rPr>
                <w:i/>
                <w:i/>
                <w:iCs/>
                <w:sz w:val="21"/>
              </w:rPr>
            </w:pPr>
            <w:r>
              <w:rPr>
                <w:i/>
                <w:iCs/>
                <w:sz w:val="21"/>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pPr>
              <w:pStyle w:val="TextBody"/>
              <w:numPr>
                <w:ilvl w:val="2"/>
                <w:numId w:val="2"/>
              </w:numPr>
              <w:overflowPunct w:val="false"/>
              <w:rPr>
                <w:i/>
                <w:i/>
                <w:iCs/>
                <w:sz w:val="21"/>
              </w:rPr>
            </w:pPr>
            <w:bookmarkStart w:id="0" w:name="_Hlk58502022"/>
            <w:r>
              <w:rPr>
                <w:i/>
                <w:iCs/>
                <w:sz w:val="21"/>
              </w:rPr>
              <w:t xml:space="preserve">For frequency bands where a legacy NR UE (other than 2-Rx vehicular UE) is required to be equipped with a minimum of 4 Rx </w:t>
            </w:r>
            <w:bookmarkEnd w:id="0"/>
            <w:r>
              <w:rPr>
                <w:i/>
                <w:iCs/>
                <w:sz w:val="21"/>
              </w:rPr>
              <w:t xml:space="preserve">antenna ports, the minimum number of Rx </w:t>
            </w:r>
            <w:bookmarkStart w:id="1" w:name="_Hlk58574559"/>
            <w:r>
              <w:rPr>
                <w:i/>
                <w:iCs/>
                <w:sz w:val="21"/>
              </w:rPr>
              <w:t xml:space="preserve">branches </w:t>
            </w:r>
            <w:bookmarkEnd w:id="1"/>
            <w:r>
              <w:rPr>
                <w:i/>
                <w:iCs/>
                <w:sz w:val="21"/>
              </w:rPr>
              <w:t>supported by specification for a RedCap UE will be decided at RAN#91e; hence no specific work for these frequency bands will be done before RAN#91e.</w:t>
            </w:r>
          </w:p>
          <w:p>
            <w:pPr>
              <w:pStyle w:val="TextBody"/>
              <w:numPr>
                <w:ilvl w:val="1"/>
                <w:numId w:val="2"/>
              </w:numPr>
              <w:overflowPunct w:val="false"/>
              <w:rPr>
                <w:bCs/>
                <w:i/>
                <w:i/>
                <w:iCs/>
                <w:sz w:val="21"/>
              </w:rPr>
            </w:pPr>
            <w:r>
              <w:rPr>
                <w:bCs/>
                <w:i/>
                <w:iCs/>
                <w:sz w:val="21"/>
              </w:rPr>
              <w:t>Maximum number of DL MIMO layers:</w:t>
            </w:r>
          </w:p>
          <w:p>
            <w:pPr>
              <w:pStyle w:val="TextBody"/>
              <w:numPr>
                <w:ilvl w:val="2"/>
                <w:numId w:val="2"/>
              </w:numPr>
              <w:overflowPunct w:val="false"/>
              <w:rPr/>
            </w:pPr>
            <w:r>
              <w:rPr>
                <w:bCs/>
                <w:i/>
                <w:iCs/>
                <w:sz w:val="21"/>
              </w:rPr>
              <w:t xml:space="preserve">For a RedCap UE with 1 Rx </w:t>
            </w:r>
            <w:r>
              <w:rPr>
                <w:i/>
                <w:iCs/>
                <w:sz w:val="21"/>
              </w:rPr>
              <w:t>branch</w:t>
            </w:r>
            <w:r>
              <w:rPr>
                <w:bCs/>
                <w:i/>
                <w:iCs/>
                <w:sz w:val="21"/>
              </w:rPr>
              <w:t>, 1 DL MIMO layer is supported.</w:t>
            </w:r>
          </w:p>
          <w:p>
            <w:pPr>
              <w:pStyle w:val="TextBody"/>
              <w:numPr>
                <w:ilvl w:val="2"/>
                <w:numId w:val="2"/>
              </w:numPr>
              <w:overflowPunct w:val="false"/>
              <w:rPr/>
            </w:pPr>
            <w:r>
              <w:rPr>
                <w:bCs/>
                <w:i/>
                <w:iCs/>
                <w:sz w:val="21"/>
              </w:rPr>
              <w:t xml:space="preserve">For a RedCap UE with 2 Rx </w:t>
            </w:r>
            <w:r>
              <w:rPr>
                <w:i/>
                <w:iCs/>
                <w:sz w:val="21"/>
              </w:rPr>
              <w:t>branches</w:t>
            </w:r>
            <w:r>
              <w:rPr>
                <w:bCs/>
                <w:i/>
                <w:iCs/>
                <w:sz w:val="21"/>
              </w:rPr>
              <w:t>, 2 DL MIMO layers are supported.</w:t>
            </w:r>
          </w:p>
          <w:p>
            <w:pPr>
              <w:pStyle w:val="TextBody"/>
              <w:numPr>
                <w:ilvl w:val="1"/>
                <w:numId w:val="2"/>
              </w:numPr>
              <w:overflowPunct w:val="false"/>
              <w:rPr>
                <w:bCs/>
                <w:i/>
                <w:i/>
                <w:iCs/>
                <w:sz w:val="21"/>
              </w:rPr>
            </w:pPr>
            <w:r>
              <w:rPr>
                <w:bCs/>
                <w:i/>
                <w:iCs/>
                <w:sz w:val="21"/>
              </w:rPr>
              <w:t>Relaxed maximum modulation order:</w:t>
            </w:r>
          </w:p>
          <w:p>
            <w:pPr>
              <w:pStyle w:val="TextBody"/>
              <w:numPr>
                <w:ilvl w:val="2"/>
                <w:numId w:val="2"/>
              </w:numPr>
              <w:overflowPunct w:val="false"/>
              <w:rPr>
                <w:bCs/>
                <w:i/>
                <w:i/>
                <w:iCs/>
                <w:sz w:val="21"/>
              </w:rPr>
            </w:pPr>
            <w:r>
              <w:rPr>
                <w:bCs/>
                <w:i/>
                <w:iCs/>
                <w:sz w:val="21"/>
              </w:rPr>
              <w:t>Support of 256QAM in DL is optional (instead of mandatory) for an FR1 RedCap UE.</w:t>
            </w:r>
          </w:p>
          <w:p>
            <w:pPr>
              <w:pStyle w:val="TextBody"/>
              <w:numPr>
                <w:ilvl w:val="2"/>
                <w:numId w:val="2"/>
              </w:numPr>
              <w:overflowPunct w:val="false"/>
              <w:rPr>
                <w:bCs/>
                <w:i/>
                <w:i/>
                <w:iCs/>
                <w:sz w:val="21"/>
              </w:rPr>
            </w:pPr>
            <w:r>
              <w:rPr>
                <w:bCs/>
                <w:i/>
                <w:iCs/>
                <w:sz w:val="21"/>
              </w:rPr>
              <w:t>No other relaxations of maximum modulation order are specified for a RedCap UE.</w:t>
            </w:r>
          </w:p>
          <w:p>
            <w:pPr>
              <w:pStyle w:val="TextBody"/>
              <w:numPr>
                <w:ilvl w:val="1"/>
                <w:numId w:val="2"/>
              </w:numPr>
              <w:overflowPunct w:val="false"/>
              <w:rPr>
                <w:bCs/>
                <w:i/>
                <w:i/>
                <w:iCs/>
                <w:sz w:val="21"/>
              </w:rPr>
            </w:pPr>
            <w:r>
              <w:rPr>
                <w:bCs/>
                <w:i/>
                <w:iCs/>
                <w:sz w:val="21"/>
              </w:rPr>
              <w:t>Duplex operation:</w:t>
            </w:r>
          </w:p>
          <w:p>
            <w:pPr>
              <w:pStyle w:val="TextBody"/>
              <w:numPr>
                <w:ilvl w:val="2"/>
                <w:numId w:val="2"/>
              </w:numPr>
              <w:overflowPunct w:val="false"/>
              <w:rPr>
                <w:bCs/>
                <w:i/>
                <w:i/>
                <w:iCs/>
                <w:sz w:val="21"/>
              </w:rPr>
            </w:pPr>
            <w:r>
              <w:rPr>
                <w:bCs/>
                <w:i/>
                <w:iCs/>
                <w:sz w:val="21"/>
              </w:rPr>
              <w:t>HD-FDD type A with the minimum specification impact (Note that FD-FDD and TDD are also supported.)</w:t>
            </w:r>
          </w:p>
          <w:p>
            <w:pPr>
              <w:pStyle w:val="B1"/>
              <w:numPr>
                <w:ilvl w:val="0"/>
                <w:numId w:val="2"/>
              </w:numPr>
              <w:overflowPunct w:val="false"/>
              <w:jc w:val="both"/>
              <w:textAlignment w:val="baseline"/>
              <w:rPr>
                <w:rFonts w:eastAsia="宋体;SimSun"/>
                <w:bCs/>
                <w:sz w:val="21"/>
                <w:lang w:eastAsia="ja-JP"/>
              </w:rPr>
            </w:pPr>
            <w:r>
              <w:rPr>
                <w:rFonts w:eastAsia="宋体;SimSun"/>
                <w:bCs/>
                <w:sz w:val="21"/>
                <w:lang w:eastAsia="ja-JP"/>
              </w:rPr>
              <w:t xml:space="preserve">Specify higher layer support of enhancements listed above [RAN2, RAN1]. </w:t>
            </w:r>
            <w:bookmarkStart w:id="2" w:name="_Hlk58502603"/>
            <w:r>
              <w:rPr>
                <w:rFonts w:eastAsia="宋体;SimSun"/>
                <w:bCs/>
                <w:sz w:val="21"/>
                <w:lang w:eastAsia="ja-JP"/>
              </w:rPr>
              <w:t>Details are to be refined at RAN#91e taking the outcome of the RedCap SI into account, and work on this objective shall start after RAN#91e</w:t>
            </w:r>
            <w:bookmarkEnd w:id="2"/>
            <w:r>
              <w:rPr>
                <w:rFonts w:eastAsia="宋体;SimSun"/>
                <w:bCs/>
                <w:sz w:val="21"/>
                <w:lang w:eastAsia="ja-JP"/>
              </w:rPr>
              <w:t>:</w:t>
            </w:r>
          </w:p>
          <w:p>
            <w:pPr>
              <w:pStyle w:val="B1"/>
              <w:numPr>
                <w:ilvl w:val="1"/>
                <w:numId w:val="2"/>
              </w:numPr>
              <w:overflowPunct w:val="false"/>
              <w:jc w:val="both"/>
              <w:textAlignment w:val="baseline"/>
              <w:rPr/>
            </w:pPr>
            <w:r>
              <w:rPr>
                <w:rFonts w:eastAsia="宋体;SimSun"/>
                <w:bCs/>
                <w:sz w:val="21"/>
                <w:lang w:eastAsia="ja-JP"/>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pPr>
              <w:pStyle w:val="B1"/>
              <w:numPr>
                <w:ilvl w:val="1"/>
                <w:numId w:val="2"/>
              </w:numPr>
              <w:overflowPunct w:val="false"/>
              <w:jc w:val="both"/>
              <w:textAlignment w:val="baseline"/>
              <w:rPr>
                <w:rFonts w:eastAsia="宋体;SimSun"/>
                <w:bCs/>
                <w:sz w:val="21"/>
                <w:lang w:eastAsia="ja-JP"/>
              </w:rPr>
            </w:pPr>
            <w:r>
              <w:rPr>
                <w:rFonts w:eastAsia="宋体;SimSun"/>
                <w:bCs/>
                <w:sz w:val="21"/>
                <w:lang w:eastAsia="ja-JP"/>
              </w:rPr>
              <w:t>Specify functionality that will enable RedCap UEs to be explicitly identifiable to networks and allow operators to restrict their access if desired.</w:t>
            </w:r>
          </w:p>
          <w:p>
            <w:pPr>
              <w:pStyle w:val="B1"/>
              <w:numPr>
                <w:ilvl w:val="1"/>
                <w:numId w:val="2"/>
              </w:numPr>
              <w:overflowPunct w:val="false"/>
              <w:jc w:val="both"/>
              <w:textAlignment w:val="baseline"/>
              <w:rPr>
                <w:rFonts w:eastAsia="宋体;SimSun"/>
                <w:bCs/>
                <w:sz w:val="21"/>
                <w:lang w:eastAsia="ja-JP"/>
              </w:rPr>
            </w:pPr>
            <w:r>
              <w:rPr>
                <w:rFonts w:eastAsia="宋体;SimSun"/>
                <w:bCs/>
                <w:sz w:val="21"/>
                <w:lang w:eastAsia="ja-JP"/>
              </w:rPr>
              <w:t>Specify necessary updates of UE capabilities (38.306) and RRC parameters (38.331).</w:t>
            </w:r>
          </w:p>
          <w:p>
            <w:pPr>
              <w:pStyle w:val="B1"/>
              <w:numPr>
                <w:ilvl w:val="0"/>
                <w:numId w:val="2"/>
              </w:numPr>
              <w:overflowPunct w:val="false"/>
              <w:jc w:val="both"/>
              <w:textAlignment w:val="baseline"/>
              <w:rPr>
                <w:rFonts w:eastAsia="宋体;SimSun"/>
                <w:bCs/>
                <w:sz w:val="21"/>
                <w:lang w:eastAsia="ja-JP"/>
              </w:rPr>
            </w:pPr>
            <w:r>
              <w:rPr>
                <w:rFonts w:eastAsia="宋体;SimSun"/>
                <w:bCs/>
                <w:sz w:val="21"/>
                <w:lang w:eastAsia="ja-JP"/>
              </w:rPr>
              <w:t xml:space="preserve">Specify RAN4 core requirements for the above. </w:t>
            </w:r>
          </w:p>
          <w:p>
            <w:pPr>
              <w:pStyle w:val="B2"/>
              <w:ind w:left="0" w:hanging="0"/>
              <w:jc w:val="both"/>
              <w:rPr>
                <w:rFonts w:eastAsia="宋体;SimSun"/>
                <w:sz w:val="21"/>
                <w:lang w:eastAsia="ja-JP"/>
              </w:rPr>
            </w:pPr>
            <w:r>
              <w:rPr>
                <w:rFonts w:eastAsia="宋体;SimSun"/>
                <w:sz w:val="21"/>
                <w:lang w:eastAsia="ja-JP"/>
              </w:rPr>
              <w:t>Notes:</w:t>
            </w:r>
          </w:p>
          <w:p>
            <w:pPr>
              <w:pStyle w:val="B1"/>
              <w:numPr>
                <w:ilvl w:val="0"/>
                <w:numId w:val="2"/>
              </w:numPr>
              <w:overflowPunct w:val="false"/>
              <w:jc w:val="both"/>
              <w:textAlignment w:val="baseline"/>
              <w:rPr>
                <w:rFonts w:eastAsia="宋体;SimSun"/>
                <w:sz w:val="21"/>
                <w:lang w:eastAsia="ja-JP"/>
              </w:rPr>
            </w:pPr>
            <w:r>
              <w:rPr>
                <w:rFonts w:eastAsia="宋体;SimSun"/>
                <w:sz w:val="21"/>
                <w:lang w:eastAsia="ja-JP"/>
              </w:rPr>
              <w:t>Rel-15 SSB bandwidth is reused and L1 changes minimized.</w:t>
            </w:r>
          </w:p>
          <w:p>
            <w:pPr>
              <w:pStyle w:val="B1"/>
              <w:numPr>
                <w:ilvl w:val="0"/>
                <w:numId w:val="2"/>
              </w:numPr>
              <w:overflowPunct w:val="false"/>
              <w:jc w:val="both"/>
              <w:textAlignment w:val="baseline"/>
              <w:rPr>
                <w:rFonts w:eastAsia="宋体;SimSun"/>
                <w:sz w:val="21"/>
                <w:lang w:eastAsia="ja-JP"/>
              </w:rPr>
            </w:pPr>
            <w:r>
              <w:rPr>
                <w:rFonts w:eastAsia="宋体;SimSun"/>
                <w:sz w:val="21"/>
                <w:lang w:eastAsia="ja-JP"/>
              </w:rPr>
              <w:t>The work defined as part of this WI is not to overlap with LPWA use cases.</w:t>
            </w:r>
          </w:p>
          <w:p>
            <w:pPr>
              <w:pStyle w:val="B1"/>
              <w:numPr>
                <w:ilvl w:val="0"/>
                <w:numId w:val="2"/>
              </w:numPr>
              <w:overflowPunct w:val="false"/>
              <w:jc w:val="both"/>
              <w:textAlignment w:val="baseline"/>
              <w:rPr>
                <w:rFonts w:eastAsia="宋体;SimSun"/>
                <w:sz w:val="21"/>
                <w:lang w:eastAsia="ja-JP"/>
              </w:rPr>
            </w:pPr>
            <w:r>
              <w:rPr>
                <w:rFonts w:eastAsia="宋体;SimSun"/>
                <w:sz w:val="21"/>
                <w:lang w:eastAsia="ja-JP"/>
              </w:rPr>
              <w:t>Coexistence with non-RedCap UEs is to be ensured.</w:t>
            </w:r>
          </w:p>
          <w:p>
            <w:pPr>
              <w:pStyle w:val="B1"/>
              <w:numPr>
                <w:ilvl w:val="0"/>
                <w:numId w:val="2"/>
              </w:numPr>
              <w:overflowPunct w:val="false"/>
              <w:jc w:val="both"/>
              <w:textAlignment w:val="baseline"/>
              <w:rPr>
                <w:rFonts w:eastAsia="宋体;SimSun"/>
                <w:sz w:val="21"/>
                <w:lang w:eastAsia="ja-JP"/>
              </w:rPr>
            </w:pPr>
            <w:r>
              <w:rPr>
                <w:rFonts w:eastAsia="宋体;SimSun"/>
                <w:sz w:val="21"/>
                <w:lang w:eastAsia="ja-JP"/>
              </w:rPr>
              <w:t>This WI focuses on SA mode and single connectivity with operation in a single band at a time.</w:t>
            </w:r>
          </w:p>
          <w:p>
            <w:pPr>
              <w:pStyle w:val="B1"/>
              <w:numPr>
                <w:ilvl w:val="0"/>
                <w:numId w:val="2"/>
              </w:numPr>
              <w:overflowPunct w:val="false"/>
              <w:jc w:val="both"/>
              <w:textAlignment w:val="baseline"/>
              <w:rPr>
                <w:sz w:val="21"/>
              </w:rPr>
            </w:pPr>
            <w:r>
              <w:rPr>
                <w:sz w:val="21"/>
              </w:rPr>
              <w:t>The work in other WGs than RAN1 starts after RAN#91e.</w:t>
            </w:r>
          </w:p>
          <w:p>
            <w:pPr>
              <w:pStyle w:val="B1"/>
              <w:numPr>
                <w:ilvl w:val="0"/>
                <w:numId w:val="2"/>
              </w:numPr>
              <w:overflowPunct w:val="false"/>
              <w:jc w:val="both"/>
              <w:textAlignment w:val="baseline"/>
              <w:rPr>
                <w:sz w:val="21"/>
              </w:rPr>
            </w:pPr>
            <w:bookmarkStart w:id="3" w:name="_Hlk58575355"/>
            <w:bookmarkEnd w:id="3"/>
            <w:r>
              <w:rPr>
                <w:sz w:val="21"/>
              </w:rPr>
              <w:t>The appropriate WI for handling of any potential coverage recovery aspects related to RedCap UEs devices will be considered at RAN#91e.</w:t>
            </w:r>
          </w:p>
          <w:p>
            <w:pPr>
              <w:pStyle w:val="Normal"/>
              <w:rPr>
                <w:rFonts w:ascii="Times New Roman" w:hAnsi="Times New Roman" w:eastAsia="宋体;SimSun" w:cs="Times New Roman"/>
                <w:color w:val="000000"/>
                <w:sz w:val="21"/>
                <w:szCs w:val="22"/>
              </w:rPr>
            </w:pPr>
            <w:r>
              <w:rPr>
                <w:rFonts w:eastAsia="宋体;SimSun" w:cs="Times New Roman" w:ascii="Times New Roman" w:hAnsi="Times New Roman"/>
                <w:color w:val="000000"/>
                <w:sz w:val="21"/>
                <w:szCs w:val="22"/>
              </w:rPr>
            </w:r>
          </w:p>
        </w:tc>
      </w:tr>
    </w:tbl>
    <w:p>
      <w:pPr>
        <w:pStyle w:val="3GPPHeader"/>
        <w:jc w:val="both"/>
        <w:rPr>
          <w:rFonts w:ascii="Times New Roman" w:hAnsi="Times New Roman" w:cs="Times New Roman"/>
        </w:rPr>
      </w:pPr>
      <w:r>
        <w:rPr>
          <w:rFonts w:cs="Times New Roman" w:ascii="Times New Roman" w:hAnsi="Times New Roman"/>
        </w:rPr>
      </w:r>
    </w:p>
    <w:p>
      <w:pPr>
        <w:pStyle w:val="3GPPHeader"/>
        <w:jc w:val="both"/>
        <w:rPr>
          <w:rFonts w:ascii="Times New Roman" w:hAnsi="Times New Roman" w:cs="Times New Roman"/>
          <w:b w:val="false"/>
          <w:b w:val="false"/>
        </w:rPr>
      </w:pPr>
      <w:r>
        <w:rPr>
          <w:rFonts w:cs="Times New Roman" w:ascii="Times New Roman" w:hAnsi="Times New Roman"/>
          <w:b w:val="false"/>
        </w:rPr>
        <w:t>In RAN1#104-e, the below agreements were reached for reduced minimum number of Rx branches [2]:</w:t>
      </w:r>
    </w:p>
    <w:p>
      <w:pPr>
        <w:pStyle w:val="Normal"/>
        <w:rPr>
          <w:rFonts w:ascii="Times New Roman" w:hAnsi="Times New Roman" w:cs="Times New Roman"/>
          <w:szCs w:val="20"/>
          <w:highlight w:val="green"/>
        </w:rPr>
      </w:pPr>
      <w:r>
        <w:rPr>
          <w:rFonts w:cs="Times New Roman" w:ascii="Times New Roman" w:hAnsi="Times New Roman"/>
          <w:szCs w:val="20"/>
          <w:highlight w:val="green"/>
        </w:rPr>
        <w:t>Agreements:</w:t>
      </w:r>
    </w:p>
    <w:p>
      <w:pPr>
        <w:pStyle w:val="ListParagraph"/>
        <w:numPr>
          <w:ilvl w:val="0"/>
          <w:numId w:val="4"/>
        </w:numPr>
        <w:spacing w:lineRule="auto" w:line="252" w:before="0" w:after="180"/>
        <w:contextualSpacing/>
        <w:rPr/>
      </w:pPr>
      <w:r>
        <w:rPr>
          <w:rFonts w:cs="Times New Roman" w:ascii="Times New Roman" w:hAnsi="Times New Roman"/>
          <w:szCs w:val="20"/>
        </w:rPr>
        <w:t>For reduced minimum number of Rx branches in FR1 and FR2 frequency bands where a legacy NR UE is required to be equipped with a minimum of 2 Rx antenna ports:</w:t>
      </w:r>
    </w:p>
    <w:p>
      <w:pPr>
        <w:pStyle w:val="ListParagraph"/>
        <w:numPr>
          <w:ilvl w:val="1"/>
          <w:numId w:val="3"/>
        </w:numPr>
        <w:spacing w:lineRule="auto" w:line="252" w:before="0" w:after="180"/>
        <w:contextualSpacing/>
        <w:rPr/>
      </w:pPr>
      <w:r>
        <w:rPr>
          <w:rFonts w:cs="Times New Roman" w:ascii="Times New Roman" w:hAnsi="Times New Roman"/>
          <w:szCs w:val="20"/>
        </w:rPr>
        <w:t>FFS: need for solutions to reduced PDCCH blocking</w:t>
      </w:r>
    </w:p>
    <w:p>
      <w:pPr>
        <w:pStyle w:val="ListParagraph"/>
        <w:numPr>
          <w:ilvl w:val="1"/>
          <w:numId w:val="3"/>
        </w:numPr>
        <w:spacing w:lineRule="auto" w:line="252" w:before="0" w:after="180"/>
        <w:contextualSpacing/>
        <w:rPr/>
      </w:pPr>
      <w:r>
        <w:rPr>
          <w:rFonts w:cs="Times New Roman" w:ascii="Times New Roman" w:hAnsi="Times New Roman"/>
          <w:szCs w:val="20"/>
        </w:rPr>
        <w:t>FFS: need for reporting of UE antenna related information to gNB (e.g., # of panels, polarization, etc.)</w:t>
      </w:r>
    </w:p>
    <w:p>
      <w:pPr>
        <w:pStyle w:val="ListParagraph"/>
        <w:numPr>
          <w:ilvl w:val="1"/>
          <w:numId w:val="3"/>
        </w:numPr>
        <w:spacing w:lineRule="auto" w:line="252" w:before="0" w:after="180"/>
        <w:contextualSpacing/>
        <w:jc w:val="both"/>
        <w:rPr>
          <w:rFonts w:ascii="Times New Roman" w:hAnsi="Times New Roman" w:cs="Times New Roman"/>
          <w:bCs/>
        </w:rPr>
      </w:pPr>
      <w:r>
        <w:rPr>
          <w:rFonts w:cs="Times New Roman" w:ascii="Times New Roman" w:hAnsi="Times New Roman"/>
          <w:bCs/>
        </w:rPr>
        <w:t>Information related to the reduction of the number of antenna branches is assumed to be known at the gNB (either implicitly or explicitly, to be FFS)</w:t>
      </w:r>
    </w:p>
    <w:p>
      <w:pPr>
        <w:pStyle w:val="ListParagraph"/>
        <w:spacing w:lineRule="auto" w:line="252" w:before="0" w:after="180"/>
        <w:jc w:val="both"/>
        <w:rPr>
          <w:rFonts w:ascii="Times New Roman" w:hAnsi="Times New Roman" w:cs="Times New Roman"/>
        </w:rPr>
      </w:pPr>
      <w:r>
        <w:rPr>
          <w:rFonts w:cs="Times New Roman" w:ascii="Times New Roman" w:hAnsi="Times New Roman"/>
        </w:rPr>
      </w:r>
    </w:p>
    <w:p>
      <w:pPr>
        <w:pStyle w:val="ListParagraph"/>
        <w:spacing w:lineRule="auto" w:line="252" w:before="0" w:after="180"/>
        <w:ind w:left="0" w:hanging="0"/>
        <w:contextualSpacing/>
        <w:jc w:val="both"/>
        <w:rPr>
          <w:rFonts w:ascii="Times New Roman" w:hAnsi="Times New Roman" w:cs="Times New Roman"/>
        </w:rPr>
      </w:pPr>
      <w:r>
        <w:rPr>
          <w:rFonts w:cs="Times New Roman" w:ascii="Times New Roman" w:hAnsi="Times New Roman"/>
        </w:rPr>
        <w:t>In this contribution, we discuss our views on need for potential solutions to reduce PDCCH blocking.</w:t>
      </w:r>
    </w:p>
    <w:p>
      <w:pPr>
        <w:pStyle w:val="ListParagraph"/>
        <w:spacing w:lineRule="auto" w:line="252" w:before="0" w:after="180"/>
        <w:contextualSpacing/>
        <w:jc w:val="both"/>
        <w:rPr>
          <w:rFonts w:ascii="Times New Roman" w:hAnsi="Times New Roman" w:cs="Times New Roman"/>
          <w:szCs w:val="20"/>
        </w:rPr>
      </w:pPr>
      <w:r>
        <w:rPr>
          <w:rFonts w:cs="Times New Roman" w:ascii="Times New Roman" w:hAnsi="Times New Roman"/>
          <w:szCs w:val="20"/>
        </w:rPr>
      </w:r>
    </w:p>
    <w:p>
      <w:pPr>
        <w:pStyle w:val="ListParagraph"/>
        <w:spacing w:lineRule="auto" w:line="252" w:before="0" w:after="180"/>
        <w:contextualSpacing/>
        <w:jc w:val="both"/>
        <w:rPr>
          <w:rFonts w:ascii="Times New Roman" w:hAnsi="Times New Roman" w:cs="Times New Roman"/>
          <w:szCs w:val="20"/>
        </w:rPr>
      </w:pPr>
      <w:r>
        <w:rPr>
          <w:rFonts w:cs="Times New Roman" w:ascii="Times New Roman" w:hAnsi="Times New Roman"/>
          <w:szCs w:val="20"/>
        </w:rPr>
      </w:r>
    </w:p>
    <w:p>
      <w:pPr>
        <w:pStyle w:val="ListParagraph"/>
        <w:spacing w:lineRule="auto" w:line="252" w:before="0" w:after="180"/>
        <w:contextualSpacing/>
        <w:jc w:val="both"/>
        <w:rPr>
          <w:rFonts w:ascii="Times New Roman" w:hAnsi="Times New Roman" w:cs="Times New Roman"/>
          <w:szCs w:val="20"/>
        </w:rPr>
      </w:pPr>
      <w:r>
        <w:rPr>
          <w:rFonts w:cs="Times New Roman" w:ascii="Times New Roman" w:hAnsi="Times New Roman"/>
          <w:szCs w:val="20"/>
        </w:rPr>
      </w:r>
    </w:p>
    <w:p>
      <w:pPr>
        <w:pStyle w:val="3GPPHeader"/>
        <w:jc w:val="both"/>
        <w:rPr>
          <w:rFonts w:ascii="Times New Roman" w:hAnsi="Times New Roman" w:cs="Times New Roman"/>
        </w:rPr>
      </w:pPr>
      <w:r>
        <w:rPr>
          <w:rFonts w:cs="Times New Roman" w:ascii="Times New Roman" w:hAnsi="Times New Roman"/>
        </w:rPr>
        <w:t>2. Discussion</w:t>
      </w:r>
    </w:p>
    <w:p>
      <w:pPr>
        <w:pStyle w:val="3GPPHeader"/>
        <w:jc w:val="both"/>
        <w:rPr/>
      </w:pPr>
      <w:r>
        <w:rPr>
          <w:rFonts w:cs="Times New Roman" w:ascii="Times New Roman" w:hAnsi="Times New Roman"/>
          <w:b w:val="false"/>
          <w:bCs/>
        </w:rPr>
        <w:t>The study on reduced capability UEs was introduced to cater to applications that require low data rates, limited processing requirement, less critical latency requirements etc. Some of the use cases include industrial wireless sensors, video surveillance and wearable devices. A legacy UE will be able to handle such applications. However, defining a new type of UE for low complexity applications will significantly reduce the cost. Applications such as utility meters and industrial sensors involve occasional transmission of small burst of data. These devices are expected to have a battery life of many years. Therefore,</w:t>
      </w:r>
      <w:bookmarkStart w:id="4" w:name="__DdeLink__60439_624938530"/>
      <w:r>
        <w:rPr>
          <w:rFonts w:cs="Times New Roman" w:ascii="Times New Roman" w:hAnsi="Times New Roman"/>
          <w:b w:val="false"/>
          <w:bCs/>
        </w:rPr>
        <w:t xml:space="preserve"> </w:t>
      </w:r>
      <w:bookmarkEnd w:id="4"/>
      <w:r>
        <w:rPr>
          <w:rFonts w:cs="Times New Roman" w:ascii="Times New Roman" w:hAnsi="Times New Roman"/>
          <w:b w:val="false"/>
          <w:bCs/>
        </w:rPr>
        <w:t>factors such as maximum transmission bandwidth, number of receive branches have been reduced for a reduced capability UE compared to a legacy UE.</w:t>
      </w:r>
    </w:p>
    <w:p>
      <w:pPr>
        <w:pStyle w:val="3GPPHeader"/>
        <w:jc w:val="both"/>
        <w:rPr>
          <w:rFonts w:ascii="Times New Roman" w:hAnsi="Times New Roman" w:cs="Times New Roman"/>
          <w:b w:val="false"/>
          <w:b w:val="false"/>
        </w:rPr>
      </w:pPr>
      <w:r>
        <w:rPr>
          <w:rFonts w:cs="Times New Roman" w:ascii="Times New Roman" w:hAnsi="Times New Roman"/>
          <w:b w:val="false"/>
        </w:rPr>
        <w:t>According to the WID, for frequency bands where legacy NR UE is required to support a minimum of 2 Rx branches, the minimum number of Rx branch requirement for reduced capability UE is 1. The reduction in Rx branches of reduced capability UE reduces the possible spatial diversity gain that can be achieved, which causes a degradation in</w:t>
      </w:r>
      <w:r>
        <w:rPr>
          <w:rFonts w:cs="Times New Roman" w:ascii="Times New Roman" w:hAnsi="Times New Roman"/>
          <w:b w:val="false"/>
          <w:bCs/>
        </w:rPr>
        <w:t xml:space="preserve"> </w:t>
      </w:r>
      <w:r>
        <w:rPr>
          <w:rFonts w:cs="Times New Roman" w:ascii="Times New Roman" w:hAnsi="Times New Roman"/>
          <w:b w:val="false"/>
        </w:rPr>
        <w:t xml:space="preserve">downlink (DL) performance. This degradation needs to be mitigated, especially for PDCCH, since loss in DL control information is undesirable. Therefore, additional features are required to improve the reception and decoding quality of PDCCH. </w:t>
      </w:r>
    </w:p>
    <w:p>
      <w:pPr>
        <w:pStyle w:val="3GPPHeader"/>
        <w:jc w:val="both"/>
        <w:rPr/>
      </w:pPr>
      <w:r>
        <w:rPr>
          <w:rFonts w:cs="Times New Roman" w:ascii="Times New Roman" w:hAnsi="Times New Roman"/>
          <w:b w:val="false"/>
        </w:rPr>
        <w:t>One way to compensate for the loss in diversity gain, for PDCCH,</w:t>
      </w:r>
      <w:r>
        <w:rPr>
          <w:rFonts w:cs="Times New Roman" w:ascii="Times New Roman" w:hAnsi="Times New Roman"/>
          <w:b w:val="false"/>
          <w:bCs/>
        </w:rPr>
        <w:t xml:space="preserve"> </w:t>
      </w:r>
      <w:r>
        <w:rPr>
          <w:rFonts w:cs="Times New Roman" w:ascii="Times New Roman" w:hAnsi="Times New Roman"/>
          <w:b w:val="false"/>
        </w:rPr>
        <w:t>is increasing the coding gain by transmitting at a higher AL.</w:t>
      </w:r>
      <w:r>
        <w:rPr>
          <w:rFonts w:cs="Times New Roman" w:ascii="Times New Roman" w:hAnsi="Times New Roman"/>
          <w:b w:val="false"/>
        </w:rPr>
        <w:t xml:space="preserve"> </w:t>
      </w:r>
      <w:r>
        <w:rPr>
          <w:rFonts w:cs="Times New Roman" w:ascii="Times New Roman" w:hAnsi="Times New Roman"/>
          <w:b w:val="false"/>
        </w:rPr>
        <w:t>Increasing the AL implies that more CCEs are required to transmit the PDCCH. For reduced capability UEs, bandwidth has been reduced to 20MHz for FR1 and 100 MHz for FR2.The number of CCE available for reduced capability UE is limited by the bandwidth of the UE.</w:t>
      </w:r>
      <w:r>
        <w:rPr>
          <w:rFonts w:cs="Times New Roman" w:ascii="Times New Roman" w:hAnsi="Times New Roman"/>
          <w:b w:val="false"/>
          <w:bCs/>
        </w:rPr>
        <w:t xml:space="preserve"> </w:t>
      </w:r>
      <w:r>
        <w:rPr>
          <w:rFonts w:cs="Times New Roman" w:ascii="Times New Roman" w:hAnsi="Times New Roman"/>
          <w:b w:val="false"/>
        </w:rPr>
        <w:t>For e.g., for a reduced capability UE operating with a maximum bandwidth of 20 MHz and a sub-carrier spacing of 30 kHz, the number of CCE available in a CORESET with a duration of 3 OFDM symbol is around 27. Therefore, even if two reduced capability UE’s share the same CORESET, transmission of two PDCCHs with 16 AL is not possible and will lead to PDCCH blocking. An alternative way is to reduce the size of DCI. Using a reduced payload DCI, higher coding gain can be supported with the same AL.. This helps to mitigate the loss of spatial diversity gain incurred due the reduction in minimum Rx branches. By using lower AL with reduced DCI size, same level of PDCCH performance can be achieved, without reducing the PDCCH capacity. Since complexity is reduced considerably in reduced capability UEs and most use cases require UEs to be stationary, certain fields in DCI can be modified or combined, leading to reduction in DCI payload.</w:t>
      </w:r>
    </w:p>
    <w:p>
      <w:pPr>
        <w:pStyle w:val="Normal"/>
        <w:jc w:val="both"/>
        <w:rPr/>
      </w:pPr>
      <w:r>
        <w:rPr>
          <w:rFonts w:cs="Times New Roman" w:ascii="Times New Roman" w:hAnsi="Times New Roman"/>
          <w:b/>
          <w:bCs/>
        </w:rPr>
        <w:t>Proposal 1:</w:t>
      </w:r>
      <w:r>
        <w:rPr>
          <w:rFonts w:cs="Times New Roman" w:ascii="Times New Roman" w:hAnsi="Times New Roman"/>
        </w:rPr>
        <w:t xml:space="preserve"> Support compact DCI by combining different DCI fields and/or reducing minimum size of certain DCI fields.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In certain reduced capability UE use cases, the UE is considered to have periodic traffic pattern and have low/no mobility. Also, multiple UEs placed in close proximity also share similar traffic patterns. In such cases, if a group of reduced capability UE’s share certain control information, the total number of PDCCH transmitted by the gNB can be reduced, which in-turn helps reducing the PDCCH blocking rate. Therefore, a group of UE can be scheduled using a common DCI.</w:t>
      </w:r>
    </w:p>
    <w:p>
      <w:pPr>
        <w:pStyle w:val="Normal"/>
        <w:jc w:val="both"/>
        <w:rPr/>
      </w:pPr>
      <w:r>
        <w:rPr>
          <w:rFonts w:cs="Times New Roman" w:ascii="Times New Roman" w:hAnsi="Times New Roman"/>
        </w:rPr>
        <w:t xml:space="preserve"> </w:t>
      </w:r>
    </w:p>
    <w:p>
      <w:pPr>
        <w:pStyle w:val="Normal"/>
        <w:jc w:val="both"/>
        <w:rPr/>
      </w:pPr>
      <w:r>
        <w:rPr/>
      </w:r>
    </w:p>
    <w:p>
      <w:pPr>
        <w:pStyle w:val="Normal"/>
        <w:jc w:val="both"/>
        <w:rPr/>
      </w:pPr>
      <w:r>
        <w:rPr>
          <w:rFonts w:cs="Times New Roman" w:ascii="Times New Roman" w:hAnsi="Times New Roman"/>
          <w:b/>
          <w:bCs/>
        </w:rPr>
        <w:t>Proposal 2:</w:t>
      </w:r>
      <w:r>
        <w:rPr>
          <w:rFonts w:cs="Times New Roman" w:ascii="Times New Roman" w:hAnsi="Times New Roman"/>
        </w:rPr>
        <w:t xml:space="preserve"> Support new group-common DCI for RedCap UE.</w:t>
      </w:r>
    </w:p>
    <w:p>
      <w:pPr>
        <w:pStyle w:val="Normal"/>
        <w:jc w:val="both"/>
        <w:rPr>
          <w:rFonts w:ascii="Times New Roman" w:hAnsi="Times New Roman" w:cs="Times New Roman"/>
        </w:rPr>
      </w:pPr>
      <w:r>
        <w:rPr>
          <w:rFonts w:cs="Times New Roman" w:ascii="Times New Roman" w:hAnsi="Times New Roman"/>
        </w:rPr>
      </w:r>
    </w:p>
    <w:p>
      <w:pPr>
        <w:pStyle w:val="Normal"/>
        <w:jc w:val="both"/>
        <w:rPr/>
      </w:pPr>
      <w:r>
        <w:rPr>
          <w:rFonts w:cs="Times New Roman" w:ascii="Times New Roman" w:hAnsi="Times New Roman"/>
        </w:rPr>
        <w:t xml:space="preserve">An alternative approach is to schedule multiple PDSCH through single DCI. </w:t>
      </w:r>
      <w:r>
        <w:rPr>
          <w:rFonts w:cs="Times New Roman" w:ascii="Times New Roman" w:hAnsi="Times New Roman"/>
          <w:lang w:val="en-IN"/>
        </w:rPr>
        <w:t xml:space="preserve">Scheduling of multiple PDSCHs using a single DCI can be used for reducing the PDCCH blocking and also in reducing power consumption. If each of the PDSCH is scheduled using an independent DCI, then the number of scheduled DCIs will be more. If multiple PDSCHs are scheduled by a single DCI, the number of scheduled DCIs will reduce, which in turn will require lesser number of PDCCH candidates to schedule a UE. </w:t>
      </w:r>
    </w:p>
    <w:p>
      <w:pPr>
        <w:pStyle w:val="Normal"/>
        <w:jc w:val="both"/>
        <w:rPr>
          <w:lang w:val="en-IN"/>
        </w:rPr>
      </w:pPr>
      <w:r>
        <w:rPr>
          <w:lang w:val="en-IN"/>
        </w:rPr>
      </w:r>
    </w:p>
    <w:p>
      <w:pPr>
        <w:pStyle w:val="Normal"/>
        <w:numPr>
          <w:ilvl w:val="0"/>
          <w:numId w:val="6"/>
        </w:numPr>
        <w:jc w:val="both"/>
        <w:rPr/>
      </w:pPr>
      <w:bookmarkStart w:id="5" w:name="__DdeLink__132394_1175788048"/>
      <w:r>
        <w:rPr>
          <w:rFonts w:cs="Times New Roman" w:ascii="Times New Roman" w:hAnsi="Times New Roman"/>
          <w:b/>
          <w:bCs/>
          <w:lang w:val="en-IN"/>
        </w:rPr>
        <w:t xml:space="preserve">Proposal </w:t>
      </w:r>
      <w:r>
        <w:rPr>
          <w:rFonts w:cs="Times New Roman" w:ascii="Times New Roman" w:hAnsi="Times New Roman"/>
          <w:b/>
          <w:bCs/>
          <w:lang w:val="en-IN"/>
        </w:rPr>
        <w:t>3</w:t>
      </w:r>
      <w:r>
        <w:rPr>
          <w:rFonts w:cs="Times New Roman" w:ascii="Times New Roman" w:hAnsi="Times New Roman"/>
          <w:b/>
          <w:bCs/>
          <w:lang w:val="en-IN"/>
        </w:rPr>
        <w:t>:</w:t>
      </w:r>
      <w:bookmarkEnd w:id="5"/>
      <w:r>
        <w:rPr>
          <w:rFonts w:cs="Times New Roman" w:ascii="Times New Roman" w:hAnsi="Times New Roman"/>
          <w:b/>
          <w:bCs/>
          <w:lang w:val="en-IN"/>
        </w:rPr>
        <w:t xml:space="preserve"> </w:t>
      </w:r>
      <w:r>
        <w:rPr>
          <w:lang w:val="en-IN"/>
        </w:rPr>
        <w:t>Scheduling multi-PDSCH through single DCI to be supported.</w:t>
      </w:r>
    </w:p>
    <w:p>
      <w:pPr>
        <w:pStyle w:val="Normal"/>
        <w:spacing w:before="0" w:after="240"/>
        <w:jc w:val="both"/>
        <w:rPr>
          <w:lang w:val="en-IN"/>
        </w:rPr>
      </w:pPr>
      <w:r>
        <w:rPr>
          <w:lang w:val="en-IN"/>
        </w:rPr>
      </w:r>
    </w:p>
    <w:p>
      <w:pPr>
        <w:pStyle w:val="3GPPHeader"/>
        <w:rPr/>
      </w:pPr>
      <w:r>
        <w:rPr/>
        <w:t>3. Conclusions</w:t>
      </w:r>
    </w:p>
    <w:p>
      <w:pPr>
        <w:pStyle w:val="Normal"/>
        <w:jc w:val="both"/>
        <w:rPr>
          <w:rFonts w:ascii="Times New Roman" w:hAnsi="Times New Roman" w:cs="Times New Roman"/>
        </w:rPr>
      </w:pPr>
      <w:r>
        <w:rPr>
          <w:rFonts w:cs="Times New Roman" w:ascii="Times New Roman" w:hAnsi="Times New Roman"/>
        </w:rPr>
        <w:t>In this contribution we considered potential solution for reducing PDCCH blocking. Based on the discussion we make the following observations and proposals,</w:t>
      </w:r>
    </w:p>
    <w:p>
      <w:pPr>
        <w:pStyle w:val="Normal"/>
        <w:jc w:val="both"/>
        <w:rPr>
          <w:rFonts w:ascii="Times New Roman" w:hAnsi="Times New Roman" w:cs="Times New Roman"/>
        </w:rPr>
      </w:pPr>
      <w:r>
        <w:rPr>
          <w:rFonts w:cs="Times New Roman" w:ascii="Times New Roman" w:hAnsi="Times New Roman"/>
        </w:rPr>
      </w:r>
    </w:p>
    <w:p>
      <w:pPr>
        <w:pStyle w:val="Normal"/>
        <w:numPr>
          <w:ilvl w:val="0"/>
          <w:numId w:val="1"/>
        </w:numPr>
        <w:jc w:val="both"/>
        <w:rPr/>
      </w:pPr>
      <w:r>
        <w:rPr>
          <w:rFonts w:cs="Times New Roman" w:ascii="Times New Roman" w:hAnsi="Times New Roman"/>
          <w:b/>
          <w:bCs/>
        </w:rPr>
        <w:t>Proposal 1:</w:t>
      </w:r>
      <w:r>
        <w:rPr>
          <w:rFonts w:cs="Times New Roman" w:ascii="Times New Roman" w:hAnsi="Times New Roman"/>
        </w:rPr>
        <w:t xml:space="preserve"> Support compact DCI by combining different DCI fields and/or reducing minimum size of certain DCI fields.</w:t>
      </w:r>
    </w:p>
    <w:p>
      <w:pPr>
        <w:pStyle w:val="Normal"/>
        <w:numPr>
          <w:ilvl w:val="0"/>
          <w:numId w:val="1"/>
        </w:numPr>
        <w:jc w:val="both"/>
        <w:rPr>
          <w:rFonts w:ascii="Times New Roman" w:hAnsi="Times New Roman" w:cs="Times New Roman"/>
        </w:rPr>
      </w:pPr>
      <w:r>
        <w:rPr>
          <w:rFonts w:cs="Times New Roman" w:ascii="Times New Roman" w:hAnsi="Times New Roman"/>
          <w:b/>
          <w:bCs/>
        </w:rPr>
        <w:t>Proposal 2:</w:t>
      </w:r>
      <w:r>
        <w:rPr>
          <w:rFonts w:cs="Times New Roman" w:ascii="Times New Roman" w:hAnsi="Times New Roman"/>
        </w:rPr>
        <w:t xml:space="preserve"> Support new group-common DCI for RedCap UE.</w:t>
      </w:r>
    </w:p>
    <w:p>
      <w:pPr>
        <w:pStyle w:val="Normal"/>
        <w:numPr>
          <w:ilvl w:val="0"/>
          <w:numId w:val="1"/>
        </w:numPr>
        <w:jc w:val="both"/>
        <w:rPr/>
      </w:pPr>
      <w:r>
        <w:rPr>
          <w:rFonts w:cs="Times New Roman" w:ascii="Times New Roman" w:hAnsi="Times New Roman"/>
          <w:b/>
          <w:bCs/>
          <w:lang w:val="en-IN"/>
        </w:rPr>
        <w:t>Proposal 3:</w:t>
      </w:r>
      <w:r>
        <w:rPr>
          <w:rFonts w:cs="Times New Roman" w:ascii="Times New Roman" w:hAnsi="Times New Roman"/>
          <w:lang w:val="en-IN"/>
        </w:rPr>
        <w:t xml:space="preserve"> Scheduling multi-PDSCH through single DCI to be supported.</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b/>
          <w:b/>
        </w:rPr>
      </w:pPr>
      <w:r>
        <w:rPr>
          <w:rFonts w:cs="Times New Roman" w:ascii="Times New Roman" w:hAnsi="Times New Roman"/>
          <w:b/>
        </w:rPr>
        <w:t>4. References</w:t>
      </w:r>
    </w:p>
    <w:p>
      <w:pPr>
        <w:pStyle w:val="Normal"/>
        <w:numPr>
          <w:ilvl w:val="0"/>
          <w:numId w:val="5"/>
        </w:numPr>
        <w:tabs>
          <w:tab w:val="left" w:pos="2127" w:leader="none"/>
        </w:tabs>
        <w:jc w:val="both"/>
        <w:rPr>
          <w:rFonts w:ascii="Times New Roman" w:hAnsi="Times New Roman" w:eastAsia="Times New Roman" w:cs="Times New Roman"/>
          <w:bCs/>
          <w:color w:val="000000"/>
          <w:lang w:eastAsia="en-US"/>
        </w:rPr>
      </w:pPr>
      <w:r>
        <w:rPr>
          <w:rFonts w:eastAsia="Times New Roman" w:cs="Times New Roman" w:ascii="Times New Roman" w:hAnsi="Times New Roman"/>
          <w:bCs/>
          <w:color w:val="000000"/>
          <w:lang w:eastAsia="en-US"/>
        </w:rPr>
        <w:t xml:space="preserve">RP-202933, New WID on support of reduced capability NR devices , 3GPP RAN Meeting #90e </w:t>
      </w:r>
    </w:p>
    <w:p>
      <w:pPr>
        <w:pStyle w:val="Normal"/>
        <w:numPr>
          <w:ilvl w:val="0"/>
          <w:numId w:val="5"/>
        </w:numPr>
        <w:tabs>
          <w:tab w:val="left" w:pos="2127" w:leader="none"/>
        </w:tabs>
        <w:jc w:val="both"/>
        <w:rPr>
          <w:rFonts w:ascii="Times New Roman" w:hAnsi="Times New Roman" w:eastAsia="Times New Roman" w:cs="Times New Roman"/>
          <w:bCs/>
          <w:color w:val="000000"/>
          <w:lang w:eastAsia="en-US"/>
        </w:rPr>
      </w:pPr>
      <w:r>
        <w:rPr>
          <w:rFonts w:eastAsia="Times New Roman" w:cs="Times New Roman" w:ascii="Times New Roman" w:hAnsi="Times New Roman"/>
          <w:bCs/>
          <w:color w:val="000000"/>
          <w:lang w:eastAsia="en-US"/>
        </w:rPr>
        <w:t>Chairman’s Notes RAN1#104-e, v-018</w:t>
      </w:r>
    </w:p>
    <w:p>
      <w:pPr>
        <w:pStyle w:val="Reference"/>
        <w:numPr>
          <w:ilvl w:val="0"/>
          <w:numId w:val="5"/>
        </w:numPr>
        <w:tabs>
          <w:tab w:val="left" w:pos="2127" w:leader="none"/>
        </w:tabs>
        <w:jc w:val="both"/>
        <w:rPr/>
      </w:pPr>
      <w:bookmarkStart w:id="6" w:name="_Ref481672677"/>
      <w:r>
        <w:rPr>
          <w:rFonts w:eastAsia="Times New Roman" w:cs="Times New Roman" w:ascii="Times New Roman" w:hAnsi="Times New Roman"/>
          <w:bCs/>
          <w:color w:val="000000"/>
          <w:lang w:eastAsia="en-US"/>
        </w:rPr>
        <w:t xml:space="preserve">RP-2101248, “Discussions on </w:t>
      </w:r>
      <w:bookmarkStart w:id="7" w:name="_Hlk522679171"/>
      <w:bookmarkEnd w:id="7"/>
      <w:r>
        <w:rPr>
          <w:rFonts w:eastAsia="Times New Roman" w:cs="Times New Roman" w:ascii="Times New Roman" w:hAnsi="Times New Roman"/>
          <w:bCs/>
          <w:color w:val="000000"/>
          <w:lang w:val="en-GB" w:eastAsia="en-US"/>
        </w:rPr>
        <w:t>PDCCH monitoring for reduced capability devices</w:t>
      </w:r>
      <w:r>
        <w:rPr>
          <w:rFonts w:eastAsia="Times New Roman" w:cs="Times New Roman" w:ascii="Times New Roman" w:hAnsi="Times New Roman"/>
          <w:bCs/>
          <w:color w:val="000000"/>
          <w:lang w:eastAsia="en-US"/>
        </w:rPr>
        <w:t>”, Cewit, RAN#104-e, February 20</w:t>
      </w:r>
      <w:bookmarkEnd w:id="6"/>
      <w:r>
        <w:rPr>
          <w:rFonts w:eastAsia="Times New Roman" w:cs="Times New Roman" w:ascii="Times New Roman" w:hAnsi="Times New Roman"/>
          <w:bCs/>
          <w:color w:val="000000"/>
          <w:lang w:eastAsia="en-US"/>
        </w:rPr>
        <w:t>21</w:t>
      </w:r>
      <w:r>
        <w:rPr>
          <w:rFonts w:eastAsia="SimSun" w:cs="Times New Roman" w:ascii="Times New Roman" w:hAnsi="Times New Roman"/>
          <w:bCs/>
          <w:color w:val="000000"/>
          <w:lang w:eastAsia="en-US"/>
        </w:rPr>
        <w:t>.</w:t>
      </w:r>
    </w:p>
    <w:sectPr>
      <w:type w:val="nextPage"/>
      <w:pgSz w:w="12240" w:h="15840"/>
      <w:pgMar w:left="1134" w:right="1134" w:header="0" w:top="1134" w:footer="0" w:bottom="1134" w:gutter="0"/>
      <w:pgNumType w:fmt="decimal"/>
      <w:formProt w:val="false"/>
      <w:textDirection w:val="lrTb"/>
      <w:docGrid w:type="default" w:linePitch="60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1"/>
    <w:family w:val="roman"/>
    <w:pitch w:val="variable"/>
  </w:font>
  <w:font w:name="Symbol">
    <w:charset w:val="01"/>
    <w:family w:val="roman"/>
    <w:pitch w:val="variable"/>
  </w:font>
  <w:font w:name="Courier New">
    <w:charset w:val="01"/>
    <w:family w:val="roman"/>
    <w:pitch w:val="variable"/>
  </w:font>
  <w:font w:name="Wingdings">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Symbol">
    <w:charset w:val="02"/>
    <w:family w:val="auto"/>
    <w:pitch w:val="default"/>
  </w:font>
  <w:font w:name="OpenSymbol">
    <w:altName w:val="Arial Unicode MS"/>
    <w:charset w:val="01"/>
    <w:family w:val="auto"/>
    <w:pitch w:val="variable"/>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Symbol" w:hAnsi="Symbol" w:cs="Symbol" w:hint="default"/>
        <w:sz w:val="24"/>
        <w:b w:val="false"/>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2">
    <w:lvl w:ilvl="0">
      <w:start w:val="1"/>
      <w:numFmt w:val="bullet"/>
      <w:lvlText w:val=""/>
      <w:lvlJc w:val="left"/>
      <w:pPr>
        <w:ind w:left="720" w:hanging="360"/>
      </w:pPr>
      <w:rPr>
        <w:rFonts w:ascii="Symbol" w:hAnsi="Symbol" w:cs="Symbol" w:hint="default"/>
        <w:sz w:val="21"/>
        <w:b/>
        <w:rFonts w:cs="Symbol"/>
        <w:lang w:val="en-US"/>
      </w:rPr>
    </w:lvl>
    <w:lvl w:ilvl="1">
      <w:start w:val="1"/>
      <w:numFmt w:val="bullet"/>
      <w:lvlText w:val="o"/>
      <w:lvlJc w:val="left"/>
      <w:pPr>
        <w:ind w:left="1440" w:hanging="360"/>
      </w:pPr>
      <w:rPr>
        <w:rFonts w:ascii="Courier New" w:hAnsi="Courier New" w:cs="Courier New" w:hint="default"/>
        <w:sz w:val="21"/>
        <w:b/>
        <w:rFonts w:cs="Courier New"/>
      </w:rPr>
    </w:lvl>
    <w:lvl w:ilvl="2">
      <w:start w:val="1"/>
      <w:numFmt w:val="bullet"/>
      <w:lvlText w:val=""/>
      <w:lvlJc w:val="left"/>
      <w:pPr>
        <w:ind w:left="2160" w:hanging="360"/>
      </w:pPr>
      <w:rPr>
        <w:rFonts w:ascii="Wingdings" w:hAnsi="Wingdings" w:cs="Wingdings" w:hint="default"/>
        <w:sz w:val="21"/>
        <w:b/>
        <w:rFonts w:cs="Wingdings"/>
      </w:rPr>
    </w:lvl>
    <w:lvl w:ilvl="3">
      <w:start w:val="1"/>
      <w:numFmt w:val="bullet"/>
      <w:lvlText w:val=""/>
      <w:lvlJc w:val="left"/>
      <w:pPr>
        <w:ind w:left="2880" w:hanging="360"/>
      </w:pPr>
      <w:rPr>
        <w:rFonts w:ascii="Symbol" w:hAnsi="Symbol" w:cs="Symbol" w:hint="default"/>
        <w:rFonts w:cs="Symbol"/>
        <w:lang w:val="en-US"/>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lang w:val="en-US"/>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ind w:left="720" w:hanging="360"/>
      </w:pPr>
      <w:rPr>
        <w:rFonts w:ascii="Symbol" w:hAnsi="Symbol" w:cs="Symbol" w:hint="default"/>
        <w:szCs w:val="20"/>
        <w:rFonts w:cs="Symbol"/>
      </w:rPr>
    </w:lvl>
    <w:lvl w:ilvl="1">
      <w:start w:val="1"/>
      <w:numFmt w:val="bullet"/>
      <w:lvlText w:val="o"/>
      <w:lvlJc w:val="left"/>
      <w:pPr>
        <w:ind w:left="1440" w:hanging="360"/>
      </w:pPr>
      <w:rPr>
        <w:rFonts w:ascii="Courier New" w:hAnsi="Courier New" w:cs="Courier New" w:hint="default"/>
        <w:sz w:val="24"/>
        <w:b/>
        <w:szCs w:val="20"/>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szCs w:val="20"/>
        <w:rFonts w:cs="Symbol"/>
      </w:rPr>
    </w:lvl>
    <w:lvl w:ilvl="4">
      <w:start w:val="1"/>
      <w:numFmt w:val="bullet"/>
      <w:lvlText w:val="o"/>
      <w:lvlJc w:val="left"/>
      <w:pPr>
        <w:ind w:left="3600" w:hanging="360"/>
      </w:pPr>
      <w:rPr>
        <w:rFonts w:ascii="Courier New" w:hAnsi="Courier New" w:cs="Courier New" w:hint="default"/>
        <w:szCs w:val="20"/>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szCs w:val="20"/>
        <w:rFonts w:cs="Symbol"/>
      </w:rPr>
    </w:lvl>
    <w:lvl w:ilvl="7">
      <w:start w:val="1"/>
      <w:numFmt w:val="bullet"/>
      <w:lvlText w:val="o"/>
      <w:lvlJc w:val="left"/>
      <w:pPr>
        <w:ind w:left="5760" w:hanging="360"/>
      </w:pPr>
      <w:rPr>
        <w:rFonts w:ascii="Courier New" w:hAnsi="Courier New" w:cs="Courier New" w:hint="default"/>
        <w:szCs w:val="20"/>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bullet"/>
      <w:lvlText w:val=""/>
      <w:lvlJc w:val="left"/>
      <w:pPr>
        <w:ind w:left="720" w:hanging="360"/>
      </w:pPr>
      <w:rPr>
        <w:rFonts w:ascii="Symbol" w:hAnsi="Symbol" w:cs="Symbol" w:hint="default"/>
        <w:szCs w:val="20"/>
        <w:rFonts w:cs="Symbol"/>
      </w:rPr>
    </w:lvl>
    <w:lvl w:ilvl="1">
      <w:start w:val="1"/>
      <w:numFmt w:val="bullet"/>
      <w:lvlText w:val="o"/>
      <w:lvlJc w:val="left"/>
      <w:pPr>
        <w:ind w:left="1440" w:hanging="360"/>
      </w:pPr>
      <w:rPr>
        <w:rFonts w:ascii="Courier New" w:hAnsi="Courier New" w:cs="Courier New" w:hint="default"/>
        <w:szCs w:val="20"/>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szCs w:val="20"/>
        <w:rFonts w:cs="Symbol"/>
      </w:rPr>
    </w:lvl>
    <w:lvl w:ilvl="4">
      <w:start w:val="1"/>
      <w:numFmt w:val="bullet"/>
      <w:lvlText w:val="o"/>
      <w:lvlJc w:val="left"/>
      <w:pPr>
        <w:ind w:left="3600" w:hanging="360"/>
      </w:pPr>
      <w:rPr>
        <w:rFonts w:ascii="Courier New" w:hAnsi="Courier New" w:cs="Courier New" w:hint="default"/>
        <w:szCs w:val="20"/>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szCs w:val="20"/>
        <w:rFonts w:cs="Symbol"/>
      </w:rPr>
    </w:lvl>
    <w:lvl w:ilvl="7">
      <w:start w:val="1"/>
      <w:numFmt w:val="bullet"/>
      <w:lvlText w:val="o"/>
      <w:lvlJc w:val="left"/>
      <w:pPr>
        <w:ind w:left="5760" w:hanging="360"/>
      </w:pPr>
      <w:rPr>
        <w:rFonts w:ascii="Courier New" w:hAnsi="Courier New" w:cs="Courier New" w:hint="default"/>
        <w:szCs w:val="20"/>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9"/>
  <w:autoHyphenation w:val="false"/>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urce Han Sans CN" w:cs="Gargi-1.2b"/>
        <w:szCs w:val="24"/>
        <w:lang w:val="en-US" w:eastAsia="zh-CN" w:bidi="hi-IN"/>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844e4"/>
    <w:pPr>
      <w:widowControl/>
      <w:suppressAutoHyphens w:val="true"/>
      <w:overflowPunct w:val="true"/>
      <w:bidi w:val="0"/>
      <w:jc w:val="left"/>
    </w:pPr>
    <w:rPr>
      <w:rFonts w:ascii="Liberation Serif" w:hAnsi="Liberation Serif" w:eastAsia="Source Han Sans CN" w:cs="Gargi-1.2b"/>
      <w:color w:val="00000A"/>
      <w:sz w:val="24"/>
      <w:szCs w:val="24"/>
      <w:lang w:val="en-US" w:eastAsia="zh-CN" w:bidi="hi-IN"/>
    </w:rPr>
  </w:style>
  <w:style w:type="character" w:styleId="DefaultParagraphFont" w:default="1">
    <w:name w:val="Default Paragraph Font"/>
    <w:uiPriority w:val="1"/>
    <w:semiHidden/>
    <w:unhideWhenUsed/>
    <w:qFormat/>
    <w:rPr/>
  </w:style>
  <w:style w:type="character" w:styleId="NumberingSymbols" w:customStyle="1">
    <w:name w:val="Numbering Symbols"/>
    <w:qFormat/>
    <w:rsid w:val="00b844e4"/>
    <w:rPr/>
  </w:style>
  <w:style w:type="character" w:styleId="Bullets" w:customStyle="1">
    <w:name w:val="Bullets"/>
    <w:qFormat/>
    <w:rsid w:val="00b844e4"/>
    <w:rPr>
      <w:rFonts w:ascii="OpenSymbol" w:hAnsi="OpenSymbol" w:eastAsia="OpenSymbol" w:cs="OpenSymbol"/>
    </w:rPr>
  </w:style>
  <w:style w:type="character" w:styleId="WW8Num15z0" w:customStyle="1">
    <w:name w:val="WW8Num15z0"/>
    <w:qFormat/>
    <w:rsid w:val="00b844e4"/>
    <w:rPr>
      <w:rFonts w:ascii="Symbol" w:hAnsi="Symbol" w:cs="Symbol"/>
      <w:lang w:val="en-US"/>
    </w:rPr>
  </w:style>
  <w:style w:type="character" w:styleId="WW8Num15z1" w:customStyle="1">
    <w:name w:val="WW8Num15z1"/>
    <w:qFormat/>
    <w:rsid w:val="00b844e4"/>
    <w:rPr>
      <w:rFonts w:ascii="Courier New" w:hAnsi="Courier New" w:cs="Courier New"/>
    </w:rPr>
  </w:style>
  <w:style w:type="character" w:styleId="WW8Num15z2" w:customStyle="1">
    <w:name w:val="WW8Num15z2"/>
    <w:qFormat/>
    <w:rsid w:val="00b844e4"/>
    <w:rPr>
      <w:rFonts w:ascii="Wingdings" w:hAnsi="Wingdings" w:cs="Wingdings"/>
    </w:rPr>
  </w:style>
  <w:style w:type="character" w:styleId="WW8Num100z0" w:customStyle="1">
    <w:name w:val="WW8Num100z0"/>
    <w:qFormat/>
    <w:rsid w:val="00b844e4"/>
    <w:rPr>
      <w:rFonts w:ascii="Symbol" w:hAnsi="Symbol" w:eastAsia="Times New Roman" w:cs="Symbol"/>
      <w:szCs w:val="20"/>
    </w:rPr>
  </w:style>
  <w:style w:type="character" w:styleId="WW8Num100z1" w:customStyle="1">
    <w:name w:val="WW8Num100z1"/>
    <w:qFormat/>
    <w:rsid w:val="00b844e4"/>
    <w:rPr>
      <w:rFonts w:ascii="Courier New" w:hAnsi="Courier New" w:cs="Courier New"/>
      <w:szCs w:val="20"/>
    </w:rPr>
  </w:style>
  <w:style w:type="character" w:styleId="WW8Num100z2" w:customStyle="1">
    <w:name w:val="WW8Num100z2"/>
    <w:qFormat/>
    <w:rsid w:val="00b844e4"/>
    <w:rPr>
      <w:rFonts w:ascii="Wingdings" w:hAnsi="Wingdings" w:cs="Wingdings"/>
    </w:rPr>
  </w:style>
  <w:style w:type="character" w:styleId="WW8Num12z0" w:customStyle="1">
    <w:name w:val="WW8Num12z0"/>
    <w:qFormat/>
    <w:rsid w:val="00b844e4"/>
    <w:rPr/>
  </w:style>
  <w:style w:type="character" w:styleId="WW8Num12z1" w:customStyle="1">
    <w:name w:val="WW8Num12z1"/>
    <w:qFormat/>
    <w:rsid w:val="00b844e4"/>
    <w:rPr/>
  </w:style>
  <w:style w:type="character" w:styleId="WW8Num12z2" w:customStyle="1">
    <w:name w:val="WW8Num12z2"/>
    <w:qFormat/>
    <w:rsid w:val="00b844e4"/>
    <w:rPr/>
  </w:style>
  <w:style w:type="character" w:styleId="WW8Num12z3" w:customStyle="1">
    <w:name w:val="WW8Num12z3"/>
    <w:qFormat/>
    <w:rsid w:val="00b844e4"/>
    <w:rPr/>
  </w:style>
  <w:style w:type="character" w:styleId="WW8Num12z4" w:customStyle="1">
    <w:name w:val="WW8Num12z4"/>
    <w:qFormat/>
    <w:rsid w:val="00b844e4"/>
    <w:rPr/>
  </w:style>
  <w:style w:type="character" w:styleId="WW8Num12z5" w:customStyle="1">
    <w:name w:val="WW8Num12z5"/>
    <w:qFormat/>
    <w:rsid w:val="00b844e4"/>
    <w:rPr/>
  </w:style>
  <w:style w:type="character" w:styleId="WW8Num12z6" w:customStyle="1">
    <w:name w:val="WW8Num12z6"/>
    <w:qFormat/>
    <w:rsid w:val="00b844e4"/>
    <w:rPr/>
  </w:style>
  <w:style w:type="character" w:styleId="WW8Num12z7" w:customStyle="1">
    <w:name w:val="WW8Num12z7"/>
    <w:qFormat/>
    <w:rsid w:val="00b844e4"/>
    <w:rPr/>
  </w:style>
  <w:style w:type="character" w:styleId="WW8Num12z8" w:customStyle="1">
    <w:name w:val="WW8Num12z8"/>
    <w:qFormat/>
    <w:rsid w:val="00b844e4"/>
    <w:rPr/>
  </w:style>
  <w:style w:type="character" w:styleId="StrongEmphasis" w:customStyle="1">
    <w:name w:val="Strong Emphasis"/>
    <w:qFormat/>
    <w:rsid w:val="00b844e4"/>
    <w:rPr>
      <w:b/>
      <w:bCs/>
    </w:rPr>
  </w:style>
  <w:style w:type="character" w:styleId="ListLabel1" w:customStyle="1">
    <w:name w:val="ListLabel 1"/>
    <w:qFormat/>
    <w:rsid w:val="00b844e4"/>
    <w:rPr>
      <w:rFonts w:ascii="Times New Roman" w:hAnsi="Times New Roman" w:cs="Symbol"/>
      <w:b w:val="false"/>
      <w:sz w:val="24"/>
    </w:rPr>
  </w:style>
  <w:style w:type="character" w:styleId="ListLabel2" w:customStyle="1">
    <w:name w:val="ListLabel 2"/>
    <w:qFormat/>
    <w:rsid w:val="00b844e4"/>
    <w:rPr>
      <w:rFonts w:cs="OpenSymbol"/>
    </w:rPr>
  </w:style>
  <w:style w:type="character" w:styleId="ListLabel3" w:customStyle="1">
    <w:name w:val="ListLabel 3"/>
    <w:qFormat/>
    <w:rsid w:val="00b844e4"/>
    <w:rPr>
      <w:rFonts w:cs="OpenSymbol"/>
    </w:rPr>
  </w:style>
  <w:style w:type="character" w:styleId="ListLabel4" w:customStyle="1">
    <w:name w:val="ListLabel 4"/>
    <w:qFormat/>
    <w:rsid w:val="00b844e4"/>
    <w:rPr>
      <w:rFonts w:cs="Symbol"/>
    </w:rPr>
  </w:style>
  <w:style w:type="character" w:styleId="ListLabel5" w:customStyle="1">
    <w:name w:val="ListLabel 5"/>
    <w:qFormat/>
    <w:rsid w:val="00b844e4"/>
    <w:rPr>
      <w:rFonts w:cs="OpenSymbol"/>
    </w:rPr>
  </w:style>
  <w:style w:type="character" w:styleId="ListLabel6" w:customStyle="1">
    <w:name w:val="ListLabel 6"/>
    <w:qFormat/>
    <w:rsid w:val="00b844e4"/>
    <w:rPr>
      <w:rFonts w:cs="OpenSymbol"/>
    </w:rPr>
  </w:style>
  <w:style w:type="character" w:styleId="ListLabel7" w:customStyle="1">
    <w:name w:val="ListLabel 7"/>
    <w:qFormat/>
    <w:rsid w:val="00b844e4"/>
    <w:rPr>
      <w:rFonts w:cs="Symbol"/>
    </w:rPr>
  </w:style>
  <w:style w:type="character" w:styleId="ListLabel8" w:customStyle="1">
    <w:name w:val="ListLabel 8"/>
    <w:qFormat/>
    <w:rsid w:val="00b844e4"/>
    <w:rPr>
      <w:rFonts w:cs="OpenSymbol"/>
    </w:rPr>
  </w:style>
  <w:style w:type="character" w:styleId="ListLabel9" w:customStyle="1">
    <w:name w:val="ListLabel 9"/>
    <w:qFormat/>
    <w:rsid w:val="00b844e4"/>
    <w:rPr>
      <w:rFonts w:cs="OpenSymbol"/>
    </w:rPr>
  </w:style>
  <w:style w:type="character" w:styleId="ListLabel10" w:customStyle="1">
    <w:name w:val="ListLabel 10"/>
    <w:qFormat/>
    <w:rsid w:val="00b844e4"/>
    <w:rPr>
      <w:rFonts w:cs="Symbol"/>
      <w:b/>
      <w:sz w:val="21"/>
      <w:lang w:val="en-US"/>
    </w:rPr>
  </w:style>
  <w:style w:type="character" w:styleId="ListLabel11" w:customStyle="1">
    <w:name w:val="ListLabel 11"/>
    <w:qFormat/>
    <w:rsid w:val="00b844e4"/>
    <w:rPr>
      <w:rFonts w:cs="Courier New"/>
      <w:b/>
      <w:sz w:val="21"/>
    </w:rPr>
  </w:style>
  <w:style w:type="character" w:styleId="ListLabel12" w:customStyle="1">
    <w:name w:val="ListLabel 12"/>
    <w:qFormat/>
    <w:rsid w:val="00b844e4"/>
    <w:rPr>
      <w:rFonts w:cs="Wingdings"/>
      <w:b/>
      <w:sz w:val="21"/>
    </w:rPr>
  </w:style>
  <w:style w:type="character" w:styleId="ListLabel13" w:customStyle="1">
    <w:name w:val="ListLabel 13"/>
    <w:qFormat/>
    <w:rsid w:val="00b844e4"/>
    <w:rPr>
      <w:rFonts w:cs="Symbol"/>
      <w:lang w:val="en-US"/>
    </w:rPr>
  </w:style>
  <w:style w:type="character" w:styleId="ListLabel14" w:customStyle="1">
    <w:name w:val="ListLabel 14"/>
    <w:qFormat/>
    <w:rsid w:val="00b844e4"/>
    <w:rPr>
      <w:rFonts w:cs="Courier New"/>
    </w:rPr>
  </w:style>
  <w:style w:type="character" w:styleId="ListLabel15" w:customStyle="1">
    <w:name w:val="ListLabel 15"/>
    <w:qFormat/>
    <w:rsid w:val="00b844e4"/>
    <w:rPr>
      <w:rFonts w:cs="Wingdings"/>
    </w:rPr>
  </w:style>
  <w:style w:type="character" w:styleId="ListLabel16" w:customStyle="1">
    <w:name w:val="ListLabel 16"/>
    <w:qFormat/>
    <w:rsid w:val="00b844e4"/>
    <w:rPr>
      <w:rFonts w:cs="Symbol"/>
      <w:lang w:val="en-US"/>
    </w:rPr>
  </w:style>
  <w:style w:type="character" w:styleId="ListLabel17" w:customStyle="1">
    <w:name w:val="ListLabel 17"/>
    <w:qFormat/>
    <w:rsid w:val="00b844e4"/>
    <w:rPr>
      <w:rFonts w:cs="Courier New"/>
    </w:rPr>
  </w:style>
  <w:style w:type="character" w:styleId="ListLabel18" w:customStyle="1">
    <w:name w:val="ListLabel 18"/>
    <w:qFormat/>
    <w:rsid w:val="00b844e4"/>
    <w:rPr>
      <w:rFonts w:cs="Wingdings"/>
    </w:rPr>
  </w:style>
  <w:style w:type="character" w:styleId="ListLabel19" w:customStyle="1">
    <w:name w:val="ListLabel 19"/>
    <w:qFormat/>
    <w:rsid w:val="00b844e4"/>
    <w:rPr>
      <w:rFonts w:cs="Symbol"/>
      <w:szCs w:val="20"/>
    </w:rPr>
  </w:style>
  <w:style w:type="character" w:styleId="ListLabel20" w:customStyle="1">
    <w:name w:val="ListLabel 20"/>
    <w:qFormat/>
    <w:rsid w:val="00b844e4"/>
    <w:rPr>
      <w:rFonts w:ascii="Times New Roman" w:hAnsi="Times New Roman" w:cs="Courier New"/>
      <w:b/>
      <w:sz w:val="24"/>
      <w:szCs w:val="20"/>
    </w:rPr>
  </w:style>
  <w:style w:type="character" w:styleId="ListLabel21" w:customStyle="1">
    <w:name w:val="ListLabel 21"/>
    <w:qFormat/>
    <w:rsid w:val="00b844e4"/>
    <w:rPr>
      <w:rFonts w:cs="Wingdings"/>
    </w:rPr>
  </w:style>
  <w:style w:type="character" w:styleId="ListLabel22" w:customStyle="1">
    <w:name w:val="ListLabel 22"/>
    <w:qFormat/>
    <w:rsid w:val="00b844e4"/>
    <w:rPr>
      <w:rFonts w:cs="Symbol"/>
      <w:szCs w:val="20"/>
    </w:rPr>
  </w:style>
  <w:style w:type="character" w:styleId="ListLabel23" w:customStyle="1">
    <w:name w:val="ListLabel 23"/>
    <w:qFormat/>
    <w:rsid w:val="00b844e4"/>
    <w:rPr>
      <w:rFonts w:cs="Courier New"/>
      <w:szCs w:val="20"/>
    </w:rPr>
  </w:style>
  <w:style w:type="character" w:styleId="ListLabel24" w:customStyle="1">
    <w:name w:val="ListLabel 24"/>
    <w:qFormat/>
    <w:rsid w:val="00b844e4"/>
    <w:rPr>
      <w:rFonts w:cs="Wingdings"/>
    </w:rPr>
  </w:style>
  <w:style w:type="character" w:styleId="ListLabel25" w:customStyle="1">
    <w:name w:val="ListLabel 25"/>
    <w:qFormat/>
    <w:rsid w:val="00b844e4"/>
    <w:rPr>
      <w:rFonts w:cs="Symbol"/>
      <w:szCs w:val="20"/>
    </w:rPr>
  </w:style>
  <w:style w:type="character" w:styleId="ListLabel26" w:customStyle="1">
    <w:name w:val="ListLabel 26"/>
    <w:qFormat/>
    <w:rsid w:val="00b844e4"/>
    <w:rPr>
      <w:rFonts w:cs="Courier New"/>
      <w:szCs w:val="20"/>
    </w:rPr>
  </w:style>
  <w:style w:type="character" w:styleId="ListLabel27" w:customStyle="1">
    <w:name w:val="ListLabel 27"/>
    <w:qFormat/>
    <w:rsid w:val="00b844e4"/>
    <w:rPr>
      <w:rFonts w:cs="Wingdings"/>
    </w:rPr>
  </w:style>
  <w:style w:type="character" w:styleId="ListLabel28" w:customStyle="1">
    <w:name w:val="ListLabel 28"/>
    <w:qFormat/>
    <w:rsid w:val="00b844e4"/>
    <w:rPr>
      <w:rFonts w:cs="Symbol"/>
      <w:szCs w:val="20"/>
    </w:rPr>
  </w:style>
  <w:style w:type="character" w:styleId="ListLabel29" w:customStyle="1">
    <w:name w:val="ListLabel 29"/>
    <w:qFormat/>
    <w:rsid w:val="00b844e4"/>
    <w:rPr>
      <w:rFonts w:cs="Courier New"/>
      <w:szCs w:val="20"/>
    </w:rPr>
  </w:style>
  <w:style w:type="character" w:styleId="ListLabel30" w:customStyle="1">
    <w:name w:val="ListLabel 30"/>
    <w:qFormat/>
    <w:rsid w:val="00b844e4"/>
    <w:rPr>
      <w:rFonts w:cs="Wingdings"/>
    </w:rPr>
  </w:style>
  <w:style w:type="character" w:styleId="ListLabel31" w:customStyle="1">
    <w:name w:val="ListLabel 31"/>
    <w:qFormat/>
    <w:rsid w:val="00b844e4"/>
    <w:rPr>
      <w:rFonts w:cs="Symbol"/>
      <w:szCs w:val="20"/>
    </w:rPr>
  </w:style>
  <w:style w:type="character" w:styleId="ListLabel32" w:customStyle="1">
    <w:name w:val="ListLabel 32"/>
    <w:qFormat/>
    <w:rsid w:val="00b844e4"/>
    <w:rPr>
      <w:rFonts w:cs="Courier New"/>
      <w:szCs w:val="20"/>
    </w:rPr>
  </w:style>
  <w:style w:type="character" w:styleId="ListLabel33" w:customStyle="1">
    <w:name w:val="ListLabel 33"/>
    <w:qFormat/>
    <w:rsid w:val="00b844e4"/>
    <w:rPr>
      <w:rFonts w:cs="Wingdings"/>
    </w:rPr>
  </w:style>
  <w:style w:type="character" w:styleId="ListLabel34" w:customStyle="1">
    <w:name w:val="ListLabel 34"/>
    <w:qFormat/>
    <w:rsid w:val="00b844e4"/>
    <w:rPr>
      <w:rFonts w:cs="Symbol"/>
      <w:szCs w:val="20"/>
    </w:rPr>
  </w:style>
  <w:style w:type="character" w:styleId="ListLabel35" w:customStyle="1">
    <w:name w:val="ListLabel 35"/>
    <w:qFormat/>
    <w:rsid w:val="00b844e4"/>
    <w:rPr>
      <w:rFonts w:cs="Courier New"/>
      <w:szCs w:val="20"/>
    </w:rPr>
  </w:style>
  <w:style w:type="character" w:styleId="ListLabel36" w:customStyle="1">
    <w:name w:val="ListLabel 36"/>
    <w:qFormat/>
    <w:rsid w:val="00b844e4"/>
    <w:rPr>
      <w:rFonts w:cs="Wingdings"/>
    </w:rPr>
  </w:style>
  <w:style w:type="character" w:styleId="CommentTextChar" w:customStyle="1">
    <w:name w:val="Comment Text Char"/>
    <w:basedOn w:val="DefaultParagraphFont"/>
    <w:link w:val="CommentText"/>
    <w:uiPriority w:val="99"/>
    <w:semiHidden/>
    <w:qFormat/>
    <w:rsid w:val="00b844e4"/>
    <w:rPr>
      <w:rFonts w:cs="Mangal"/>
      <w:color w:val="00000A"/>
      <w:szCs w:val="18"/>
    </w:rPr>
  </w:style>
  <w:style w:type="character" w:styleId="Annotationreference">
    <w:name w:val="annotation reference"/>
    <w:basedOn w:val="DefaultParagraphFont"/>
    <w:uiPriority w:val="99"/>
    <w:semiHidden/>
    <w:unhideWhenUsed/>
    <w:qFormat/>
    <w:rsid w:val="00b844e4"/>
    <w:rPr>
      <w:sz w:val="16"/>
      <w:szCs w:val="16"/>
    </w:rPr>
  </w:style>
  <w:style w:type="character" w:styleId="BalloonTextChar" w:customStyle="1">
    <w:name w:val="Balloon Text Char"/>
    <w:basedOn w:val="DefaultParagraphFont"/>
    <w:link w:val="BalloonText"/>
    <w:uiPriority w:val="99"/>
    <w:semiHidden/>
    <w:qFormat/>
    <w:rsid w:val="009b56fd"/>
    <w:rPr>
      <w:rFonts w:ascii="Segoe UI" w:hAnsi="Segoe UI" w:cs="Mangal"/>
      <w:color w:val="00000A"/>
      <w:sz w:val="18"/>
      <w:szCs w:val="16"/>
    </w:rPr>
  </w:style>
  <w:style w:type="character" w:styleId="ListLabel37">
    <w:name w:val="ListLabel 37"/>
    <w:qFormat/>
    <w:rPr>
      <w:rFonts w:ascii="Times New Roman" w:hAnsi="Times New Roman" w:cs="Symbol"/>
      <w:b w:val="false"/>
      <w:sz w:val="24"/>
    </w:rPr>
  </w:style>
  <w:style w:type="character" w:styleId="ListLabel38">
    <w:name w:val="ListLabel 38"/>
    <w:qFormat/>
    <w:rPr>
      <w:rFonts w:cs="OpenSymbol"/>
    </w:rPr>
  </w:style>
  <w:style w:type="character" w:styleId="ListLabel39">
    <w:name w:val="ListLabel 39"/>
    <w:qFormat/>
    <w:rPr>
      <w:rFonts w:cs="OpenSymbol"/>
    </w:rPr>
  </w:style>
  <w:style w:type="character" w:styleId="ListLabel40">
    <w:name w:val="ListLabel 40"/>
    <w:qFormat/>
    <w:rPr>
      <w:rFonts w:cs="Symbol"/>
    </w:rPr>
  </w:style>
  <w:style w:type="character" w:styleId="ListLabel41">
    <w:name w:val="ListLabel 41"/>
    <w:qFormat/>
    <w:rPr>
      <w:rFonts w:cs="OpenSymbol"/>
    </w:rPr>
  </w:style>
  <w:style w:type="character" w:styleId="ListLabel42">
    <w:name w:val="ListLabel 42"/>
    <w:qFormat/>
    <w:rPr>
      <w:rFonts w:cs="OpenSymbol"/>
    </w:rPr>
  </w:style>
  <w:style w:type="character" w:styleId="ListLabel43">
    <w:name w:val="ListLabel 43"/>
    <w:qFormat/>
    <w:rPr>
      <w:rFonts w:cs="Symbol"/>
    </w:rPr>
  </w:style>
  <w:style w:type="character" w:styleId="ListLabel44">
    <w:name w:val="ListLabel 44"/>
    <w:qFormat/>
    <w:rPr>
      <w:rFonts w:cs="OpenSymbol"/>
    </w:rPr>
  </w:style>
  <w:style w:type="character" w:styleId="ListLabel45">
    <w:name w:val="ListLabel 45"/>
    <w:qFormat/>
    <w:rPr>
      <w:rFonts w:cs="OpenSymbol"/>
    </w:rPr>
  </w:style>
  <w:style w:type="character" w:styleId="ListLabel46">
    <w:name w:val="ListLabel 46"/>
    <w:qFormat/>
    <w:rPr>
      <w:rFonts w:cs="Symbol"/>
      <w:b/>
      <w:sz w:val="21"/>
      <w:lang w:val="en-US"/>
    </w:rPr>
  </w:style>
  <w:style w:type="character" w:styleId="ListLabel47">
    <w:name w:val="ListLabel 47"/>
    <w:qFormat/>
    <w:rPr>
      <w:rFonts w:cs="Courier New"/>
      <w:b/>
      <w:sz w:val="21"/>
    </w:rPr>
  </w:style>
  <w:style w:type="character" w:styleId="ListLabel48">
    <w:name w:val="ListLabel 48"/>
    <w:qFormat/>
    <w:rPr>
      <w:rFonts w:cs="Wingdings"/>
      <w:b/>
      <w:sz w:val="21"/>
    </w:rPr>
  </w:style>
  <w:style w:type="character" w:styleId="ListLabel49">
    <w:name w:val="ListLabel 49"/>
    <w:qFormat/>
    <w:rPr>
      <w:rFonts w:cs="Symbol"/>
      <w:lang w:val="en-US"/>
    </w:rPr>
  </w:style>
  <w:style w:type="character" w:styleId="ListLabel50">
    <w:name w:val="ListLabel 50"/>
    <w:qFormat/>
    <w:rPr>
      <w:rFonts w:cs="Courier New"/>
    </w:rPr>
  </w:style>
  <w:style w:type="character" w:styleId="ListLabel51">
    <w:name w:val="ListLabel 51"/>
    <w:qFormat/>
    <w:rPr>
      <w:rFonts w:cs="Wingdings"/>
    </w:rPr>
  </w:style>
  <w:style w:type="character" w:styleId="ListLabel52">
    <w:name w:val="ListLabel 52"/>
    <w:qFormat/>
    <w:rPr>
      <w:rFonts w:cs="Symbol"/>
      <w:lang w:val="en-US"/>
    </w:rPr>
  </w:style>
  <w:style w:type="character" w:styleId="ListLabel53">
    <w:name w:val="ListLabel 53"/>
    <w:qFormat/>
    <w:rPr>
      <w:rFonts w:cs="Courier New"/>
    </w:rPr>
  </w:style>
  <w:style w:type="character" w:styleId="ListLabel54">
    <w:name w:val="ListLabel 54"/>
    <w:qFormat/>
    <w:rPr>
      <w:rFonts w:cs="Wingdings"/>
    </w:rPr>
  </w:style>
  <w:style w:type="character" w:styleId="ListLabel55">
    <w:name w:val="ListLabel 55"/>
    <w:qFormat/>
    <w:rPr>
      <w:rFonts w:cs="Symbol"/>
      <w:szCs w:val="20"/>
    </w:rPr>
  </w:style>
  <w:style w:type="character" w:styleId="ListLabel56">
    <w:name w:val="ListLabel 56"/>
    <w:qFormat/>
    <w:rPr>
      <w:rFonts w:ascii="Times New Roman" w:hAnsi="Times New Roman" w:cs="Courier New"/>
      <w:b/>
      <w:sz w:val="24"/>
      <w:szCs w:val="20"/>
    </w:rPr>
  </w:style>
  <w:style w:type="character" w:styleId="ListLabel57">
    <w:name w:val="ListLabel 57"/>
    <w:qFormat/>
    <w:rPr>
      <w:rFonts w:cs="Wingdings"/>
    </w:rPr>
  </w:style>
  <w:style w:type="character" w:styleId="ListLabel58">
    <w:name w:val="ListLabel 58"/>
    <w:qFormat/>
    <w:rPr>
      <w:rFonts w:cs="Symbol"/>
      <w:szCs w:val="20"/>
    </w:rPr>
  </w:style>
  <w:style w:type="character" w:styleId="ListLabel59">
    <w:name w:val="ListLabel 59"/>
    <w:qFormat/>
    <w:rPr>
      <w:rFonts w:cs="Courier New"/>
      <w:szCs w:val="20"/>
    </w:rPr>
  </w:style>
  <w:style w:type="character" w:styleId="ListLabel60">
    <w:name w:val="ListLabel 60"/>
    <w:qFormat/>
    <w:rPr>
      <w:rFonts w:cs="Wingdings"/>
    </w:rPr>
  </w:style>
  <w:style w:type="character" w:styleId="ListLabel61">
    <w:name w:val="ListLabel 61"/>
    <w:qFormat/>
    <w:rPr>
      <w:rFonts w:cs="Symbol"/>
      <w:szCs w:val="20"/>
    </w:rPr>
  </w:style>
  <w:style w:type="character" w:styleId="ListLabel62">
    <w:name w:val="ListLabel 62"/>
    <w:qFormat/>
    <w:rPr>
      <w:rFonts w:cs="Courier New"/>
      <w:szCs w:val="20"/>
    </w:rPr>
  </w:style>
  <w:style w:type="character" w:styleId="ListLabel63">
    <w:name w:val="ListLabel 63"/>
    <w:qFormat/>
    <w:rPr>
      <w:rFonts w:cs="Wingdings"/>
    </w:rPr>
  </w:style>
  <w:style w:type="character" w:styleId="ListLabel64">
    <w:name w:val="ListLabel 64"/>
    <w:qFormat/>
    <w:rPr>
      <w:rFonts w:cs="Symbol"/>
      <w:szCs w:val="20"/>
    </w:rPr>
  </w:style>
  <w:style w:type="character" w:styleId="ListLabel65">
    <w:name w:val="ListLabel 65"/>
    <w:qFormat/>
    <w:rPr>
      <w:rFonts w:cs="Courier New"/>
      <w:szCs w:val="20"/>
    </w:rPr>
  </w:style>
  <w:style w:type="character" w:styleId="ListLabel66">
    <w:name w:val="ListLabel 66"/>
    <w:qFormat/>
    <w:rPr>
      <w:rFonts w:cs="Wingdings"/>
    </w:rPr>
  </w:style>
  <w:style w:type="character" w:styleId="ListLabel67">
    <w:name w:val="ListLabel 67"/>
    <w:qFormat/>
    <w:rPr>
      <w:rFonts w:cs="Symbol"/>
      <w:szCs w:val="20"/>
    </w:rPr>
  </w:style>
  <w:style w:type="character" w:styleId="ListLabel68">
    <w:name w:val="ListLabel 68"/>
    <w:qFormat/>
    <w:rPr>
      <w:rFonts w:cs="Courier New"/>
      <w:szCs w:val="20"/>
    </w:rPr>
  </w:style>
  <w:style w:type="character" w:styleId="ListLabel69">
    <w:name w:val="ListLabel 69"/>
    <w:qFormat/>
    <w:rPr>
      <w:rFonts w:cs="Wingdings"/>
    </w:rPr>
  </w:style>
  <w:style w:type="character" w:styleId="ListLabel70">
    <w:name w:val="ListLabel 70"/>
    <w:qFormat/>
    <w:rPr>
      <w:rFonts w:cs="Symbol"/>
      <w:szCs w:val="20"/>
    </w:rPr>
  </w:style>
  <w:style w:type="character" w:styleId="ListLabel71">
    <w:name w:val="ListLabel 71"/>
    <w:qFormat/>
    <w:rPr>
      <w:rFonts w:cs="Courier New"/>
      <w:szCs w:val="20"/>
    </w:rPr>
  </w:style>
  <w:style w:type="character" w:styleId="ListLabel72">
    <w:name w:val="ListLabel 72"/>
    <w:qFormat/>
    <w:rPr>
      <w:rFonts w:cs="Wingdings"/>
    </w:rPr>
  </w:style>
  <w:style w:type="paragraph" w:styleId="Heading" w:customStyle="1">
    <w:name w:val="Heading"/>
    <w:basedOn w:val="Normal"/>
    <w:next w:val="TextBody"/>
    <w:qFormat/>
    <w:rsid w:val="00b844e4"/>
    <w:pPr>
      <w:keepNext/>
      <w:spacing w:before="240" w:after="120"/>
    </w:pPr>
    <w:rPr>
      <w:rFonts w:ascii="Liberation Sans" w:hAnsi="Liberation Sans"/>
      <w:sz w:val="28"/>
      <w:szCs w:val="28"/>
    </w:rPr>
  </w:style>
  <w:style w:type="paragraph" w:styleId="TextBody">
    <w:name w:val="Body Text"/>
    <w:basedOn w:val="Normal"/>
    <w:rsid w:val="00b844e4"/>
    <w:pPr>
      <w:spacing w:lineRule="auto" w:line="276" w:before="0" w:after="140"/>
    </w:pPr>
    <w:rPr/>
  </w:style>
  <w:style w:type="paragraph" w:styleId="List">
    <w:name w:val="List"/>
    <w:basedOn w:val="TextBody"/>
    <w:rsid w:val="00b844e4"/>
    <w:pPr/>
    <w:rPr/>
  </w:style>
  <w:style w:type="paragraph" w:styleId="Caption">
    <w:name w:val="Caption"/>
    <w:basedOn w:val="Normal"/>
    <w:qFormat/>
    <w:pPr>
      <w:suppressLineNumbers/>
      <w:spacing w:before="120" w:after="120"/>
    </w:pPr>
    <w:rPr>
      <w:rFonts w:cs="FreeSans"/>
      <w:i/>
      <w:iCs/>
      <w:sz w:val="24"/>
      <w:szCs w:val="24"/>
    </w:rPr>
  </w:style>
  <w:style w:type="paragraph" w:styleId="Index" w:customStyle="1">
    <w:name w:val="Index"/>
    <w:basedOn w:val="Normal"/>
    <w:qFormat/>
    <w:rsid w:val="00b844e4"/>
    <w:pPr>
      <w:suppressLineNumbers/>
    </w:pPr>
    <w:rPr/>
  </w:style>
  <w:style w:type="paragraph" w:styleId="Caption1">
    <w:name w:val="caption"/>
    <w:basedOn w:val="Normal"/>
    <w:qFormat/>
    <w:rsid w:val="00b844e4"/>
    <w:pPr>
      <w:suppressLineNumbers/>
      <w:spacing w:before="120" w:after="120"/>
    </w:pPr>
    <w:rPr>
      <w:i/>
      <w:iCs/>
    </w:rPr>
  </w:style>
  <w:style w:type="paragraph" w:styleId="3GPPHeader" w:customStyle="1">
    <w:name w:val="3GPP_Header"/>
    <w:basedOn w:val="Normal"/>
    <w:qFormat/>
    <w:rsid w:val="00b844e4"/>
    <w:pPr>
      <w:tabs>
        <w:tab w:val="left" w:pos="1701" w:leader="none"/>
        <w:tab w:val="right" w:pos="9639" w:leader="none"/>
      </w:tabs>
      <w:spacing w:before="0" w:after="240"/>
    </w:pPr>
    <w:rPr>
      <w:b/>
    </w:rPr>
  </w:style>
  <w:style w:type="paragraph" w:styleId="B1" w:customStyle="1">
    <w:name w:val="B1"/>
    <w:basedOn w:val="List"/>
    <w:qFormat/>
    <w:rsid w:val="00b844e4"/>
    <w:pPr>
      <w:spacing w:before="0" w:after="180"/>
      <w:ind w:left="568" w:hanging="284"/>
    </w:pPr>
    <w:rPr>
      <w:rFonts w:ascii="Times New Roman" w:hAnsi="Times New Roman" w:eastAsia="MS Mincho;ＭＳ 明朝" w:cs="Times New Roman"/>
      <w:szCs w:val="20"/>
    </w:rPr>
  </w:style>
  <w:style w:type="paragraph" w:styleId="2" w:customStyle="1">
    <w:name w:val="列表 2"/>
    <w:basedOn w:val="Normal"/>
    <w:qFormat/>
    <w:rsid w:val="00b844e4"/>
    <w:pPr>
      <w:ind w:left="566" w:hanging="283"/>
    </w:pPr>
    <w:rPr/>
  </w:style>
  <w:style w:type="paragraph" w:styleId="B2" w:customStyle="1">
    <w:name w:val="B2"/>
    <w:basedOn w:val="2"/>
    <w:qFormat/>
    <w:rsid w:val="00b844e4"/>
    <w:pPr>
      <w:spacing w:before="0" w:after="180"/>
      <w:ind w:left="851" w:hanging="284"/>
    </w:pPr>
    <w:rPr>
      <w:rFonts w:ascii="Times New Roman" w:hAnsi="Times New Roman" w:eastAsia="MS Mincho;ＭＳ 明朝" w:cs="Times New Roman"/>
      <w:szCs w:val="20"/>
    </w:rPr>
  </w:style>
  <w:style w:type="paragraph" w:styleId="ListParagraph">
    <w:name w:val="List Paragraph"/>
    <w:basedOn w:val="Normal"/>
    <w:qFormat/>
    <w:rsid w:val="00b844e4"/>
    <w:pPr>
      <w:ind w:left="840" w:hanging="0"/>
    </w:pPr>
    <w:rPr/>
  </w:style>
  <w:style w:type="paragraph" w:styleId="Reference" w:customStyle="1">
    <w:name w:val="Reference"/>
    <w:basedOn w:val="Normal"/>
    <w:qFormat/>
    <w:rsid w:val="00b844e4"/>
    <w:pPr/>
    <w:rPr/>
  </w:style>
  <w:style w:type="paragraph" w:styleId="Annotationtext">
    <w:name w:val="annotation text"/>
    <w:basedOn w:val="Normal"/>
    <w:link w:val="CommentTextChar"/>
    <w:uiPriority w:val="99"/>
    <w:semiHidden/>
    <w:unhideWhenUsed/>
    <w:qFormat/>
    <w:rsid w:val="00b844e4"/>
    <w:pPr/>
    <w:rPr>
      <w:rFonts w:cs="Mangal"/>
      <w:sz w:val="20"/>
      <w:szCs w:val="18"/>
    </w:rPr>
  </w:style>
  <w:style w:type="paragraph" w:styleId="BalloonText">
    <w:name w:val="Balloon Text"/>
    <w:basedOn w:val="Normal"/>
    <w:link w:val="BalloonTextChar"/>
    <w:uiPriority w:val="99"/>
    <w:semiHidden/>
    <w:unhideWhenUsed/>
    <w:qFormat/>
    <w:rsid w:val="009b56fd"/>
    <w:pPr/>
    <w:rPr>
      <w:rFonts w:ascii="Segoe UI" w:hAnsi="Segoe UI" w:cs="Mangal"/>
      <w:sz w:val="18"/>
      <w:szCs w:val="16"/>
    </w:rPr>
  </w:style>
  <w:style w:type="numbering" w:styleId="NoList" w:default="1">
    <w:name w:val="No List"/>
    <w:uiPriority w:val="99"/>
    <w:semiHidden/>
    <w:unhideWhenUsed/>
    <w:qFormat/>
  </w:style>
  <w:style w:type="numbering" w:styleId="WW8Num15" w:customStyle="1">
    <w:name w:val="WW8Num15"/>
    <w:qFormat/>
    <w:rsid w:val="00b844e4"/>
  </w:style>
  <w:style w:type="numbering" w:styleId="WW8Num100" w:customStyle="1">
    <w:name w:val="WW8Num100"/>
    <w:qFormat/>
    <w:rsid w:val="00b844e4"/>
  </w:style>
  <w:style w:type="numbering" w:styleId="WW8Num12" w:customStyle="1">
    <w:name w:val="WW8Num12"/>
    <w:qFormat/>
    <w:rsid w:val="00b844e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01901-8623-40B2-9924-6E76B176C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Application>LibreOffice/5.1.6.2$Linux_X86_64 LibreOffice_project/10m0$Build-2</Application>
  <Pages>4</Pages>
  <Words>1412</Words>
  <Characters>7081</Characters>
  <CharactersWithSpaces>8403</CharactersWithSpaces>
  <Paragraphs>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2021-04-06T07:19:00Z</dcterms:created>
  <dc:creator>Ramya</dc:creator>
  <dc:description/>
  <dc:language>en-US</dc:language>
  <cp:lastModifiedBy>Deepak Agarwal </cp:lastModifiedBy>
  <dcterms:modified xsi:type="dcterms:W3CDTF">2021-04-06T12:37:15Z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