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2460D721" w14:textId="45911512" w:rsidR="00625094" w:rsidRPr="002B5A22" w:rsidRDefault="00625094" w:rsidP="00072159">
      <w:pPr>
        <w:tabs>
          <w:tab w:val="center" w:pos="4536"/>
          <w:tab w:val="right" w:pos="8280"/>
          <w:tab w:val="right" w:pos="9639"/>
        </w:tabs>
        <w:spacing w:after="0"/>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sidR="00F90399">
        <w:rPr>
          <w:rFonts w:ascii="Arial" w:eastAsia="Batang" w:hAnsi="Arial" w:cs="Arial"/>
          <w:b/>
          <w:bCs/>
          <w:sz w:val="28"/>
        </w:rPr>
        <w:t>4</w:t>
      </w:r>
      <w:r w:rsidR="00472D0F">
        <w:rPr>
          <w:rFonts w:ascii="Arial" w:eastAsia="Batang" w:hAnsi="Arial" w:cs="Arial"/>
          <w:b/>
          <w:bCs/>
          <w:sz w:val="28"/>
        </w:rPr>
        <w:t>b</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870261" w:rsidRPr="002B5A22">
        <w:rPr>
          <w:rFonts w:ascii="Arial" w:eastAsia="Batang" w:hAnsi="Arial" w:cs="Arial"/>
          <w:b/>
          <w:bCs/>
          <w:sz w:val="28"/>
        </w:rPr>
        <w:t>2</w:t>
      </w:r>
      <w:r w:rsidR="00F90399">
        <w:rPr>
          <w:rFonts w:ascii="Arial" w:eastAsia="Batang" w:hAnsi="Arial" w:cs="Arial"/>
          <w:b/>
          <w:bCs/>
          <w:sz w:val="28"/>
        </w:rPr>
        <w:t>1</w:t>
      </w:r>
      <w:r w:rsidR="00870261" w:rsidRPr="002B5A22">
        <w:rPr>
          <w:rFonts w:ascii="Arial" w:eastAsia="Batang" w:hAnsi="Arial" w:cs="Arial"/>
          <w:b/>
          <w:bCs/>
          <w:sz w:val="28"/>
        </w:rPr>
        <w:t>0</w:t>
      </w:r>
      <w:r w:rsidR="008F2823">
        <w:rPr>
          <w:rFonts w:ascii="Arial" w:eastAsia="Batang" w:hAnsi="Arial" w:cs="Arial"/>
          <w:b/>
          <w:bCs/>
          <w:sz w:val="28"/>
        </w:rPr>
        <w:t>3273</w:t>
      </w:r>
    </w:p>
    <w:p w14:paraId="3229E508" w14:textId="3E3F16A0" w:rsidR="00625094" w:rsidRPr="00AC102C" w:rsidRDefault="00625094" w:rsidP="00072159">
      <w:pPr>
        <w:tabs>
          <w:tab w:val="center" w:pos="4536"/>
          <w:tab w:val="right" w:pos="9072"/>
        </w:tabs>
        <w:spacing w:after="0"/>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sidR="00472D0F">
        <w:rPr>
          <w:rFonts w:ascii="Arial" w:eastAsia="MS Mincho" w:hAnsi="Arial" w:cs="Arial"/>
          <w:b/>
          <w:bCs/>
          <w:sz w:val="28"/>
          <w:lang w:eastAsia="ja-JP"/>
        </w:rPr>
        <w:t>April 12</w:t>
      </w:r>
      <w:r w:rsidR="00472D0F" w:rsidRPr="00472D0F">
        <w:rPr>
          <w:rFonts w:ascii="Arial" w:eastAsia="MS Mincho" w:hAnsi="Arial" w:cs="Arial"/>
          <w:b/>
          <w:bCs/>
          <w:sz w:val="28"/>
          <w:vertAlign w:val="superscript"/>
          <w:lang w:eastAsia="ja-JP"/>
        </w:rPr>
        <w:t>th</w:t>
      </w:r>
      <w:r w:rsidR="00472D0F">
        <w:rPr>
          <w:rFonts w:ascii="Arial" w:eastAsia="MS Mincho" w:hAnsi="Arial" w:cs="Arial"/>
          <w:b/>
          <w:bCs/>
          <w:sz w:val="28"/>
          <w:lang w:eastAsia="ja-JP"/>
        </w:rPr>
        <w:t xml:space="preserve"> </w:t>
      </w:r>
      <w:r w:rsidR="009E55C1" w:rsidRPr="002B5A22">
        <w:rPr>
          <w:rFonts w:ascii="Arial" w:eastAsia="MS Mincho" w:hAnsi="Arial" w:cs="Arial"/>
          <w:b/>
          <w:bCs/>
          <w:sz w:val="28"/>
          <w:lang w:eastAsia="ja-JP"/>
        </w:rPr>
        <w:t xml:space="preserve">– </w:t>
      </w:r>
      <w:r w:rsidR="00472D0F">
        <w:rPr>
          <w:rFonts w:ascii="Arial" w:eastAsia="MS Mincho" w:hAnsi="Arial" w:cs="Arial"/>
          <w:b/>
          <w:bCs/>
          <w:sz w:val="28"/>
          <w:lang w:eastAsia="ja-JP"/>
        </w:rPr>
        <w:t>20</w:t>
      </w:r>
      <w:r w:rsidR="00472D0F" w:rsidRPr="00472D0F">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sidR="00472D0F">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1A8B6CCC"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w:t>
      </w:r>
      <w:r w:rsidR="00BA55AC">
        <w:rPr>
          <w:rFonts w:cs="Arial"/>
          <w:b/>
          <w:bCs/>
          <w:sz w:val="24"/>
          <w:szCs w:val="24"/>
          <w:lang w:val="en-US"/>
        </w:rPr>
        <w:t>15</w:t>
      </w:r>
      <w:r w:rsidRPr="00F76DA7">
        <w:rPr>
          <w:rFonts w:cs="Arial"/>
          <w:b/>
          <w:bCs/>
          <w:sz w:val="24"/>
          <w:szCs w:val="24"/>
          <w:lang w:val="en-US"/>
        </w:rPr>
        <w:t>.</w:t>
      </w:r>
      <w:r w:rsidR="00C0319B">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4F383FEE"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431CC">
        <w:rPr>
          <w:rFonts w:ascii="Arial" w:hAnsi="Arial" w:cs="Arial"/>
          <w:b/>
          <w:bCs/>
        </w:rPr>
        <w:t>T</w:t>
      </w:r>
      <w:r w:rsidR="009E55C1">
        <w:rPr>
          <w:rFonts w:ascii="Arial" w:hAnsi="Arial" w:cs="Arial"/>
          <w:b/>
          <w:bCs/>
        </w:rPr>
        <w:t>im</w:t>
      </w:r>
      <w:r w:rsidR="002431CC">
        <w:rPr>
          <w:rFonts w:ascii="Arial" w:hAnsi="Arial" w:cs="Arial"/>
          <w:b/>
          <w:bCs/>
        </w:rPr>
        <w:t>e/Frequency Sync</w:t>
      </w:r>
      <w:r w:rsidR="00C0319B">
        <w:rPr>
          <w:rFonts w:ascii="Arial" w:hAnsi="Arial" w:cs="Arial"/>
          <w:b/>
          <w:bCs/>
        </w:rPr>
        <w:t xml:space="preserve">hronization </w:t>
      </w:r>
      <w:r w:rsidR="0078522C">
        <w:rPr>
          <w:rFonts w:ascii="Arial" w:hAnsi="Arial" w:cs="Arial"/>
          <w:b/>
          <w:bCs/>
        </w:rPr>
        <w:t xml:space="preserve">for </w:t>
      </w:r>
      <w:r w:rsidR="00BA55AC">
        <w:rPr>
          <w:rFonts w:ascii="Arial" w:hAnsi="Arial" w:cs="Arial"/>
          <w:b/>
          <w:bCs/>
        </w:rPr>
        <w:t xml:space="preserve">IoT </w:t>
      </w:r>
      <w:r w:rsidR="0078522C">
        <w:rPr>
          <w:rFonts w:ascii="Arial" w:hAnsi="Arial" w:cs="Arial"/>
          <w:b/>
          <w:bCs/>
        </w:rPr>
        <w:t>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5EF1BCBF" w14:textId="0E0A6F7A" w:rsidR="005A500F" w:rsidRPr="00416213" w:rsidRDefault="005A500F" w:rsidP="00416213">
      <w:pPr>
        <w:jc w:val="both"/>
        <w:rPr>
          <w:rFonts w:ascii="Arial" w:hAnsi="Arial" w:cs="Arial"/>
        </w:rPr>
      </w:pPr>
      <w:r w:rsidRPr="00416213">
        <w:rPr>
          <w:rFonts w:ascii="Arial" w:hAnsi="Arial" w:cs="Arial"/>
        </w:rPr>
        <w:t>In RAN</w:t>
      </w:r>
      <w:r w:rsidR="003447E3">
        <w:rPr>
          <w:rFonts w:ascii="Arial" w:hAnsi="Arial" w:cs="Arial"/>
        </w:rPr>
        <w:t>1</w:t>
      </w:r>
      <w:r w:rsidRPr="00416213">
        <w:rPr>
          <w:rFonts w:ascii="Arial" w:hAnsi="Arial" w:cs="Arial"/>
        </w:rPr>
        <w:t>#</w:t>
      </w:r>
      <w:r w:rsidR="003447E3">
        <w:rPr>
          <w:rFonts w:ascii="Arial" w:hAnsi="Arial" w:cs="Arial"/>
        </w:rPr>
        <w:t>104e</w:t>
      </w:r>
      <w:r w:rsidRPr="00416213">
        <w:rPr>
          <w:rFonts w:ascii="Arial" w:hAnsi="Arial" w:cs="Arial"/>
        </w:rPr>
        <w:t xml:space="preserve">, </w:t>
      </w:r>
      <w:r w:rsidR="003447E3">
        <w:rPr>
          <w:rFonts w:ascii="Arial" w:hAnsi="Arial" w:cs="Arial"/>
        </w:rPr>
        <w:t xml:space="preserve">the following agreements have been made as a progress for time/frequency synchronization for IoT NTN </w:t>
      </w:r>
      <w:r w:rsidRPr="00416213">
        <w:rPr>
          <w:rFonts w:ascii="Arial" w:hAnsi="Arial" w:cs="Arial"/>
        </w:rPr>
        <w:t>[1]:</w:t>
      </w:r>
    </w:p>
    <w:p w14:paraId="37165A5D" w14:textId="77777777" w:rsidR="003447E3" w:rsidRPr="003447E3" w:rsidRDefault="003447E3" w:rsidP="008F2823">
      <w:pPr>
        <w:spacing w:after="0"/>
        <w:ind w:left="1440" w:hanging="1440"/>
        <w:rPr>
          <w:rFonts w:ascii="Times New Roman" w:hAnsi="Times New Roman" w:cs="Times New Roman"/>
          <w:i/>
          <w:iCs/>
          <w:lang w:eastAsia="x-none"/>
        </w:rPr>
      </w:pPr>
      <w:r w:rsidRPr="003447E3">
        <w:rPr>
          <w:rFonts w:ascii="Times New Roman" w:hAnsi="Times New Roman" w:cs="Times New Roman"/>
          <w:i/>
          <w:iCs/>
          <w:highlight w:val="green"/>
          <w:lang w:eastAsia="x-none"/>
        </w:rPr>
        <w:t>Agreement:</w:t>
      </w:r>
    </w:p>
    <w:p w14:paraId="6F9578B3"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lang w:eastAsia="x-none"/>
        </w:rPr>
        <w:t xml:space="preserve">Study potential impact of GNSS Position fix on UE power consumption using battery life methodology in Rel-13 TR 45.820 (Section 5.4) </w:t>
      </w:r>
    </w:p>
    <w:p w14:paraId="54445FD7"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lang w:eastAsia="x-none"/>
        </w:rPr>
        <w:t>FFS: Details of the study</w:t>
      </w:r>
    </w:p>
    <w:p w14:paraId="5E1D9BD6" w14:textId="77777777" w:rsidR="003447E3" w:rsidRPr="003447E3" w:rsidRDefault="003447E3" w:rsidP="008F2823">
      <w:pPr>
        <w:spacing w:after="0"/>
        <w:rPr>
          <w:rFonts w:ascii="Times New Roman" w:hAnsi="Times New Roman" w:cs="Times New Roman"/>
          <w:i/>
          <w:iCs/>
          <w:lang w:eastAsia="x-none"/>
        </w:rPr>
      </w:pPr>
    </w:p>
    <w:p w14:paraId="30F04DB0"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highlight w:val="green"/>
          <w:lang w:eastAsia="x-none"/>
        </w:rPr>
        <w:t>Agreement:</w:t>
      </w:r>
    </w:p>
    <w:p w14:paraId="0DE136D3"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lang w:eastAsia="x-none"/>
        </w:rPr>
        <w:t>Discuss whether GNSS measurement window is needed and beneficial for initial access.</w:t>
      </w:r>
    </w:p>
    <w:p w14:paraId="140106FC" w14:textId="77777777" w:rsidR="003447E3" w:rsidRPr="003447E3" w:rsidRDefault="003447E3" w:rsidP="008F2823">
      <w:pPr>
        <w:spacing w:after="0"/>
        <w:rPr>
          <w:rFonts w:ascii="Times New Roman" w:hAnsi="Times New Roman" w:cs="Times New Roman"/>
          <w:i/>
          <w:iCs/>
          <w:lang w:eastAsia="x-none"/>
        </w:rPr>
      </w:pPr>
    </w:p>
    <w:p w14:paraId="0675AC38"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highlight w:val="green"/>
          <w:lang w:eastAsia="x-none"/>
        </w:rPr>
        <w:t>Agreement:</w:t>
      </w:r>
    </w:p>
    <w:p w14:paraId="6B5C9C6F"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lang w:eastAsia="x-none"/>
        </w:rPr>
        <w:t>For the study of potential impact of GNSS Position fix on UE power consumption consider at least the following parameters</w:t>
      </w:r>
    </w:p>
    <w:p w14:paraId="5AEA4216" w14:textId="77777777" w:rsidR="003447E3" w:rsidRPr="003447E3" w:rsidRDefault="003447E3" w:rsidP="008F2823">
      <w:pPr>
        <w:numPr>
          <w:ilvl w:val="0"/>
          <w:numId w:val="54"/>
        </w:numPr>
        <w:spacing w:after="0"/>
        <w:rPr>
          <w:rFonts w:ascii="Times New Roman" w:hAnsi="Times New Roman" w:cs="Times New Roman"/>
          <w:i/>
          <w:iCs/>
          <w:lang w:eastAsia="x-none"/>
        </w:rPr>
      </w:pPr>
      <w:r w:rsidRPr="003447E3">
        <w:rPr>
          <w:rFonts w:ascii="Times New Roman" w:hAnsi="Times New Roman" w:cs="Times New Roman"/>
          <w:i/>
          <w:iCs/>
          <w:lang w:eastAsia="x-none"/>
        </w:rPr>
        <w:t>GNSS power consumption value</w:t>
      </w:r>
    </w:p>
    <w:p w14:paraId="67F63841" w14:textId="77777777" w:rsidR="003447E3" w:rsidRPr="003447E3" w:rsidRDefault="003447E3" w:rsidP="008F2823">
      <w:pPr>
        <w:numPr>
          <w:ilvl w:val="0"/>
          <w:numId w:val="54"/>
        </w:numPr>
        <w:spacing w:after="0"/>
        <w:rPr>
          <w:rFonts w:ascii="Times New Roman" w:hAnsi="Times New Roman" w:cs="Times New Roman"/>
          <w:i/>
          <w:iCs/>
          <w:lang w:eastAsia="x-none"/>
        </w:rPr>
      </w:pPr>
      <w:r w:rsidRPr="003447E3">
        <w:rPr>
          <w:rFonts w:ascii="Times New Roman" w:hAnsi="Times New Roman" w:cs="Times New Roman"/>
          <w:i/>
          <w:iCs/>
          <w:lang w:eastAsia="x-none"/>
        </w:rPr>
        <w:t xml:space="preserve">GNSS position Time </w:t>
      </w:r>
      <w:proofErr w:type="gramStart"/>
      <w:r w:rsidRPr="003447E3">
        <w:rPr>
          <w:rFonts w:ascii="Times New Roman" w:hAnsi="Times New Roman" w:cs="Times New Roman"/>
          <w:i/>
          <w:iCs/>
          <w:lang w:eastAsia="x-none"/>
        </w:rPr>
        <w:t>To</w:t>
      </w:r>
      <w:proofErr w:type="gramEnd"/>
      <w:r w:rsidRPr="003447E3">
        <w:rPr>
          <w:rFonts w:ascii="Times New Roman" w:hAnsi="Times New Roman" w:cs="Times New Roman"/>
          <w:i/>
          <w:iCs/>
          <w:lang w:eastAsia="x-none"/>
        </w:rPr>
        <w:t xml:space="preserve"> First Fix</w:t>
      </w:r>
    </w:p>
    <w:p w14:paraId="0229A479" w14:textId="77777777" w:rsidR="003447E3" w:rsidRPr="003447E3" w:rsidRDefault="003447E3" w:rsidP="008F2823">
      <w:pPr>
        <w:spacing w:after="0"/>
        <w:rPr>
          <w:rFonts w:ascii="Times New Roman" w:hAnsi="Times New Roman" w:cs="Times New Roman"/>
          <w:i/>
          <w:iCs/>
          <w:lang w:eastAsia="x-none"/>
        </w:rPr>
      </w:pPr>
    </w:p>
    <w:p w14:paraId="129764F1"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highlight w:val="green"/>
          <w:lang w:eastAsia="x-none"/>
        </w:rPr>
        <w:t>Agreement:</w:t>
      </w:r>
    </w:p>
    <w:p w14:paraId="550820C2"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lang w:eastAsia="x-none"/>
        </w:rPr>
        <w:t xml:space="preserve">Study potential impact of NTN SIB carrying the satellite ephemeris on </w:t>
      </w:r>
    </w:p>
    <w:p w14:paraId="33DD8D97" w14:textId="77777777" w:rsidR="003447E3" w:rsidRPr="003447E3" w:rsidRDefault="003447E3" w:rsidP="008F2823">
      <w:pPr>
        <w:numPr>
          <w:ilvl w:val="0"/>
          <w:numId w:val="55"/>
        </w:numPr>
        <w:spacing w:after="0"/>
        <w:rPr>
          <w:rFonts w:ascii="Times New Roman" w:hAnsi="Times New Roman" w:cs="Times New Roman"/>
          <w:i/>
          <w:iCs/>
          <w:lang w:eastAsia="x-none"/>
        </w:rPr>
      </w:pPr>
      <w:r w:rsidRPr="003447E3">
        <w:rPr>
          <w:rFonts w:ascii="Times New Roman" w:hAnsi="Times New Roman" w:cs="Times New Roman"/>
          <w:i/>
          <w:iCs/>
          <w:lang w:eastAsia="x-none"/>
        </w:rPr>
        <w:t xml:space="preserve">UE power consumption in NB-IoT and eMTC </w:t>
      </w:r>
    </w:p>
    <w:p w14:paraId="558DAEE6" w14:textId="77777777" w:rsidR="003447E3" w:rsidRPr="003447E3" w:rsidRDefault="003447E3" w:rsidP="008F2823">
      <w:pPr>
        <w:numPr>
          <w:ilvl w:val="0"/>
          <w:numId w:val="55"/>
        </w:numPr>
        <w:spacing w:after="0"/>
        <w:rPr>
          <w:rFonts w:ascii="Times New Roman" w:hAnsi="Times New Roman" w:cs="Times New Roman"/>
          <w:i/>
          <w:iCs/>
          <w:lang w:eastAsia="x-none"/>
        </w:rPr>
      </w:pPr>
      <w:r w:rsidRPr="003447E3">
        <w:rPr>
          <w:rFonts w:ascii="Times New Roman" w:hAnsi="Times New Roman" w:cs="Times New Roman"/>
          <w:i/>
          <w:iCs/>
          <w:lang w:eastAsia="x-none"/>
        </w:rPr>
        <w:t>Accuracy of satellite location tracking</w:t>
      </w:r>
    </w:p>
    <w:p w14:paraId="377B8D9D" w14:textId="77777777" w:rsidR="003447E3" w:rsidRPr="003447E3" w:rsidRDefault="003447E3" w:rsidP="008F2823">
      <w:pPr>
        <w:numPr>
          <w:ilvl w:val="0"/>
          <w:numId w:val="55"/>
        </w:numPr>
        <w:spacing w:after="0"/>
        <w:rPr>
          <w:rFonts w:ascii="Times New Roman" w:hAnsi="Times New Roman" w:cs="Times New Roman"/>
          <w:i/>
          <w:iCs/>
          <w:lang w:eastAsia="x-none"/>
        </w:rPr>
      </w:pPr>
      <w:r w:rsidRPr="003447E3">
        <w:rPr>
          <w:rFonts w:ascii="Times New Roman" w:hAnsi="Times New Roman" w:cs="Times New Roman"/>
          <w:i/>
          <w:iCs/>
          <w:lang w:eastAsia="x-none"/>
        </w:rPr>
        <w:t>PRACH congestion</w:t>
      </w:r>
    </w:p>
    <w:p w14:paraId="19F494A2" w14:textId="77777777" w:rsidR="003447E3" w:rsidRPr="003447E3" w:rsidRDefault="003447E3" w:rsidP="008F2823">
      <w:pPr>
        <w:spacing w:after="0"/>
        <w:rPr>
          <w:rFonts w:ascii="Times New Roman" w:hAnsi="Times New Roman" w:cs="Times New Roman"/>
          <w:i/>
          <w:iCs/>
          <w:lang w:eastAsia="x-none"/>
        </w:rPr>
      </w:pPr>
    </w:p>
    <w:p w14:paraId="56F6C119"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highlight w:val="green"/>
          <w:lang w:eastAsia="x-none"/>
        </w:rPr>
        <w:t>Agreement:</w:t>
      </w:r>
    </w:p>
    <w:p w14:paraId="535AC967"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lang w:eastAsia="x-none"/>
        </w:rPr>
        <w:t xml:space="preserve">Study the UE pre-compensation of satellite delay during long UL transmission on (N)PUSCH in NB-IoT and eMTC. </w:t>
      </w:r>
    </w:p>
    <w:p w14:paraId="5CED4EC8" w14:textId="77777777" w:rsidR="003447E3" w:rsidRPr="003447E3" w:rsidRDefault="003447E3" w:rsidP="008F2823">
      <w:pPr>
        <w:spacing w:after="0"/>
        <w:rPr>
          <w:rFonts w:ascii="Times New Roman" w:hAnsi="Times New Roman" w:cs="Times New Roman"/>
          <w:i/>
          <w:iCs/>
          <w:lang w:eastAsia="x-none"/>
        </w:rPr>
      </w:pPr>
    </w:p>
    <w:p w14:paraId="16F42ABF"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highlight w:val="green"/>
          <w:lang w:eastAsia="x-none"/>
        </w:rPr>
        <w:t>Agreement:</w:t>
      </w:r>
    </w:p>
    <w:p w14:paraId="30189DEE"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lang w:eastAsia="x-none"/>
        </w:rPr>
        <w:t>Study the UE pre-compensation of satellite delay and Doppler during long UL transmission on PRACH in NB-IoT and eMTC.</w:t>
      </w:r>
    </w:p>
    <w:p w14:paraId="3B6F844F" w14:textId="77777777" w:rsidR="003447E3" w:rsidRPr="003447E3" w:rsidRDefault="003447E3" w:rsidP="008F2823">
      <w:pPr>
        <w:spacing w:after="0"/>
        <w:rPr>
          <w:rFonts w:ascii="Times New Roman" w:hAnsi="Times New Roman" w:cs="Times New Roman"/>
          <w:i/>
          <w:iCs/>
          <w:lang w:eastAsia="x-none"/>
        </w:rPr>
      </w:pPr>
    </w:p>
    <w:p w14:paraId="4033A42A"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highlight w:val="green"/>
          <w:lang w:eastAsia="x-none"/>
        </w:rPr>
        <w:t>Agreement:</w:t>
      </w:r>
    </w:p>
    <w:p w14:paraId="182DB474" w14:textId="77777777" w:rsidR="003447E3" w:rsidRPr="003447E3" w:rsidRDefault="003447E3" w:rsidP="008F2823">
      <w:pPr>
        <w:spacing w:after="0"/>
        <w:rPr>
          <w:rFonts w:ascii="Times New Roman" w:hAnsi="Times New Roman" w:cs="Times New Roman"/>
          <w:i/>
          <w:iCs/>
          <w:lang w:eastAsia="x-none"/>
        </w:rPr>
      </w:pPr>
      <w:r w:rsidRPr="003447E3">
        <w:rPr>
          <w:rFonts w:ascii="Times New Roman" w:hAnsi="Times New Roman" w:cs="Times New Roman"/>
          <w:i/>
          <w:iCs/>
          <w:lang w:eastAsia="x-none"/>
        </w:rPr>
        <w:t>Study the UE pre-compensation of satellite Doppler shift during long UL transmission on (N)PUSCH in NB-IoT and eMTC.</w:t>
      </w:r>
    </w:p>
    <w:p w14:paraId="1A20E911" w14:textId="77777777" w:rsidR="008F2823" w:rsidRDefault="008F2823" w:rsidP="005A500F">
      <w:pPr>
        <w:jc w:val="both"/>
        <w:rPr>
          <w:rFonts w:ascii="Arial" w:hAnsi="Arial" w:cs="Arial"/>
        </w:rPr>
      </w:pPr>
    </w:p>
    <w:p w14:paraId="29E8FE45" w14:textId="52657AB2" w:rsidR="003447E3" w:rsidRDefault="003447E3" w:rsidP="005A500F">
      <w:pPr>
        <w:jc w:val="both"/>
        <w:rPr>
          <w:rFonts w:ascii="Arial" w:hAnsi="Arial" w:cs="Arial"/>
        </w:rPr>
      </w:pPr>
      <w:r>
        <w:rPr>
          <w:rFonts w:ascii="Arial" w:hAnsi="Arial" w:cs="Arial"/>
        </w:rPr>
        <w:lastRenderedPageBreak/>
        <w:t>In this contribution, we discuss further on necessary changes to extend NB-IoT/eMTC to a non-terrestrial environment in terms of time/frequency adjustment.</w:t>
      </w:r>
    </w:p>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2965C29D" w14:textId="53B5D979" w:rsidR="00562E35" w:rsidRDefault="00562E35" w:rsidP="00072159">
      <w:pPr>
        <w:spacing w:after="120" w:line="276" w:lineRule="auto"/>
        <w:jc w:val="both"/>
        <w:rPr>
          <w:rFonts w:ascii="Arial" w:hAnsi="Arial" w:cs="Arial"/>
        </w:rPr>
      </w:pPr>
      <w:r>
        <w:rPr>
          <w:rFonts w:ascii="Arial" w:hAnsi="Arial" w:cs="Arial"/>
        </w:rPr>
        <w:t xml:space="preserve">The time/frequency synchronization under a non-terrestrial environment has been studied in R17 NR NTN WI. </w:t>
      </w:r>
      <w:proofErr w:type="gramStart"/>
      <w:r>
        <w:rPr>
          <w:rFonts w:ascii="Arial" w:hAnsi="Arial" w:cs="Arial"/>
        </w:rPr>
        <w:t>In order to</w:t>
      </w:r>
      <w:proofErr w:type="gramEnd"/>
      <w:r>
        <w:rPr>
          <w:rFonts w:ascii="Arial" w:hAnsi="Arial" w:cs="Arial"/>
        </w:rPr>
        <w:t xml:space="preserve"> avoid the same set of discussion</w:t>
      </w:r>
      <w:r w:rsidR="00B102E2">
        <w:rPr>
          <w:rFonts w:ascii="Arial" w:hAnsi="Arial" w:cs="Arial"/>
        </w:rPr>
        <w:t>s</w:t>
      </w:r>
      <w:r>
        <w:rPr>
          <w:rFonts w:ascii="Arial" w:hAnsi="Arial" w:cs="Arial"/>
        </w:rPr>
        <w:t xml:space="preserve"> for the topics currently under discussion in NR NTN WI, RAN1 has focused on IoT NTN specific issues and down prioritized the common issues. In the end, the progress made in NR NTN WI for time/frequency synchronization related issues could be simply reused unless an essential change is required to apply for IoT UEs.</w:t>
      </w:r>
    </w:p>
    <w:p w14:paraId="1426E192" w14:textId="78276A72" w:rsidR="00562E35" w:rsidRDefault="00562E35" w:rsidP="00072159">
      <w:pPr>
        <w:spacing w:after="120" w:line="276" w:lineRule="auto"/>
        <w:jc w:val="both"/>
        <w:rPr>
          <w:rFonts w:ascii="Arial" w:hAnsi="Arial" w:cs="Arial"/>
        </w:rPr>
      </w:pPr>
      <w:r>
        <w:rPr>
          <w:rFonts w:ascii="Arial" w:hAnsi="Arial" w:cs="Arial"/>
        </w:rPr>
        <w:t>The following issues have been identified as IoT NTN specific issues to be discussed:</w:t>
      </w:r>
    </w:p>
    <w:p w14:paraId="1152C671" w14:textId="611BB4C8" w:rsidR="00871392" w:rsidRDefault="00871392" w:rsidP="00072159">
      <w:pPr>
        <w:pStyle w:val="ListParagraph"/>
        <w:numPr>
          <w:ilvl w:val="0"/>
          <w:numId w:val="57"/>
        </w:numPr>
        <w:spacing w:after="120" w:line="276" w:lineRule="auto"/>
        <w:jc w:val="both"/>
        <w:rPr>
          <w:rFonts w:ascii="Arial" w:hAnsi="Arial" w:cs="Arial"/>
        </w:rPr>
      </w:pPr>
      <w:r>
        <w:rPr>
          <w:rFonts w:ascii="Arial" w:hAnsi="Arial" w:cs="Arial"/>
        </w:rPr>
        <w:t>Potential impact on UE power consumption due to</w:t>
      </w:r>
    </w:p>
    <w:p w14:paraId="7EF35091" w14:textId="7F03397A" w:rsidR="00871392" w:rsidRDefault="00871392" w:rsidP="00072159">
      <w:pPr>
        <w:pStyle w:val="ListParagraph"/>
        <w:numPr>
          <w:ilvl w:val="1"/>
          <w:numId w:val="57"/>
        </w:numPr>
        <w:spacing w:after="120" w:line="276" w:lineRule="auto"/>
        <w:jc w:val="both"/>
        <w:rPr>
          <w:rFonts w:ascii="Arial" w:hAnsi="Arial" w:cs="Arial"/>
        </w:rPr>
      </w:pPr>
      <w:r>
        <w:rPr>
          <w:rFonts w:ascii="Arial" w:hAnsi="Arial" w:cs="Arial"/>
        </w:rPr>
        <w:t>GNSS Position fix</w:t>
      </w:r>
    </w:p>
    <w:p w14:paraId="39C0E925" w14:textId="38BCF29B" w:rsidR="00871392" w:rsidRDefault="00871392" w:rsidP="00072159">
      <w:pPr>
        <w:pStyle w:val="ListParagraph"/>
        <w:numPr>
          <w:ilvl w:val="1"/>
          <w:numId w:val="57"/>
        </w:numPr>
        <w:spacing w:after="120" w:line="276" w:lineRule="auto"/>
        <w:jc w:val="both"/>
        <w:rPr>
          <w:rFonts w:ascii="Arial" w:hAnsi="Arial" w:cs="Arial"/>
        </w:rPr>
      </w:pPr>
      <w:r w:rsidRPr="00871392">
        <w:rPr>
          <w:rFonts w:ascii="Arial" w:hAnsi="Arial" w:cs="Arial"/>
        </w:rPr>
        <w:t>NTN SIB carrying the satellite ephemeris</w:t>
      </w:r>
    </w:p>
    <w:p w14:paraId="2A690F17" w14:textId="5B9EC793" w:rsidR="00871392" w:rsidRDefault="00871392" w:rsidP="00072159">
      <w:pPr>
        <w:pStyle w:val="ListParagraph"/>
        <w:numPr>
          <w:ilvl w:val="0"/>
          <w:numId w:val="57"/>
        </w:numPr>
        <w:spacing w:after="120" w:line="276" w:lineRule="auto"/>
        <w:jc w:val="both"/>
        <w:rPr>
          <w:rFonts w:ascii="Arial" w:hAnsi="Arial" w:cs="Arial"/>
        </w:rPr>
      </w:pPr>
      <w:r>
        <w:rPr>
          <w:rFonts w:ascii="Arial" w:hAnsi="Arial" w:cs="Arial"/>
        </w:rPr>
        <w:t>Necessity of GNSS measurement window</w:t>
      </w:r>
    </w:p>
    <w:p w14:paraId="755B378D" w14:textId="2D651860" w:rsidR="00871392" w:rsidRDefault="00871392" w:rsidP="00072159">
      <w:pPr>
        <w:pStyle w:val="ListParagraph"/>
        <w:numPr>
          <w:ilvl w:val="0"/>
          <w:numId w:val="57"/>
        </w:numPr>
        <w:spacing w:after="120" w:line="276" w:lineRule="auto"/>
        <w:jc w:val="both"/>
        <w:rPr>
          <w:rFonts w:ascii="Arial" w:hAnsi="Arial" w:cs="Arial"/>
        </w:rPr>
      </w:pPr>
      <w:r>
        <w:rPr>
          <w:rFonts w:ascii="Arial" w:hAnsi="Arial" w:cs="Arial"/>
        </w:rPr>
        <w:t>UE pre-compensation of satellite delay, Doppler, and/or Doppler shift during long UL transmission (NPUSCH or PRACH)</w:t>
      </w:r>
    </w:p>
    <w:p w14:paraId="1A64F611" w14:textId="48A18991" w:rsidR="00871392" w:rsidRPr="00871392" w:rsidRDefault="00871392" w:rsidP="00072159">
      <w:pPr>
        <w:pStyle w:val="ListParagraph"/>
        <w:numPr>
          <w:ilvl w:val="0"/>
          <w:numId w:val="57"/>
        </w:numPr>
        <w:spacing w:after="120" w:line="276" w:lineRule="auto"/>
        <w:jc w:val="both"/>
        <w:rPr>
          <w:rFonts w:ascii="Arial" w:hAnsi="Arial" w:cs="Arial"/>
        </w:rPr>
      </w:pPr>
      <w:r>
        <w:rPr>
          <w:rFonts w:ascii="Arial" w:hAnsi="Arial" w:cs="Arial"/>
        </w:rPr>
        <w:t>New sync raster</w:t>
      </w:r>
    </w:p>
    <w:p w14:paraId="3E4965F4" w14:textId="5E3A39BB" w:rsidR="00562E35" w:rsidRDefault="00562E35" w:rsidP="00072159">
      <w:pPr>
        <w:spacing w:after="120" w:line="276" w:lineRule="auto"/>
        <w:jc w:val="both"/>
        <w:rPr>
          <w:rFonts w:ascii="Arial" w:hAnsi="Arial" w:cs="Arial"/>
        </w:rPr>
      </w:pPr>
      <w:r>
        <w:rPr>
          <w:rFonts w:ascii="Arial" w:hAnsi="Arial" w:cs="Arial"/>
        </w:rPr>
        <w:t>In RAN #91E, expediting progress for Rel-17 IoT NTN was discussed in order to have a working IoT NTN solution in 3GPP in a timely manner for the market</w:t>
      </w:r>
      <w:r w:rsidR="009C3410">
        <w:rPr>
          <w:rFonts w:ascii="Arial" w:hAnsi="Arial" w:cs="Arial"/>
        </w:rPr>
        <w:t xml:space="preserve"> and agreed to revisit in RAN #92E to finalize the scope to deliver the essential minimum functionality of both NR NTN and IoT NTN</w:t>
      </w:r>
      <w:r>
        <w:rPr>
          <w:rFonts w:ascii="Arial" w:hAnsi="Arial" w:cs="Arial"/>
        </w:rPr>
        <w:t xml:space="preserve"> [2]</w:t>
      </w:r>
      <w:r w:rsidR="009C3410">
        <w:rPr>
          <w:rFonts w:ascii="Arial" w:hAnsi="Arial" w:cs="Arial"/>
        </w:rPr>
        <w:t>-[3]</w:t>
      </w:r>
      <w:r>
        <w:rPr>
          <w:rFonts w:ascii="Arial" w:hAnsi="Arial" w:cs="Arial"/>
        </w:rPr>
        <w:t xml:space="preserve">. </w:t>
      </w:r>
      <w:r w:rsidR="009C3410">
        <w:rPr>
          <w:rFonts w:ascii="Arial" w:hAnsi="Arial" w:cs="Arial"/>
        </w:rPr>
        <w:t>As such</w:t>
      </w:r>
      <w:r>
        <w:rPr>
          <w:rFonts w:ascii="Arial" w:hAnsi="Arial" w:cs="Arial"/>
        </w:rPr>
        <w:t>, non-essential IoT NTN enhancement scheme has to be deprioritized and revisited in a future release</w:t>
      </w:r>
      <w:r w:rsidR="009C3410">
        <w:rPr>
          <w:rFonts w:ascii="Arial" w:hAnsi="Arial" w:cs="Arial"/>
        </w:rPr>
        <w:t xml:space="preserve"> if necessary, so that IoT NTN normative work could be successfully finished within Rel-17</w:t>
      </w:r>
      <w:r>
        <w:rPr>
          <w:rFonts w:ascii="Arial" w:hAnsi="Arial" w:cs="Arial"/>
        </w:rPr>
        <w:t>.</w:t>
      </w:r>
    </w:p>
    <w:p w14:paraId="124BEB53" w14:textId="2C08F8BB" w:rsidR="009C3410" w:rsidRPr="00F777BC" w:rsidRDefault="009C3410" w:rsidP="00072159">
      <w:pPr>
        <w:spacing w:after="120" w:line="276" w:lineRule="auto"/>
        <w:jc w:val="both"/>
        <w:rPr>
          <w:rFonts w:ascii="Arial" w:hAnsi="Arial" w:cs="Arial"/>
          <w:bCs/>
          <w:i/>
          <w:iCs/>
        </w:rPr>
      </w:pPr>
      <w:r w:rsidRPr="00F777BC">
        <w:rPr>
          <w:rFonts w:ascii="Arial" w:eastAsia="Calibri" w:hAnsi="Arial" w:cs="Arial"/>
          <w:b/>
          <w:i/>
          <w:iCs/>
        </w:rPr>
        <w:t xml:space="preserve">Proposal 1: non-essential </w:t>
      </w:r>
      <w:r w:rsidR="00F777BC" w:rsidRPr="00F777BC">
        <w:rPr>
          <w:rFonts w:ascii="Arial" w:eastAsia="Calibri" w:hAnsi="Arial" w:cs="Arial"/>
          <w:b/>
          <w:i/>
          <w:iCs/>
        </w:rPr>
        <w:t>issues should be down-prioritized in Rel-17 to expedite progress for Rel-17 IoT NTN</w:t>
      </w:r>
      <w:r w:rsidRPr="00F777BC">
        <w:rPr>
          <w:rFonts w:ascii="Arial" w:hAnsi="Arial" w:cs="Arial"/>
          <w:b/>
          <w:i/>
          <w:iCs/>
        </w:rPr>
        <w:t>.</w:t>
      </w:r>
    </w:p>
    <w:p w14:paraId="5673E479" w14:textId="221C8B0F" w:rsidR="00C9265B" w:rsidRDefault="00F777BC" w:rsidP="00072159">
      <w:pPr>
        <w:spacing w:after="120" w:line="276" w:lineRule="auto"/>
        <w:jc w:val="both"/>
        <w:rPr>
          <w:rFonts w:ascii="Arial" w:hAnsi="Arial" w:cs="Arial"/>
        </w:rPr>
      </w:pPr>
      <w:r>
        <w:rPr>
          <w:rFonts w:ascii="Arial" w:hAnsi="Arial" w:cs="Arial"/>
        </w:rPr>
        <w:t xml:space="preserve">Although a long battery life is one of the requirements for IoT devices, study on UE power consumption can be considered as a non-essential issue since the system will work without any UE power consumption reduction functionality additionally introduced for NTN. Note that power saving schemes have been already supported for IoT (eMTC and NB-IoT) including </w:t>
      </w:r>
      <w:proofErr w:type="spellStart"/>
      <w:r>
        <w:rPr>
          <w:rFonts w:ascii="Arial" w:hAnsi="Arial" w:cs="Arial"/>
        </w:rPr>
        <w:t>eDRX</w:t>
      </w:r>
      <w:proofErr w:type="spellEnd"/>
      <w:r>
        <w:rPr>
          <w:rFonts w:ascii="Arial" w:hAnsi="Arial" w:cs="Arial"/>
        </w:rPr>
        <w:t xml:space="preserve">. Therefore, the UE power consumption study due to GNSS position fix and NTN SIB carrying the satellite ephemeris needs to be down prioritized in R17 study and focus on other topics.     </w:t>
      </w:r>
    </w:p>
    <w:p w14:paraId="52457808" w14:textId="72BCA2BB" w:rsidR="00F777BC" w:rsidRPr="00F777BC" w:rsidRDefault="00F777BC" w:rsidP="00072159">
      <w:pPr>
        <w:spacing w:after="120" w:line="276" w:lineRule="auto"/>
        <w:jc w:val="both"/>
        <w:rPr>
          <w:rFonts w:ascii="Arial" w:hAnsi="Arial" w:cs="Arial"/>
          <w:bCs/>
          <w:i/>
          <w:iCs/>
        </w:rPr>
      </w:pPr>
      <w:r w:rsidRPr="00F777BC">
        <w:rPr>
          <w:rFonts w:ascii="Arial" w:eastAsia="Calibri" w:hAnsi="Arial" w:cs="Arial"/>
          <w:b/>
          <w:i/>
          <w:iCs/>
        </w:rPr>
        <w:t xml:space="preserve">Proposal </w:t>
      </w:r>
      <w:r>
        <w:rPr>
          <w:rFonts w:ascii="Arial" w:eastAsia="Calibri" w:hAnsi="Arial" w:cs="Arial"/>
          <w:b/>
          <w:i/>
          <w:iCs/>
        </w:rPr>
        <w:t>2</w:t>
      </w:r>
      <w:r w:rsidRPr="00F777BC">
        <w:rPr>
          <w:rFonts w:ascii="Arial" w:eastAsia="Calibri" w:hAnsi="Arial" w:cs="Arial"/>
          <w:b/>
          <w:i/>
          <w:iCs/>
        </w:rPr>
        <w:t xml:space="preserve">: </w:t>
      </w:r>
      <w:r>
        <w:rPr>
          <w:rFonts w:ascii="Arial" w:eastAsia="Calibri" w:hAnsi="Arial" w:cs="Arial"/>
          <w:b/>
          <w:i/>
          <w:iCs/>
        </w:rPr>
        <w:t>any issues related UE power consumption impact study should be down-prioritized in Rel-17</w:t>
      </w:r>
      <w:r w:rsidRPr="00F777BC">
        <w:rPr>
          <w:rFonts w:ascii="Arial" w:hAnsi="Arial" w:cs="Arial"/>
          <w:b/>
          <w:i/>
          <w:iCs/>
        </w:rPr>
        <w:t>.</w:t>
      </w:r>
    </w:p>
    <w:p w14:paraId="52A86C4F" w14:textId="6757F8E1" w:rsidR="003948F5" w:rsidRDefault="00A826DA" w:rsidP="00072159">
      <w:pPr>
        <w:spacing w:after="120" w:line="276" w:lineRule="auto"/>
        <w:jc w:val="both"/>
        <w:rPr>
          <w:rFonts w:ascii="Arial" w:hAnsi="Arial" w:cs="Arial"/>
        </w:rPr>
      </w:pPr>
      <w:r>
        <w:rPr>
          <w:rFonts w:ascii="Arial" w:hAnsi="Arial" w:cs="Arial"/>
        </w:rPr>
        <w:t>UL pre-compensation</w:t>
      </w:r>
      <w:r w:rsidR="00307D89">
        <w:rPr>
          <w:rFonts w:ascii="Arial" w:hAnsi="Arial" w:cs="Arial"/>
        </w:rPr>
        <w:t xml:space="preserve"> of satellite delay</w:t>
      </w:r>
      <w:r>
        <w:rPr>
          <w:rFonts w:ascii="Arial" w:hAnsi="Arial" w:cs="Arial"/>
        </w:rPr>
        <w:t xml:space="preserve"> is also assumed for IoT NTN since it is assumed that IoT UEs has GNSS capability</w:t>
      </w:r>
      <w:r w:rsidR="003948F5">
        <w:rPr>
          <w:rFonts w:ascii="Arial" w:hAnsi="Arial" w:cs="Arial"/>
        </w:rPr>
        <w:t xml:space="preserve"> as similar to NR NTN UEs. </w:t>
      </w:r>
      <w:r w:rsidR="00307D89">
        <w:rPr>
          <w:rFonts w:ascii="Arial" w:hAnsi="Arial" w:cs="Arial"/>
        </w:rPr>
        <w:t>As such</w:t>
      </w:r>
      <w:r w:rsidR="003948F5">
        <w:rPr>
          <w:rFonts w:ascii="Arial" w:hAnsi="Arial" w:cs="Arial"/>
        </w:rPr>
        <w:t>, a IoT UE can pre-compensate satellite delay based on GNSS position and satellite ephemeris acquired. However, the satellite delay could change</w:t>
      </w:r>
      <w:r w:rsidR="00307D89">
        <w:rPr>
          <w:rFonts w:ascii="Arial" w:hAnsi="Arial" w:cs="Arial"/>
        </w:rPr>
        <w:t xml:space="preserve"> </w:t>
      </w:r>
      <w:r w:rsidR="003948F5">
        <w:rPr>
          <w:rFonts w:ascii="Arial" w:hAnsi="Arial" w:cs="Arial"/>
        </w:rPr>
        <w:t xml:space="preserve">within a long UL transmission. Note that a UL transmission could be up to 2s due to </w:t>
      </w:r>
      <w:r w:rsidR="00307D89">
        <w:rPr>
          <w:rFonts w:ascii="Arial" w:hAnsi="Arial" w:cs="Arial"/>
        </w:rPr>
        <w:t xml:space="preserve">NPUSCH </w:t>
      </w:r>
      <w:r w:rsidR="003948F5">
        <w:rPr>
          <w:rFonts w:ascii="Arial" w:hAnsi="Arial" w:cs="Arial"/>
        </w:rPr>
        <w:t>repetitions and the satellite delay could change faster due to high satellite mobility. Therefore, the satellite delay estimation needs to be updated for UL pre-compensation</w:t>
      </w:r>
      <w:r w:rsidR="00307D89">
        <w:rPr>
          <w:rFonts w:ascii="Arial" w:hAnsi="Arial" w:cs="Arial"/>
        </w:rPr>
        <w:t xml:space="preserve"> in order to avoid UL performance loss</w:t>
      </w:r>
      <w:r w:rsidR="003948F5">
        <w:rPr>
          <w:rFonts w:ascii="Arial" w:hAnsi="Arial" w:cs="Arial"/>
        </w:rPr>
        <w:t xml:space="preserve"> which may be required to receive GNSS signal and/or satellite ephemeris.</w:t>
      </w:r>
    </w:p>
    <w:p w14:paraId="7A1271E9" w14:textId="3FF6D275" w:rsidR="00F777BC" w:rsidRDefault="003948F5" w:rsidP="00072159">
      <w:pPr>
        <w:spacing w:after="120" w:line="276" w:lineRule="auto"/>
        <w:jc w:val="both"/>
        <w:rPr>
          <w:rFonts w:ascii="Arial" w:hAnsi="Arial" w:cs="Arial"/>
        </w:rPr>
      </w:pPr>
      <w:r>
        <w:rPr>
          <w:rFonts w:ascii="Arial" w:hAnsi="Arial" w:cs="Arial"/>
        </w:rPr>
        <w:lastRenderedPageBreak/>
        <w:t xml:space="preserve">A UL gap (40ms) is supported for NPUSCH after 256ms NPUSCH transmission and the gap could be used to update the satellite delay. However, </w:t>
      </w:r>
      <w:r w:rsidR="00307D89">
        <w:rPr>
          <w:rFonts w:ascii="Arial" w:hAnsi="Arial" w:cs="Arial"/>
        </w:rPr>
        <w:t>existing UL gap may not be long enough to receive all necessary information to update the satellite delay. Therefore, a longer UL gap seems to be needed for IoT NTN.</w:t>
      </w:r>
      <w:r>
        <w:rPr>
          <w:rFonts w:ascii="Arial" w:hAnsi="Arial" w:cs="Arial"/>
        </w:rPr>
        <w:t xml:space="preserve"> </w:t>
      </w:r>
      <w:r w:rsidR="00A826DA">
        <w:rPr>
          <w:rFonts w:ascii="Arial" w:hAnsi="Arial" w:cs="Arial"/>
        </w:rPr>
        <w:t xml:space="preserve">  </w:t>
      </w:r>
    </w:p>
    <w:p w14:paraId="60BA4667" w14:textId="05F274A1" w:rsidR="00307D89" w:rsidRPr="00F777BC" w:rsidRDefault="00307D89" w:rsidP="00072159">
      <w:pPr>
        <w:spacing w:after="120" w:line="276" w:lineRule="auto"/>
        <w:jc w:val="both"/>
        <w:rPr>
          <w:rFonts w:ascii="Arial" w:hAnsi="Arial" w:cs="Arial"/>
          <w:bCs/>
          <w:i/>
          <w:iCs/>
        </w:rPr>
      </w:pPr>
      <w:r w:rsidRPr="00F777BC">
        <w:rPr>
          <w:rFonts w:ascii="Arial" w:eastAsia="Calibri" w:hAnsi="Arial" w:cs="Arial"/>
          <w:b/>
          <w:i/>
          <w:iCs/>
        </w:rPr>
        <w:t xml:space="preserve">Proposal </w:t>
      </w:r>
      <w:r>
        <w:rPr>
          <w:rFonts w:ascii="Arial" w:eastAsia="Calibri" w:hAnsi="Arial" w:cs="Arial"/>
          <w:b/>
          <w:i/>
          <w:iCs/>
        </w:rPr>
        <w:t>3</w:t>
      </w:r>
      <w:r w:rsidRPr="00F777BC">
        <w:rPr>
          <w:rFonts w:ascii="Arial" w:eastAsia="Calibri" w:hAnsi="Arial" w:cs="Arial"/>
          <w:b/>
          <w:i/>
          <w:iCs/>
        </w:rPr>
        <w:t xml:space="preserve">: </w:t>
      </w:r>
      <w:r>
        <w:rPr>
          <w:rFonts w:ascii="Arial" w:eastAsia="Calibri" w:hAnsi="Arial" w:cs="Arial"/>
          <w:b/>
          <w:i/>
          <w:iCs/>
        </w:rPr>
        <w:t>a UL gap longer than 40ms is considered for IoT NTN</w:t>
      </w:r>
      <w:r w:rsidRPr="00F777BC">
        <w:rPr>
          <w:rFonts w:ascii="Arial" w:hAnsi="Arial" w:cs="Arial"/>
          <w:b/>
          <w:i/>
          <w:iCs/>
        </w:rPr>
        <w:t>.</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00DCE8FF"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F93D43">
        <w:rPr>
          <w:rFonts w:ascii="Arial" w:hAnsi="Arial" w:cs="Arial"/>
        </w:rPr>
        <w:t xml:space="preserve">time and frequency synchronization </w:t>
      </w:r>
      <w:r w:rsidR="0050017F">
        <w:rPr>
          <w:rFonts w:ascii="Arial" w:hAnsi="Arial" w:cs="Arial"/>
        </w:rPr>
        <w:t>for IoT NTN. Based on the discussion, we propose following</w:t>
      </w:r>
      <w:r w:rsidR="00CB0932">
        <w:rPr>
          <w:rFonts w:ascii="Arial" w:hAnsi="Arial" w:cs="Arial"/>
        </w:rPr>
        <w:t>:</w:t>
      </w:r>
      <w:r w:rsidRPr="008924A3">
        <w:rPr>
          <w:rFonts w:ascii="Arial" w:hAnsi="Arial" w:cs="Arial"/>
        </w:rPr>
        <w:t xml:space="preserve"> </w:t>
      </w:r>
    </w:p>
    <w:p w14:paraId="2FDD9871" w14:textId="25C045C1" w:rsidR="00307D89" w:rsidRDefault="00307D89" w:rsidP="00307D89">
      <w:pPr>
        <w:spacing w:after="120" w:line="276" w:lineRule="auto"/>
        <w:jc w:val="both"/>
        <w:rPr>
          <w:rFonts w:ascii="Arial" w:hAnsi="Arial" w:cs="Arial"/>
          <w:b/>
          <w:i/>
          <w:iCs/>
        </w:rPr>
      </w:pPr>
      <w:r w:rsidRPr="00F777BC">
        <w:rPr>
          <w:rFonts w:ascii="Arial" w:eastAsia="Calibri" w:hAnsi="Arial" w:cs="Arial"/>
          <w:b/>
          <w:i/>
          <w:iCs/>
        </w:rPr>
        <w:t>Proposal 1: non-essential issues should be down-prioritized in Rel-17 to expedite progress for Rel-17 IoT NTN</w:t>
      </w:r>
      <w:r w:rsidRPr="00F777BC">
        <w:rPr>
          <w:rFonts w:ascii="Arial" w:hAnsi="Arial" w:cs="Arial"/>
          <w:b/>
          <w:i/>
          <w:iCs/>
        </w:rPr>
        <w:t>.</w:t>
      </w:r>
    </w:p>
    <w:p w14:paraId="3CD3F3B6" w14:textId="77777777" w:rsidR="00307D89" w:rsidRPr="00F777BC" w:rsidRDefault="00307D89" w:rsidP="00307D89">
      <w:pPr>
        <w:spacing w:after="120" w:line="276" w:lineRule="auto"/>
        <w:jc w:val="both"/>
        <w:rPr>
          <w:rFonts w:ascii="Arial" w:hAnsi="Arial" w:cs="Arial"/>
          <w:bCs/>
          <w:i/>
          <w:iCs/>
        </w:rPr>
      </w:pPr>
      <w:r w:rsidRPr="00F777BC">
        <w:rPr>
          <w:rFonts w:ascii="Arial" w:eastAsia="Calibri" w:hAnsi="Arial" w:cs="Arial"/>
          <w:b/>
          <w:i/>
          <w:iCs/>
        </w:rPr>
        <w:t xml:space="preserve">Proposal </w:t>
      </w:r>
      <w:r>
        <w:rPr>
          <w:rFonts w:ascii="Arial" w:eastAsia="Calibri" w:hAnsi="Arial" w:cs="Arial"/>
          <w:b/>
          <w:i/>
          <w:iCs/>
        </w:rPr>
        <w:t>2</w:t>
      </w:r>
      <w:r w:rsidRPr="00F777BC">
        <w:rPr>
          <w:rFonts w:ascii="Arial" w:eastAsia="Calibri" w:hAnsi="Arial" w:cs="Arial"/>
          <w:b/>
          <w:i/>
          <w:iCs/>
        </w:rPr>
        <w:t xml:space="preserve">: </w:t>
      </w:r>
      <w:r>
        <w:rPr>
          <w:rFonts w:ascii="Arial" w:eastAsia="Calibri" w:hAnsi="Arial" w:cs="Arial"/>
          <w:b/>
          <w:i/>
          <w:iCs/>
        </w:rPr>
        <w:t>any issues related UE power consumption impact study should be down-prioritized in Rel-17</w:t>
      </w:r>
      <w:r w:rsidRPr="00F777BC">
        <w:rPr>
          <w:rFonts w:ascii="Arial" w:hAnsi="Arial" w:cs="Arial"/>
          <w:b/>
          <w:i/>
          <w:iCs/>
        </w:rPr>
        <w:t>.</w:t>
      </w:r>
    </w:p>
    <w:p w14:paraId="5B6C8EC6" w14:textId="77777777" w:rsidR="00307D89" w:rsidRPr="00F777BC" w:rsidRDefault="00307D89" w:rsidP="00307D89">
      <w:pPr>
        <w:spacing w:after="120" w:line="276" w:lineRule="auto"/>
        <w:jc w:val="both"/>
        <w:rPr>
          <w:rFonts w:ascii="Arial" w:hAnsi="Arial" w:cs="Arial"/>
          <w:bCs/>
          <w:i/>
          <w:iCs/>
        </w:rPr>
      </w:pPr>
      <w:r w:rsidRPr="00F777BC">
        <w:rPr>
          <w:rFonts w:ascii="Arial" w:eastAsia="Calibri" w:hAnsi="Arial" w:cs="Arial"/>
          <w:b/>
          <w:i/>
          <w:iCs/>
        </w:rPr>
        <w:t xml:space="preserve">Proposal </w:t>
      </w:r>
      <w:r>
        <w:rPr>
          <w:rFonts w:ascii="Arial" w:eastAsia="Calibri" w:hAnsi="Arial" w:cs="Arial"/>
          <w:b/>
          <w:i/>
          <w:iCs/>
        </w:rPr>
        <w:t>3</w:t>
      </w:r>
      <w:r w:rsidRPr="00F777BC">
        <w:rPr>
          <w:rFonts w:ascii="Arial" w:eastAsia="Calibri" w:hAnsi="Arial" w:cs="Arial"/>
          <w:b/>
          <w:i/>
          <w:iCs/>
        </w:rPr>
        <w:t xml:space="preserve">: </w:t>
      </w:r>
      <w:r>
        <w:rPr>
          <w:rFonts w:ascii="Arial" w:eastAsia="Calibri" w:hAnsi="Arial" w:cs="Arial"/>
          <w:b/>
          <w:i/>
          <w:iCs/>
        </w:rPr>
        <w:t>a UL gap longer than 40ms is considered for IoT NTN</w:t>
      </w:r>
      <w:r w:rsidRPr="00F777BC">
        <w:rPr>
          <w:rFonts w:ascii="Arial" w:hAnsi="Arial" w:cs="Arial"/>
          <w:b/>
          <w:i/>
          <w:iCs/>
        </w:rPr>
        <w:t>.</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46267F56" w14:textId="641E04E8" w:rsidR="009C3410" w:rsidRDefault="009C3410" w:rsidP="00F8241F">
      <w:pPr>
        <w:pStyle w:val="Reference"/>
        <w:spacing w:after="120"/>
        <w:jc w:val="both"/>
        <w:rPr>
          <w:rFonts w:ascii="Times New Roman" w:hAnsi="Times New Roman" w:cs="Times New Roman"/>
        </w:rPr>
      </w:pPr>
      <w:bookmarkStart w:id="2" w:name="_Ref49798330"/>
      <w:r>
        <w:rPr>
          <w:rFonts w:ascii="Times New Roman" w:hAnsi="Times New Roman" w:cs="Times New Roman"/>
        </w:rPr>
        <w:t>RAN1 #104e Chairman’s note</w:t>
      </w:r>
    </w:p>
    <w:p w14:paraId="6EAF24B3" w14:textId="51576DDA" w:rsidR="009C3410" w:rsidRDefault="009C3410" w:rsidP="00F8241F">
      <w:pPr>
        <w:pStyle w:val="Reference"/>
        <w:spacing w:after="120"/>
        <w:jc w:val="both"/>
        <w:rPr>
          <w:rFonts w:ascii="Times New Roman" w:hAnsi="Times New Roman" w:cs="Times New Roman"/>
        </w:rPr>
      </w:pPr>
      <w:r>
        <w:rPr>
          <w:rFonts w:ascii="Times New Roman" w:hAnsi="Times New Roman" w:cs="Times New Roman"/>
        </w:rPr>
        <w:t>RP-210906, Way forward on new proposals, Nokia (RAN chair)</w:t>
      </w:r>
    </w:p>
    <w:p w14:paraId="270BAE38" w14:textId="77777777" w:rsidR="009C3410" w:rsidRDefault="009C3410" w:rsidP="009C3410">
      <w:pPr>
        <w:pStyle w:val="Reference"/>
        <w:spacing w:after="120"/>
        <w:jc w:val="both"/>
        <w:rPr>
          <w:rFonts w:ascii="Times New Roman" w:hAnsi="Times New Roman" w:cs="Times New Roman"/>
        </w:rPr>
      </w:pPr>
      <w:r>
        <w:rPr>
          <w:rFonts w:ascii="Times New Roman" w:hAnsi="Times New Roman" w:cs="Times New Roman"/>
        </w:rPr>
        <w:t>RP-210915, Moderator’s summary for e-mail discussion [91E][</w:t>
      </w:r>
      <w:proofErr w:type="gramStart"/>
      <w:r>
        <w:rPr>
          <w:rFonts w:ascii="Times New Roman" w:hAnsi="Times New Roman" w:cs="Times New Roman"/>
        </w:rPr>
        <w:t>42][</w:t>
      </w:r>
      <w:proofErr w:type="spellStart"/>
      <w:proofErr w:type="gramEnd"/>
      <w:r>
        <w:rPr>
          <w:rFonts w:ascii="Times New Roman" w:hAnsi="Times New Roman" w:cs="Times New Roman"/>
        </w:rPr>
        <w:t>NTN_IoT_roadmap</w:t>
      </w:r>
      <w:proofErr w:type="spellEnd"/>
      <w:r>
        <w:rPr>
          <w:rFonts w:ascii="Times New Roman" w:hAnsi="Times New Roman" w:cs="Times New Roman"/>
        </w:rPr>
        <w:t>]</w:t>
      </w:r>
    </w:p>
    <w:p w14:paraId="2F02CFF5" w14:textId="3D2B6DF7" w:rsidR="00F8241F" w:rsidRPr="00994D39" w:rsidRDefault="00F8241F" w:rsidP="00F8241F">
      <w:pPr>
        <w:pStyle w:val="Reference"/>
        <w:spacing w:after="120"/>
        <w:jc w:val="both"/>
        <w:rPr>
          <w:rFonts w:ascii="Times New Roman" w:hAnsi="Times New Roman" w:cs="Times New Roman"/>
        </w:rPr>
      </w:pPr>
      <w:r w:rsidRPr="00994D39">
        <w:rPr>
          <w:rFonts w:ascii="Times New Roman" w:hAnsi="Times New Roman" w:cs="Times New Roman"/>
        </w:rPr>
        <w:t>RP-193235, Study on NB-IoT/eMTC support for Non-terrestrial Network, MediaTek Inc., RAN#86, Dec 2019.</w:t>
      </w:r>
      <w:bookmarkEnd w:id="2"/>
    </w:p>
    <w:p w14:paraId="400C6181" w14:textId="5C7B2F1A" w:rsidR="00163644" w:rsidRPr="00C031A5" w:rsidRDefault="00745259" w:rsidP="00C031A5">
      <w:pPr>
        <w:pStyle w:val="Reference"/>
        <w:overflowPunct w:val="0"/>
        <w:autoSpaceDE w:val="0"/>
        <w:autoSpaceDN w:val="0"/>
        <w:adjustRightInd w:val="0"/>
        <w:spacing w:after="60"/>
        <w:jc w:val="both"/>
        <w:textAlignment w:val="baseline"/>
        <w:rPr>
          <w:rFonts w:ascii="Times New Roman" w:hAnsi="Times New Roman" w:cs="Times New Roman"/>
        </w:rPr>
      </w:pPr>
      <w:r w:rsidRPr="00344277">
        <w:rPr>
          <w:rFonts w:ascii="Times New Roman" w:hAnsi="Times New Roman" w:cs="Times New Roman"/>
        </w:rPr>
        <w:t>3GPP TR 38.821 Solutions for NR to support non-terrestrial networks (NTN)</w:t>
      </w:r>
    </w:p>
    <w:sectPr w:rsidR="00163644" w:rsidRPr="00C031A5"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1A654" w14:textId="77777777" w:rsidR="00F1156E" w:rsidRDefault="00F1156E">
      <w:r>
        <w:separator/>
      </w:r>
    </w:p>
  </w:endnote>
  <w:endnote w:type="continuationSeparator" w:id="0">
    <w:p w14:paraId="196894A8" w14:textId="77777777" w:rsidR="00F1156E" w:rsidRDefault="00F1156E">
      <w:r>
        <w:continuationSeparator/>
      </w:r>
    </w:p>
  </w:endnote>
  <w:endnote w:type="continuationNotice" w:id="1">
    <w:p w14:paraId="2B2CA4C8" w14:textId="77777777" w:rsidR="00F1156E" w:rsidRDefault="00F11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CD8C8" w14:textId="77777777" w:rsidR="00F1156E" w:rsidRDefault="00F1156E">
      <w:r>
        <w:separator/>
      </w:r>
    </w:p>
  </w:footnote>
  <w:footnote w:type="continuationSeparator" w:id="0">
    <w:p w14:paraId="70A646AB" w14:textId="77777777" w:rsidR="00F1156E" w:rsidRDefault="00F1156E">
      <w:r>
        <w:continuationSeparator/>
      </w:r>
    </w:p>
  </w:footnote>
  <w:footnote w:type="continuationNotice" w:id="1">
    <w:p w14:paraId="222D9720" w14:textId="77777777" w:rsidR="00F1156E" w:rsidRDefault="00F115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C1E42"/>
    <w:multiLevelType w:val="hybridMultilevel"/>
    <w:tmpl w:val="FD822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934958"/>
    <w:multiLevelType w:val="hybridMultilevel"/>
    <w:tmpl w:val="F1DAF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6" w15:restartNumberingAfterBreak="0">
    <w:nsid w:val="4ABB246A"/>
    <w:multiLevelType w:val="multilevel"/>
    <w:tmpl w:val="4C39649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E57D31"/>
    <w:multiLevelType w:val="hybridMultilevel"/>
    <w:tmpl w:val="4E5C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7"/>
  </w:num>
  <w:num w:numId="3">
    <w:abstractNumId w:val="22"/>
  </w:num>
  <w:num w:numId="4">
    <w:abstractNumId w:val="23"/>
  </w:num>
  <w:num w:numId="5">
    <w:abstractNumId w:val="16"/>
  </w:num>
  <w:num w:numId="6">
    <w:abstractNumId w:val="24"/>
  </w:num>
  <w:num w:numId="7">
    <w:abstractNumId w:val="34"/>
  </w:num>
  <w:num w:numId="8">
    <w:abstractNumId w:val="17"/>
  </w:num>
  <w:num w:numId="9">
    <w:abstractNumId w:val="48"/>
  </w:num>
  <w:num w:numId="10">
    <w:abstractNumId w:val="20"/>
  </w:num>
  <w:num w:numId="11">
    <w:abstractNumId w:val="38"/>
  </w:num>
  <w:num w:numId="12">
    <w:abstractNumId w:val="31"/>
  </w:num>
  <w:num w:numId="13">
    <w:abstractNumId w:val="49"/>
  </w:num>
  <w:num w:numId="14">
    <w:abstractNumId w:val="19"/>
  </w:num>
  <w:num w:numId="15">
    <w:abstractNumId w:val="12"/>
  </w:num>
  <w:num w:numId="16">
    <w:abstractNumId w:val="47"/>
  </w:num>
  <w:num w:numId="17">
    <w:abstractNumId w:val="10"/>
  </w:num>
  <w:num w:numId="18">
    <w:abstractNumId w:val="39"/>
  </w:num>
  <w:num w:numId="19">
    <w:abstractNumId w:val="5"/>
  </w:num>
  <w:num w:numId="20">
    <w:abstractNumId w:val="33"/>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6"/>
  </w:num>
  <w:num w:numId="28">
    <w:abstractNumId w:val="29"/>
  </w:num>
  <w:num w:numId="29">
    <w:abstractNumId w:val="43"/>
  </w:num>
  <w:num w:numId="30">
    <w:abstractNumId w:val="7"/>
  </w:num>
  <w:num w:numId="31">
    <w:abstractNumId w:val="45"/>
  </w:num>
  <w:num w:numId="32">
    <w:abstractNumId w:val="37"/>
  </w:num>
  <w:num w:numId="33">
    <w:abstractNumId w:val="8"/>
  </w:num>
  <w:num w:numId="34">
    <w:abstractNumId w:val="25"/>
  </w:num>
  <w:num w:numId="35">
    <w:abstractNumId w:val="0"/>
  </w:num>
  <w:num w:numId="36">
    <w:abstractNumId w:val="9"/>
  </w:num>
  <w:num w:numId="37">
    <w:abstractNumId w:val="28"/>
  </w:num>
  <w:num w:numId="38">
    <w:abstractNumId w:val="28"/>
  </w:num>
  <w:num w:numId="39">
    <w:abstractNumId w:val="3"/>
  </w:num>
  <w:num w:numId="40">
    <w:abstractNumId w:val="13"/>
  </w:num>
  <w:num w:numId="41">
    <w:abstractNumId w:val="32"/>
  </w:num>
  <w:num w:numId="42">
    <w:abstractNumId w:val="42"/>
  </w:num>
  <w:num w:numId="43">
    <w:abstractNumId w:val="2"/>
  </w:num>
  <w:num w:numId="44">
    <w:abstractNumId w:val="14"/>
  </w:num>
  <w:num w:numId="45">
    <w:abstractNumId w:val="41"/>
  </w:num>
  <w:num w:numId="46">
    <w:abstractNumId w:val="4"/>
  </w:num>
  <w:num w:numId="47">
    <w:abstractNumId w:val="36"/>
  </w:num>
  <w:num w:numId="48">
    <w:abstractNumId w:val="46"/>
  </w:num>
  <w:num w:numId="49">
    <w:abstractNumId w:val="30"/>
  </w:num>
  <w:num w:numId="50">
    <w:abstractNumId w:val="21"/>
  </w:num>
  <w:num w:numId="51">
    <w:abstractNumId w:val="11"/>
  </w:num>
  <w:num w:numId="52">
    <w:abstractNumId w:val="44"/>
  </w:num>
  <w:num w:numId="53">
    <w:abstractNumId w:val="26"/>
  </w:num>
  <w:num w:numId="54">
    <w:abstractNumId w:val="40"/>
  </w:num>
  <w:num w:numId="55">
    <w:abstractNumId w:val="35"/>
  </w:num>
  <w:num w:numId="56">
    <w:abstractNumId w:val="1"/>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159"/>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6A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14A"/>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44"/>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60A"/>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1CC"/>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D7C12"/>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07D89"/>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277"/>
    <w:rsid w:val="0034447A"/>
    <w:rsid w:val="003447E3"/>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8691E"/>
    <w:rsid w:val="00390D95"/>
    <w:rsid w:val="00390FFE"/>
    <w:rsid w:val="003913DB"/>
    <w:rsid w:val="00391638"/>
    <w:rsid w:val="003916B0"/>
    <w:rsid w:val="003918D0"/>
    <w:rsid w:val="00392617"/>
    <w:rsid w:val="003927B8"/>
    <w:rsid w:val="00392D70"/>
    <w:rsid w:val="00393702"/>
    <w:rsid w:val="003939FF"/>
    <w:rsid w:val="00393FE3"/>
    <w:rsid w:val="0039401E"/>
    <w:rsid w:val="003946B1"/>
    <w:rsid w:val="003948F5"/>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213"/>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D0F"/>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2FCD"/>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CD5"/>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17F"/>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23A"/>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0CE9"/>
    <w:rsid w:val="0056121F"/>
    <w:rsid w:val="00562E35"/>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00F"/>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04D9"/>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1CF"/>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4D1B"/>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259"/>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6C0"/>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0CC3"/>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154"/>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2DF6"/>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392"/>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0B6D"/>
    <w:rsid w:val="008F197A"/>
    <w:rsid w:val="008F19BC"/>
    <w:rsid w:val="008F1EAB"/>
    <w:rsid w:val="008F205C"/>
    <w:rsid w:val="008F21F5"/>
    <w:rsid w:val="008F2823"/>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7B5"/>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39"/>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410"/>
    <w:rsid w:val="009C3528"/>
    <w:rsid w:val="009C403E"/>
    <w:rsid w:val="009C470D"/>
    <w:rsid w:val="009C483E"/>
    <w:rsid w:val="009C4923"/>
    <w:rsid w:val="009C4F4B"/>
    <w:rsid w:val="009C5410"/>
    <w:rsid w:val="009C5798"/>
    <w:rsid w:val="009C5874"/>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26DA"/>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2970"/>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2E2"/>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5AC"/>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19B"/>
    <w:rsid w:val="00C031A5"/>
    <w:rsid w:val="00C0342D"/>
    <w:rsid w:val="00C035C2"/>
    <w:rsid w:val="00C040F7"/>
    <w:rsid w:val="00C0443F"/>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65B"/>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67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54F"/>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512"/>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56E"/>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37E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7BC"/>
    <w:rsid w:val="00F77F2D"/>
    <w:rsid w:val="00F800BF"/>
    <w:rsid w:val="00F80174"/>
    <w:rsid w:val="00F804BE"/>
    <w:rsid w:val="00F80F50"/>
    <w:rsid w:val="00F817CE"/>
    <w:rsid w:val="00F81DA0"/>
    <w:rsid w:val="00F8241F"/>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3D43"/>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715"/>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4D"/>
    <w:rsid w:val="00FD5D53"/>
    <w:rsid w:val="00FD67EC"/>
    <w:rsid w:val="00FD69B1"/>
    <w:rsid w:val="00FD6E83"/>
    <w:rsid w:val="00FD710F"/>
    <w:rsid w:val="00FD74DB"/>
    <w:rsid w:val="00FD75E6"/>
    <w:rsid w:val="00FD7660"/>
    <w:rsid w:val="00FD7787"/>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82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F28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282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F078AD1C-F155-4960-9983-76CB82F44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2021-04-06T20:19:00Z</dcterms:created>
  <dcterms:modified xsi:type="dcterms:W3CDTF">2021-04-06T20:19:00Z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