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Ref465963108"/>
    <w:p w14:paraId="5B366D50" w14:textId="629D4599" w:rsidR="005E3D8B" w:rsidRPr="009E46AE" w:rsidRDefault="005E3D8B" w:rsidP="00FD1B35">
      <w:pPr>
        <w:tabs>
          <w:tab w:val="right" w:pos="9216"/>
        </w:tabs>
        <w:spacing w:after="0"/>
        <w:jc w:val="both"/>
        <w:rPr>
          <w:b/>
          <w:color w:val="000000" w:themeColor="text1"/>
          <w:kern w:val="2"/>
          <w:sz w:val="24"/>
          <w:lang w:eastAsia="zh-CN"/>
        </w:rPr>
      </w:pPr>
      <w:r w:rsidRPr="009E46AE">
        <w:rPr>
          <w:noProof/>
          <w:color w:val="000000" w:themeColor="text1"/>
          <w:sz w:val="24"/>
          <w:lang w:val="en-IN" w:eastAsia="en-IN"/>
        </w:rPr>
        <mc:AlternateContent>
          <mc:Choice Requires="wps">
            <w:drawing>
              <wp:anchor distT="0" distB="0" distL="114300" distR="114300" simplePos="0" relativeHeight="251659264" behindDoc="0" locked="1" layoutInCell="1" allowOverlap="1" wp14:anchorId="2E56CC51" wp14:editId="52E903D6">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2A737"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E46AE">
        <w:rPr>
          <w:b/>
          <w:color w:val="000000" w:themeColor="text1"/>
          <w:kern w:val="2"/>
          <w:sz w:val="24"/>
          <w:lang w:eastAsia="zh-CN"/>
        </w:rPr>
        <w:t>3GPP TSG RAN WG1 Meeting #10</w:t>
      </w:r>
      <w:r w:rsidR="004D6898" w:rsidRPr="009E46AE">
        <w:rPr>
          <w:b/>
          <w:color w:val="000000" w:themeColor="text1"/>
          <w:kern w:val="2"/>
          <w:sz w:val="24"/>
          <w:lang w:eastAsia="zh-CN"/>
        </w:rPr>
        <w:t>4</w:t>
      </w:r>
      <w:r w:rsidRPr="009E46AE">
        <w:rPr>
          <w:b/>
          <w:color w:val="000000" w:themeColor="text1"/>
          <w:kern w:val="2"/>
          <w:sz w:val="24"/>
          <w:lang w:eastAsia="zh-CN"/>
        </w:rPr>
        <w:t>-</w:t>
      </w:r>
      <w:r w:rsidR="00F07535">
        <w:rPr>
          <w:b/>
          <w:color w:val="000000" w:themeColor="text1"/>
          <w:kern w:val="2"/>
          <w:sz w:val="24"/>
          <w:lang w:eastAsia="zh-CN"/>
        </w:rPr>
        <w:t>bis-</w:t>
      </w:r>
      <w:r w:rsidRPr="009E46AE">
        <w:rPr>
          <w:b/>
          <w:color w:val="000000" w:themeColor="text1"/>
          <w:kern w:val="2"/>
          <w:sz w:val="24"/>
          <w:lang w:eastAsia="zh-CN"/>
        </w:rPr>
        <w:t>e</w:t>
      </w:r>
      <w:r w:rsidRPr="009E46AE">
        <w:rPr>
          <w:b/>
          <w:color w:val="000000" w:themeColor="text1"/>
          <w:kern w:val="2"/>
          <w:sz w:val="24"/>
          <w:lang w:eastAsia="zh-CN"/>
        </w:rPr>
        <w:tab/>
        <w:t>R1-</w:t>
      </w:r>
      <w:r w:rsidR="005E4C92" w:rsidRPr="005E4C92">
        <w:t xml:space="preserve"> </w:t>
      </w:r>
      <w:r w:rsidR="005E4C92" w:rsidRPr="005E4C92">
        <w:rPr>
          <w:b/>
          <w:color w:val="000000" w:themeColor="text1"/>
          <w:kern w:val="2"/>
          <w:sz w:val="24"/>
          <w:lang w:eastAsia="zh-CN"/>
        </w:rPr>
        <w:t>2102913</w:t>
      </w:r>
    </w:p>
    <w:p w14:paraId="520C82B5" w14:textId="4DFE2E49" w:rsidR="005E3D8B" w:rsidRPr="009E46AE" w:rsidRDefault="00F07535" w:rsidP="00FD1B35">
      <w:pPr>
        <w:jc w:val="both"/>
        <w:rPr>
          <w:b/>
          <w:color w:val="000000" w:themeColor="text1"/>
          <w:kern w:val="2"/>
          <w:sz w:val="24"/>
          <w:lang w:eastAsia="zh-CN"/>
        </w:rPr>
      </w:pPr>
      <w:r>
        <w:rPr>
          <w:b/>
          <w:color w:val="000000" w:themeColor="text1"/>
          <w:kern w:val="2"/>
          <w:sz w:val="24"/>
          <w:lang w:eastAsia="zh-CN"/>
        </w:rPr>
        <w:t>Apr</w:t>
      </w:r>
      <w:r w:rsidRPr="009E46AE">
        <w:rPr>
          <w:b/>
          <w:color w:val="000000" w:themeColor="text1"/>
          <w:kern w:val="2"/>
          <w:sz w:val="24"/>
          <w:lang w:eastAsia="zh-CN"/>
        </w:rPr>
        <w:t xml:space="preserve"> </w:t>
      </w:r>
      <w:r>
        <w:rPr>
          <w:b/>
          <w:color w:val="000000" w:themeColor="text1"/>
          <w:kern w:val="2"/>
          <w:sz w:val="24"/>
          <w:lang w:eastAsia="zh-CN"/>
        </w:rPr>
        <w:t>12</w:t>
      </w:r>
      <w:r w:rsidR="005E3D8B" w:rsidRPr="009E46AE">
        <w:rPr>
          <w:b/>
          <w:color w:val="000000" w:themeColor="text1"/>
          <w:kern w:val="2"/>
          <w:sz w:val="24"/>
          <w:vertAlign w:val="superscript"/>
          <w:lang w:eastAsia="zh-CN"/>
        </w:rPr>
        <w:t>th</w:t>
      </w:r>
      <w:r w:rsidR="005E3D8B" w:rsidRPr="009E46AE">
        <w:rPr>
          <w:b/>
          <w:color w:val="000000" w:themeColor="text1"/>
          <w:kern w:val="2"/>
          <w:sz w:val="24"/>
          <w:lang w:eastAsia="zh-CN"/>
        </w:rPr>
        <w:t xml:space="preserve"> – </w:t>
      </w:r>
      <w:r>
        <w:rPr>
          <w:b/>
          <w:color w:val="000000" w:themeColor="text1"/>
          <w:kern w:val="2"/>
          <w:sz w:val="24"/>
          <w:lang w:eastAsia="zh-CN"/>
        </w:rPr>
        <w:t>Apr</w:t>
      </w:r>
      <w:r w:rsidRPr="009E46AE">
        <w:rPr>
          <w:b/>
          <w:color w:val="000000" w:themeColor="text1"/>
          <w:kern w:val="2"/>
          <w:sz w:val="24"/>
          <w:lang w:eastAsia="zh-CN"/>
        </w:rPr>
        <w:t xml:space="preserve"> </w:t>
      </w:r>
      <w:r>
        <w:rPr>
          <w:b/>
          <w:color w:val="000000" w:themeColor="text1"/>
          <w:kern w:val="2"/>
          <w:sz w:val="24"/>
          <w:lang w:eastAsia="zh-CN"/>
        </w:rPr>
        <w:t>20</w:t>
      </w:r>
      <w:r w:rsidR="005E3D8B" w:rsidRPr="009E46AE">
        <w:rPr>
          <w:b/>
          <w:color w:val="000000" w:themeColor="text1"/>
          <w:kern w:val="2"/>
          <w:sz w:val="24"/>
          <w:vertAlign w:val="superscript"/>
          <w:lang w:eastAsia="zh-CN"/>
        </w:rPr>
        <w:t>th</w:t>
      </w:r>
      <w:r w:rsidR="005E3D8B" w:rsidRPr="009E46AE">
        <w:rPr>
          <w:b/>
          <w:color w:val="000000" w:themeColor="text1"/>
          <w:kern w:val="2"/>
          <w:sz w:val="24"/>
          <w:lang w:eastAsia="zh-CN"/>
        </w:rPr>
        <w:t>, 202</w:t>
      </w:r>
      <w:r w:rsidR="001F35ED" w:rsidRPr="009E46AE">
        <w:rPr>
          <w:b/>
          <w:color w:val="000000" w:themeColor="text1"/>
          <w:kern w:val="2"/>
          <w:sz w:val="24"/>
          <w:lang w:eastAsia="zh-CN"/>
        </w:rPr>
        <w:t>1</w:t>
      </w:r>
    </w:p>
    <w:p w14:paraId="44FF4221" w14:textId="77777777" w:rsidR="005E3D8B" w:rsidRPr="009E46AE" w:rsidRDefault="005E3D8B" w:rsidP="00FD1B35">
      <w:pPr>
        <w:pBdr>
          <w:top w:val="single" w:sz="4" w:space="1" w:color="auto"/>
        </w:pBdr>
        <w:spacing w:after="0"/>
        <w:jc w:val="both"/>
        <w:rPr>
          <w:b/>
          <w:color w:val="000000" w:themeColor="text1"/>
          <w:kern w:val="2"/>
          <w:szCs w:val="16"/>
          <w:lang w:eastAsia="zh-CN"/>
        </w:rPr>
      </w:pPr>
    </w:p>
    <w:p w14:paraId="0F98C6CE" w14:textId="4B7DEBBD" w:rsidR="005E3D8B" w:rsidRPr="009E46AE" w:rsidRDefault="005E3D8B" w:rsidP="00FD1B35">
      <w:pPr>
        <w:spacing w:after="60"/>
        <w:ind w:left="1555" w:hanging="1555"/>
        <w:jc w:val="both"/>
        <w:rPr>
          <w:b/>
          <w:color w:val="000000" w:themeColor="text1"/>
          <w:kern w:val="2"/>
          <w:sz w:val="28"/>
          <w:szCs w:val="22"/>
          <w:lang w:eastAsia="zh-CN"/>
        </w:rPr>
      </w:pPr>
      <w:r w:rsidRPr="009E46AE">
        <w:rPr>
          <w:b/>
          <w:color w:val="000000" w:themeColor="text1"/>
          <w:kern w:val="2"/>
          <w:sz w:val="24"/>
          <w:lang w:eastAsia="zh-CN"/>
        </w:rPr>
        <w:t>Agenda Item:</w:t>
      </w:r>
      <w:r w:rsidRPr="009E46AE">
        <w:rPr>
          <w:b/>
          <w:color w:val="000000" w:themeColor="text1"/>
          <w:kern w:val="2"/>
          <w:sz w:val="24"/>
          <w:lang w:eastAsia="zh-CN"/>
        </w:rPr>
        <w:tab/>
        <w:t>8.8.</w:t>
      </w:r>
      <w:r w:rsidR="004D6898" w:rsidRPr="009E46AE">
        <w:rPr>
          <w:b/>
          <w:color w:val="000000" w:themeColor="text1"/>
          <w:kern w:val="2"/>
          <w:sz w:val="24"/>
          <w:lang w:eastAsia="zh-CN"/>
        </w:rPr>
        <w:t>1</w:t>
      </w:r>
      <w:r w:rsidRPr="009E46AE">
        <w:rPr>
          <w:b/>
          <w:color w:val="000000" w:themeColor="text1"/>
          <w:kern w:val="2"/>
          <w:sz w:val="24"/>
          <w:lang w:eastAsia="zh-CN"/>
        </w:rPr>
        <w:t>.</w:t>
      </w:r>
      <w:r w:rsidR="004D6898" w:rsidRPr="009E46AE">
        <w:rPr>
          <w:b/>
          <w:color w:val="000000" w:themeColor="text1"/>
          <w:kern w:val="2"/>
          <w:sz w:val="24"/>
          <w:lang w:eastAsia="zh-CN"/>
        </w:rPr>
        <w:t>2</w:t>
      </w:r>
    </w:p>
    <w:p w14:paraId="730F8601" w14:textId="77777777" w:rsidR="005E3D8B" w:rsidRPr="009E46AE" w:rsidRDefault="005E3D8B" w:rsidP="00FD1B35">
      <w:pPr>
        <w:spacing w:after="60"/>
        <w:ind w:left="1555" w:hanging="1555"/>
        <w:jc w:val="both"/>
        <w:rPr>
          <w:b/>
          <w:color w:val="000000" w:themeColor="text1"/>
          <w:kern w:val="2"/>
          <w:sz w:val="24"/>
          <w:lang w:eastAsia="zh-CN"/>
        </w:rPr>
      </w:pPr>
      <w:r w:rsidRPr="009E46AE">
        <w:rPr>
          <w:b/>
          <w:color w:val="000000" w:themeColor="text1"/>
          <w:kern w:val="2"/>
          <w:sz w:val="24"/>
          <w:lang w:eastAsia="zh-CN"/>
        </w:rPr>
        <w:t>Source:</w:t>
      </w:r>
      <w:r w:rsidRPr="009E46AE">
        <w:rPr>
          <w:b/>
          <w:color w:val="000000" w:themeColor="text1"/>
          <w:kern w:val="2"/>
          <w:sz w:val="24"/>
          <w:lang w:eastAsia="zh-CN"/>
        </w:rPr>
        <w:tab/>
        <w:t>IITH, CeWiT, IITM, Reliance Jio, Tejas Networks</w:t>
      </w:r>
    </w:p>
    <w:p w14:paraId="3594C4E8" w14:textId="02CB446C" w:rsidR="005E3D8B" w:rsidRPr="009E46AE" w:rsidRDefault="005E3D8B" w:rsidP="00FD1B35">
      <w:pPr>
        <w:spacing w:after="60"/>
        <w:ind w:left="1555" w:hanging="1555"/>
        <w:jc w:val="both"/>
        <w:rPr>
          <w:b/>
          <w:color w:val="000000" w:themeColor="text1"/>
          <w:kern w:val="2"/>
          <w:sz w:val="24"/>
          <w:lang w:eastAsia="zh-CN"/>
        </w:rPr>
      </w:pPr>
      <w:r w:rsidRPr="009E46AE">
        <w:rPr>
          <w:b/>
          <w:color w:val="000000" w:themeColor="text1"/>
          <w:kern w:val="2"/>
          <w:sz w:val="24"/>
          <w:lang w:eastAsia="zh-CN"/>
        </w:rPr>
        <w:t>Title:</w:t>
      </w:r>
      <w:r w:rsidRPr="009E46AE">
        <w:rPr>
          <w:b/>
          <w:color w:val="000000" w:themeColor="text1"/>
          <w:kern w:val="2"/>
          <w:sz w:val="24"/>
          <w:lang w:eastAsia="zh-CN"/>
        </w:rPr>
        <w:tab/>
      </w:r>
      <w:r w:rsidR="00377A8F" w:rsidRPr="009E46AE">
        <w:rPr>
          <w:b/>
          <w:color w:val="000000" w:themeColor="text1"/>
          <w:kern w:val="2"/>
          <w:sz w:val="24"/>
          <w:lang w:eastAsia="zh-CN"/>
        </w:rPr>
        <w:t xml:space="preserve">On </w:t>
      </w:r>
      <w:r w:rsidR="004D6898" w:rsidRPr="009E46AE">
        <w:rPr>
          <w:b/>
          <w:color w:val="000000" w:themeColor="text1"/>
          <w:kern w:val="2"/>
          <w:sz w:val="24"/>
          <w:lang w:eastAsia="zh-CN"/>
        </w:rPr>
        <w:t>TB processing over multi</w:t>
      </w:r>
      <w:r w:rsidR="00377A8F" w:rsidRPr="009E46AE">
        <w:rPr>
          <w:b/>
          <w:color w:val="000000" w:themeColor="text1"/>
          <w:kern w:val="2"/>
          <w:sz w:val="24"/>
          <w:lang w:eastAsia="zh-CN"/>
        </w:rPr>
        <w:t>ple slots for PUSCH</w:t>
      </w:r>
    </w:p>
    <w:p w14:paraId="2752CB87" w14:textId="77777777" w:rsidR="005E3D8B" w:rsidRPr="009E46AE" w:rsidRDefault="005E3D8B" w:rsidP="00FD1B35">
      <w:pPr>
        <w:spacing w:after="60"/>
        <w:ind w:left="1555" w:hanging="1555"/>
        <w:jc w:val="both"/>
        <w:rPr>
          <w:b/>
          <w:color w:val="000000" w:themeColor="text1"/>
          <w:kern w:val="2"/>
          <w:sz w:val="24"/>
          <w:lang w:eastAsia="zh-CN"/>
        </w:rPr>
      </w:pPr>
      <w:r w:rsidRPr="009E46AE">
        <w:rPr>
          <w:b/>
          <w:color w:val="000000" w:themeColor="text1"/>
          <w:kern w:val="2"/>
          <w:sz w:val="24"/>
          <w:lang w:eastAsia="zh-CN"/>
        </w:rPr>
        <w:t>Document for:</w:t>
      </w:r>
      <w:r w:rsidRPr="009E46AE">
        <w:rPr>
          <w:b/>
          <w:color w:val="000000" w:themeColor="text1"/>
          <w:kern w:val="2"/>
          <w:sz w:val="24"/>
          <w:lang w:eastAsia="zh-CN"/>
        </w:rPr>
        <w:tab/>
        <w:t xml:space="preserve">Discussion and decision </w:t>
      </w:r>
    </w:p>
    <w:bookmarkEnd w:id="0"/>
    <w:p w14:paraId="01F3A771" w14:textId="02B38E80" w:rsidR="003F48D7" w:rsidRPr="009E46AE" w:rsidRDefault="003F48D7" w:rsidP="00FD1B35">
      <w:pPr>
        <w:pStyle w:val="Heading1"/>
        <w:jc w:val="both"/>
        <w:rPr>
          <w:rFonts w:ascii="Times New Roman" w:hAnsi="Times New Roman"/>
          <w:color w:val="000000" w:themeColor="text1"/>
          <w:sz w:val="32"/>
        </w:rPr>
      </w:pPr>
      <w:r w:rsidRPr="009E46AE">
        <w:rPr>
          <w:rFonts w:ascii="Times New Roman" w:hAnsi="Times New Roman"/>
          <w:color w:val="000000" w:themeColor="text1"/>
          <w:sz w:val="32"/>
        </w:rPr>
        <w:t>Motivation</w:t>
      </w:r>
    </w:p>
    <w:p w14:paraId="302382C2" w14:textId="6200CE2F" w:rsidR="00EE4D71" w:rsidRPr="009E46AE" w:rsidRDefault="00A05E5B" w:rsidP="00EE4D71">
      <w:pPr>
        <w:jc w:val="both"/>
        <w:rPr>
          <w:rFonts w:eastAsia="Malgun Gothic"/>
          <w:color w:val="000000" w:themeColor="text1"/>
          <w:lang w:eastAsia="ko-KR"/>
        </w:rPr>
      </w:pPr>
      <w:r w:rsidRPr="009E46AE">
        <w:rPr>
          <w:rFonts w:eastAsia="Malgun Gothic"/>
          <w:color w:val="000000" w:themeColor="text1"/>
          <w:lang w:eastAsia="ko-KR"/>
        </w:rPr>
        <w:t xml:space="preserve"> </w:t>
      </w:r>
      <w:r w:rsidR="00E957BA">
        <w:rPr>
          <w:rFonts w:eastAsia="Malgun Gothic"/>
          <w:color w:val="000000" w:themeColor="text1"/>
          <w:lang w:eastAsia="ko-KR"/>
        </w:rPr>
        <w:t xml:space="preserve">The following are agreements </w:t>
      </w:r>
      <w:r w:rsidR="0050416E">
        <w:rPr>
          <w:rFonts w:eastAsia="Malgun Gothic"/>
          <w:color w:val="000000" w:themeColor="text1"/>
          <w:lang w:eastAsia="ko-KR"/>
        </w:rPr>
        <w:t xml:space="preserve">on TBoMS from </w:t>
      </w:r>
      <w:r w:rsidR="00E957BA">
        <w:rPr>
          <w:rFonts w:eastAsia="Malgun Gothic"/>
          <w:color w:val="000000" w:themeColor="text1"/>
          <w:lang w:eastAsia="ko-KR"/>
        </w:rPr>
        <w:t>#104-e [1]</w:t>
      </w:r>
      <w:r w:rsidR="0050416E">
        <w:rPr>
          <w:rFonts w:eastAsia="Malgun Gothic"/>
          <w:color w:val="000000" w:themeColor="text1"/>
          <w:lang w:eastAsia="ko-KR"/>
        </w:rPr>
        <w:t xml:space="preserve"> </w:t>
      </w:r>
    </w:p>
    <w:p w14:paraId="5613A327" w14:textId="77777777" w:rsidR="00436603" w:rsidRPr="009E46AE" w:rsidRDefault="00436603" w:rsidP="00436603">
      <w:pPr>
        <w:rPr>
          <w:color w:val="000000" w:themeColor="text1"/>
        </w:rPr>
      </w:pPr>
      <w:bookmarkStart w:id="1" w:name="_Hlk63096048"/>
      <w:r w:rsidRPr="009E46AE">
        <w:rPr>
          <w:color w:val="000000" w:themeColor="text1"/>
          <w:highlight w:val="green"/>
        </w:rPr>
        <w:t>Agreement:</w:t>
      </w:r>
    </w:p>
    <w:p w14:paraId="4A66E09D" w14:textId="77777777" w:rsidR="00436603" w:rsidRPr="009E46AE" w:rsidRDefault="00436603" w:rsidP="00436603">
      <w:pPr>
        <w:numPr>
          <w:ilvl w:val="0"/>
          <w:numId w:val="34"/>
        </w:numPr>
        <w:overflowPunct/>
        <w:autoSpaceDE/>
        <w:autoSpaceDN/>
        <w:adjustRightInd/>
        <w:spacing w:after="0"/>
        <w:textAlignment w:val="auto"/>
        <w:rPr>
          <w:color w:val="000000" w:themeColor="text1"/>
        </w:rPr>
      </w:pPr>
      <w:r w:rsidRPr="009E46AE">
        <w:rPr>
          <w:color w:val="000000" w:themeColor="text1"/>
        </w:rPr>
        <w:t>Consider one or two of the following options as starting points to design time domain resource determination of TBoMS</w:t>
      </w:r>
    </w:p>
    <w:p w14:paraId="67C3D1E1" w14:textId="77777777" w:rsidR="00436603" w:rsidRPr="009E46AE" w:rsidRDefault="00436603" w:rsidP="00436603">
      <w:pPr>
        <w:numPr>
          <w:ilvl w:val="1"/>
          <w:numId w:val="34"/>
        </w:numPr>
        <w:overflowPunct/>
        <w:autoSpaceDE/>
        <w:autoSpaceDN/>
        <w:adjustRightInd/>
        <w:spacing w:after="0"/>
        <w:textAlignment w:val="auto"/>
        <w:rPr>
          <w:color w:val="000000" w:themeColor="text1"/>
        </w:rPr>
      </w:pPr>
      <w:r w:rsidRPr="009E46AE">
        <w:rPr>
          <w:color w:val="000000" w:themeColor="text1"/>
        </w:rPr>
        <w:t>PUSCH repetition type A like TDRA, i.e., the number of allocated symbols is the same in each slot.</w:t>
      </w:r>
    </w:p>
    <w:p w14:paraId="5E57A5B0" w14:textId="7771C0D1" w:rsidR="00436603" w:rsidRDefault="00436603" w:rsidP="00436603">
      <w:pPr>
        <w:numPr>
          <w:ilvl w:val="1"/>
          <w:numId w:val="34"/>
        </w:numPr>
        <w:overflowPunct/>
        <w:autoSpaceDE/>
        <w:autoSpaceDN/>
        <w:adjustRightInd/>
        <w:spacing w:after="0"/>
        <w:textAlignment w:val="auto"/>
        <w:rPr>
          <w:color w:val="000000" w:themeColor="text1"/>
        </w:rPr>
      </w:pPr>
      <w:r w:rsidRPr="009E46AE">
        <w:rPr>
          <w:color w:val="000000" w:themeColor="text1"/>
        </w:rPr>
        <w:t>PUSCH repetition type B like TDRA, i.e., the number of allocated symbols in each slot can be different</w:t>
      </w:r>
      <w:r w:rsidR="009E46AE">
        <w:rPr>
          <w:color w:val="000000" w:themeColor="text1"/>
        </w:rPr>
        <w:t>.</w:t>
      </w:r>
    </w:p>
    <w:p w14:paraId="61FEFA4D" w14:textId="77777777" w:rsidR="009E46AE" w:rsidRPr="009E46AE" w:rsidRDefault="009E46AE" w:rsidP="009E46AE">
      <w:pPr>
        <w:overflowPunct/>
        <w:autoSpaceDE/>
        <w:autoSpaceDN/>
        <w:adjustRightInd/>
        <w:spacing w:after="0"/>
        <w:ind w:left="1440"/>
        <w:textAlignment w:val="auto"/>
        <w:rPr>
          <w:color w:val="000000" w:themeColor="text1"/>
        </w:rPr>
      </w:pPr>
    </w:p>
    <w:p w14:paraId="637C41ED" w14:textId="77777777" w:rsidR="00436603" w:rsidRPr="009E46AE" w:rsidRDefault="00436603" w:rsidP="00436603">
      <w:pPr>
        <w:rPr>
          <w:color w:val="000000" w:themeColor="text1"/>
        </w:rPr>
      </w:pPr>
      <w:r w:rsidRPr="009E46AE">
        <w:rPr>
          <w:color w:val="000000" w:themeColor="text1"/>
          <w:highlight w:val="green"/>
        </w:rPr>
        <w:t>Agreement:</w:t>
      </w:r>
    </w:p>
    <w:p w14:paraId="30FA1E01" w14:textId="77777777" w:rsidR="00436603" w:rsidRPr="009E46AE" w:rsidRDefault="00436603" w:rsidP="00436603">
      <w:pPr>
        <w:numPr>
          <w:ilvl w:val="0"/>
          <w:numId w:val="34"/>
        </w:numPr>
        <w:overflowPunct/>
        <w:autoSpaceDE/>
        <w:autoSpaceDN/>
        <w:adjustRightInd/>
        <w:spacing w:after="0"/>
        <w:textAlignment w:val="auto"/>
        <w:rPr>
          <w:color w:val="000000" w:themeColor="text1"/>
        </w:rPr>
      </w:pPr>
      <w:r w:rsidRPr="009E46AE">
        <w:rPr>
          <w:color w:val="000000" w:themeColor="text1"/>
        </w:rPr>
        <w:t>The same number of PRBs per symbol is allocated across slots for TBoMS transmission.</w:t>
      </w:r>
    </w:p>
    <w:bookmarkEnd w:id="1"/>
    <w:p w14:paraId="065DDE57" w14:textId="77777777" w:rsidR="00436603" w:rsidRPr="009E46AE" w:rsidRDefault="00436603" w:rsidP="00436603">
      <w:pPr>
        <w:rPr>
          <w:color w:val="000000" w:themeColor="text1"/>
        </w:rPr>
      </w:pPr>
    </w:p>
    <w:p w14:paraId="5A275824" w14:textId="77777777" w:rsidR="00436603" w:rsidRPr="009E46AE" w:rsidRDefault="00436603" w:rsidP="00436603">
      <w:pPr>
        <w:rPr>
          <w:color w:val="000000" w:themeColor="text1"/>
        </w:rPr>
      </w:pPr>
      <w:r w:rsidRPr="009E46AE">
        <w:rPr>
          <w:color w:val="000000" w:themeColor="text1"/>
          <w:highlight w:val="green"/>
        </w:rPr>
        <w:t>Agreements:</w:t>
      </w:r>
    </w:p>
    <w:p w14:paraId="326D412F" w14:textId="77777777" w:rsidR="00436603" w:rsidRPr="009E46AE" w:rsidRDefault="00436603" w:rsidP="00436603">
      <w:pPr>
        <w:pStyle w:val="ListParagraph"/>
        <w:numPr>
          <w:ilvl w:val="0"/>
          <w:numId w:val="35"/>
        </w:numPr>
        <w:overflowPunct/>
        <w:autoSpaceDE/>
        <w:autoSpaceDN/>
        <w:adjustRightInd/>
        <w:spacing w:after="0" w:line="252" w:lineRule="auto"/>
        <w:jc w:val="both"/>
        <w:rPr>
          <w:rFonts w:ascii="Times New Roman" w:hAnsi="Times New Roman" w:cs="Times New Roman"/>
          <w:color w:val="000000" w:themeColor="text1"/>
          <w:sz w:val="20"/>
          <w:szCs w:val="20"/>
        </w:rPr>
      </w:pPr>
      <w:r w:rsidRPr="009E46AE">
        <w:rPr>
          <w:rFonts w:ascii="Times New Roman" w:hAnsi="Times New Roman" w:cs="Times New Roman"/>
          <w:color w:val="000000" w:themeColor="text1"/>
          <w:sz w:val="20"/>
          <w:szCs w:val="20"/>
        </w:rPr>
        <w:t xml:space="preserve">Consecutive physical slots for UL transmission can be used for TBoMS for unpaired spectrum </w:t>
      </w:r>
    </w:p>
    <w:p w14:paraId="246A7554" w14:textId="77777777" w:rsidR="00436603" w:rsidRPr="009E46AE" w:rsidRDefault="00436603" w:rsidP="00436603">
      <w:pPr>
        <w:pStyle w:val="ListParagraph"/>
        <w:numPr>
          <w:ilvl w:val="1"/>
          <w:numId w:val="35"/>
        </w:numPr>
        <w:overflowPunct/>
        <w:autoSpaceDE/>
        <w:autoSpaceDN/>
        <w:adjustRightInd/>
        <w:spacing w:after="0" w:line="252" w:lineRule="auto"/>
        <w:jc w:val="both"/>
        <w:rPr>
          <w:rFonts w:ascii="Times New Roman" w:hAnsi="Times New Roman" w:cs="Times New Roman"/>
          <w:color w:val="000000" w:themeColor="text1"/>
          <w:sz w:val="20"/>
          <w:szCs w:val="20"/>
        </w:rPr>
      </w:pPr>
      <w:r w:rsidRPr="009E46AE">
        <w:rPr>
          <w:rFonts w:ascii="Times New Roman" w:hAnsi="Times New Roman" w:cs="Times New Roman"/>
          <w:color w:val="000000" w:themeColor="text1"/>
          <w:sz w:val="20"/>
          <w:szCs w:val="20"/>
        </w:rPr>
        <w:t xml:space="preserve">To resolve in RAN1#104b-e whether to support non-consecutive physical slots for UL transmission for TBoMS for unpaired spectrum </w:t>
      </w:r>
    </w:p>
    <w:p w14:paraId="2323D569" w14:textId="77777777" w:rsidR="00436603" w:rsidRPr="009E46AE" w:rsidRDefault="00436603" w:rsidP="00436603">
      <w:pPr>
        <w:pStyle w:val="ListParagraph"/>
        <w:numPr>
          <w:ilvl w:val="0"/>
          <w:numId w:val="35"/>
        </w:numPr>
        <w:overflowPunct/>
        <w:autoSpaceDE/>
        <w:autoSpaceDN/>
        <w:adjustRightInd/>
        <w:spacing w:after="0" w:line="252" w:lineRule="auto"/>
        <w:jc w:val="both"/>
        <w:rPr>
          <w:rFonts w:ascii="Times New Roman" w:hAnsi="Times New Roman" w:cs="Times New Roman"/>
          <w:color w:val="000000" w:themeColor="text1"/>
          <w:sz w:val="20"/>
          <w:szCs w:val="20"/>
        </w:rPr>
      </w:pPr>
      <w:r w:rsidRPr="009E46AE">
        <w:rPr>
          <w:rFonts w:ascii="Times New Roman" w:hAnsi="Times New Roman" w:cs="Times New Roman"/>
          <w:color w:val="000000" w:themeColor="text1"/>
          <w:sz w:val="20"/>
          <w:szCs w:val="20"/>
        </w:rPr>
        <w:t xml:space="preserve">Consecutive physical slots for UL transmission can be used for TBoMS for paired spectrum and the SUL band </w:t>
      </w:r>
    </w:p>
    <w:p w14:paraId="41A64668" w14:textId="47A67C6C" w:rsidR="009E46AE" w:rsidRDefault="00436603" w:rsidP="009E46AE">
      <w:pPr>
        <w:pStyle w:val="ListParagraph"/>
        <w:numPr>
          <w:ilvl w:val="1"/>
          <w:numId w:val="35"/>
        </w:numPr>
        <w:overflowPunct/>
        <w:autoSpaceDE/>
        <w:autoSpaceDN/>
        <w:adjustRightInd/>
        <w:spacing w:after="0" w:line="252" w:lineRule="auto"/>
        <w:jc w:val="both"/>
        <w:rPr>
          <w:rFonts w:ascii="Times New Roman" w:hAnsi="Times New Roman" w:cs="Times New Roman"/>
          <w:color w:val="000000" w:themeColor="text1"/>
          <w:sz w:val="20"/>
          <w:szCs w:val="20"/>
        </w:rPr>
      </w:pPr>
      <w:r w:rsidRPr="009E46AE">
        <w:rPr>
          <w:rFonts w:ascii="Times New Roman" w:hAnsi="Times New Roman" w:cs="Times New Roman"/>
          <w:color w:val="000000" w:themeColor="text1"/>
          <w:sz w:val="20"/>
          <w:szCs w:val="20"/>
        </w:rPr>
        <w:t>FFS if non-consecutive physical slots for UL transmission are also supported for paired spectrum and the SUL band</w:t>
      </w:r>
      <w:r w:rsidR="009E46AE">
        <w:rPr>
          <w:rFonts w:ascii="Times New Roman" w:hAnsi="Times New Roman" w:cs="Times New Roman"/>
          <w:color w:val="000000" w:themeColor="text1"/>
          <w:sz w:val="20"/>
          <w:szCs w:val="20"/>
        </w:rPr>
        <w:t>.</w:t>
      </w:r>
    </w:p>
    <w:p w14:paraId="590027A8" w14:textId="77777777" w:rsidR="009E46AE" w:rsidRPr="009E46AE" w:rsidRDefault="009E46AE" w:rsidP="009E46AE">
      <w:pPr>
        <w:pStyle w:val="ListParagraph"/>
        <w:overflowPunct/>
        <w:autoSpaceDE/>
        <w:autoSpaceDN/>
        <w:adjustRightInd/>
        <w:spacing w:after="0" w:line="252" w:lineRule="auto"/>
        <w:ind w:left="1440"/>
        <w:jc w:val="both"/>
        <w:rPr>
          <w:rFonts w:ascii="Times New Roman" w:hAnsi="Times New Roman" w:cs="Times New Roman"/>
          <w:color w:val="000000" w:themeColor="text1"/>
          <w:sz w:val="20"/>
          <w:szCs w:val="20"/>
        </w:rPr>
      </w:pPr>
    </w:p>
    <w:p w14:paraId="2389F31C" w14:textId="77777777" w:rsidR="00436603" w:rsidRPr="009E46AE" w:rsidRDefault="00436603" w:rsidP="00436603">
      <w:pPr>
        <w:rPr>
          <w:b/>
          <w:bCs/>
          <w:color w:val="000000" w:themeColor="text1"/>
        </w:rPr>
      </w:pPr>
      <w:r w:rsidRPr="009E46AE">
        <w:rPr>
          <w:color w:val="000000" w:themeColor="text1"/>
          <w:highlight w:val="green"/>
        </w:rPr>
        <w:t>Agreements</w:t>
      </w:r>
      <w:r w:rsidRPr="009E46AE">
        <w:rPr>
          <w:b/>
          <w:bCs/>
          <w:color w:val="000000" w:themeColor="text1"/>
        </w:rPr>
        <w:t>:</w:t>
      </w:r>
    </w:p>
    <w:p w14:paraId="7E402EBE" w14:textId="77777777" w:rsidR="00436603" w:rsidRPr="009E46AE" w:rsidRDefault="00436603" w:rsidP="00436603">
      <w:pPr>
        <w:rPr>
          <w:rFonts w:eastAsia="Gulim"/>
          <w:color w:val="000000" w:themeColor="text1"/>
        </w:rPr>
      </w:pPr>
      <w:r w:rsidRPr="009E46AE">
        <w:rPr>
          <w:color w:val="000000" w:themeColor="text1"/>
        </w:rPr>
        <w:t xml:space="preserve">For TBoMS, the maximum supported TBS should not exceed legacy maximum supported TBS in Rel-15/16, for the same number of layers. </w:t>
      </w:r>
    </w:p>
    <w:p w14:paraId="74BBBE4C" w14:textId="316C2D8E" w:rsidR="00436603" w:rsidRPr="009E46AE" w:rsidRDefault="00436603" w:rsidP="003B4852">
      <w:pPr>
        <w:pStyle w:val="ListParagraph"/>
        <w:numPr>
          <w:ilvl w:val="0"/>
          <w:numId w:val="37"/>
        </w:numPr>
        <w:overflowPunct/>
        <w:autoSpaceDE/>
        <w:autoSpaceDN/>
        <w:adjustRightInd/>
        <w:spacing w:after="0" w:line="252" w:lineRule="auto"/>
        <w:jc w:val="both"/>
        <w:rPr>
          <w:color w:val="000000" w:themeColor="text1"/>
          <w:sz w:val="20"/>
          <w:szCs w:val="20"/>
        </w:rPr>
      </w:pPr>
      <w:r w:rsidRPr="009E46AE">
        <w:rPr>
          <w:rFonts w:ascii="Times New Roman" w:hAnsi="Times New Roman" w:cs="Times New Roman"/>
          <w:color w:val="000000" w:themeColor="text1"/>
          <w:sz w:val="20"/>
          <w:szCs w:val="20"/>
        </w:rPr>
        <w:t>FFS: Details and further constraints on the applicability of TBoMS.</w:t>
      </w:r>
    </w:p>
    <w:p w14:paraId="61805056" w14:textId="77777777" w:rsidR="00436603" w:rsidRPr="009E46AE" w:rsidRDefault="00436603" w:rsidP="00436603">
      <w:pPr>
        <w:rPr>
          <w:color w:val="000000" w:themeColor="text1"/>
        </w:rPr>
      </w:pPr>
    </w:p>
    <w:p w14:paraId="1296CE48" w14:textId="77777777" w:rsidR="00436603" w:rsidRPr="009E46AE" w:rsidRDefault="00436603" w:rsidP="00436603">
      <w:pPr>
        <w:rPr>
          <w:color w:val="000000" w:themeColor="text1"/>
        </w:rPr>
      </w:pPr>
      <w:r w:rsidRPr="009E46AE">
        <w:rPr>
          <w:color w:val="000000" w:themeColor="text1"/>
          <w:highlight w:val="green"/>
        </w:rPr>
        <w:t>Agreements</w:t>
      </w:r>
      <w:r w:rsidRPr="009E46AE">
        <w:rPr>
          <w:color w:val="000000" w:themeColor="text1"/>
        </w:rPr>
        <w:t>:</w:t>
      </w:r>
    </w:p>
    <w:p w14:paraId="3E746E3B" w14:textId="2B1D5A33" w:rsidR="00436603" w:rsidRPr="009E46AE" w:rsidRDefault="00436603" w:rsidP="00436603">
      <w:pPr>
        <w:rPr>
          <w:rFonts w:ascii="Calibri" w:hAnsi="Calibri"/>
          <w:color w:val="000000" w:themeColor="text1"/>
        </w:rPr>
      </w:pPr>
      <w:r w:rsidRPr="009E46AE">
        <w:rPr>
          <w:rFonts w:ascii="Calibri" w:hAnsi="Calibri"/>
          <w:color w:val="000000" w:themeColor="text1"/>
        </w:rPr>
        <w:t>One or two of the following approaches will be considered as a starting point to decide how</w:t>
      </w:r>
      <w:r w:rsidRPr="009E46AE">
        <w:rPr>
          <w:rFonts w:ascii="Calibri" w:hAnsi="Calibri"/>
          <w:color w:val="000000" w:themeColor="text1"/>
          <w:lang w:val="fr-FR"/>
        </w:rPr>
        <w:fldChar w:fldCharType="begin"/>
      </w:r>
      <w:r w:rsidRPr="009E46AE">
        <w:rPr>
          <w:rFonts w:ascii="Calibri" w:hAnsi="Calibri"/>
          <w:color w:val="000000" w:themeColor="text1"/>
          <w:lang w:val="fr-FR"/>
        </w:rPr>
        <w:instrText xml:space="preserve"> QUOTE </w:instrText>
      </w:r>
      <m:oMath>
        <m:sSub>
          <m:sSubPr>
            <m:ctrlPr>
              <w:rPr>
                <w:rFonts w:ascii="Cambria Math" w:eastAsia="MS PGothic" w:hAnsi="Cambria Math" w:cs="Calibri"/>
                <w:i/>
                <w:iCs/>
                <w:color w:val="000000" w:themeColor="text1"/>
                <w:sz w:val="28"/>
                <w:szCs w:val="28"/>
                <w:lang w:val="fr-FR"/>
              </w:rPr>
            </m:ctrlPr>
          </m:sSubPr>
          <m:e>
            <m:r>
              <m:rPr>
                <m:sty m:val="p"/>
              </m:rPr>
              <w:rPr>
                <w:rFonts w:ascii="Cambria Math" w:hAnsi="Cambria Math"/>
                <w:color w:val="000000" w:themeColor="text1"/>
                <w:sz w:val="28"/>
                <w:szCs w:val="28"/>
              </w:rPr>
              <m:t>N</m:t>
            </m:r>
          </m:e>
          <m:sub>
            <m:r>
              <m:rPr>
                <m:sty m:val="p"/>
              </m:rPr>
              <w:rPr>
                <w:rFonts w:ascii="Cambria Math" w:hAnsi="Cambria Math"/>
                <w:color w:val="000000" w:themeColor="text1"/>
                <w:sz w:val="28"/>
                <w:szCs w:val="28"/>
              </w:rPr>
              <m:t>info</m:t>
            </m:r>
          </m:sub>
        </m:sSub>
      </m:oMath>
      <w:r w:rsidRPr="009E46AE">
        <w:rPr>
          <w:rFonts w:ascii="Calibri" w:hAnsi="Calibri"/>
          <w:color w:val="000000" w:themeColor="text1"/>
          <w:lang w:val="fr-FR"/>
        </w:rPr>
        <w:instrText xml:space="preserve"> </w:instrText>
      </w:r>
      <w:r w:rsidRPr="009E46AE">
        <w:rPr>
          <w:rFonts w:ascii="Calibri" w:hAnsi="Calibri"/>
          <w:color w:val="000000" w:themeColor="text1"/>
          <w:lang w:val="fr-FR"/>
        </w:rPr>
        <w:fldChar w:fldCharType="end"/>
      </w:r>
      <w:r w:rsidRPr="009E46AE">
        <w:rPr>
          <w:rFonts w:ascii="Calibri" w:hAnsi="Calibri"/>
          <w:color w:val="000000" w:themeColor="text1"/>
          <w:lang w:val="fr-FR"/>
        </w:rPr>
        <w:t xml:space="preserve"> </w:t>
      </w:r>
      <w:r w:rsidRPr="009E46AE">
        <w:rPr>
          <w:rFonts w:ascii="Calibri" w:hAnsi="Calibri"/>
          <w:i/>
          <w:iCs/>
          <w:color w:val="000000" w:themeColor="text1"/>
          <w:lang w:val="fr-FR"/>
        </w:rPr>
        <w:t>N</w:t>
      </w:r>
      <w:r w:rsidRPr="009E46AE">
        <w:rPr>
          <w:rFonts w:ascii="Calibri" w:hAnsi="Calibri"/>
          <w:color w:val="000000" w:themeColor="text1"/>
          <w:vertAlign w:val="subscript"/>
          <w:lang w:val="fr-FR"/>
        </w:rPr>
        <w:t>Info</w:t>
      </w:r>
      <w:r w:rsidRPr="009E46AE">
        <w:rPr>
          <w:rFonts w:ascii="Calibri" w:hAnsi="Calibri"/>
          <w:color w:val="000000" w:themeColor="text1"/>
          <w:lang w:val="fr-FR"/>
        </w:rPr>
        <w:t xml:space="preserve"> </w:t>
      </w:r>
      <w:r w:rsidRPr="009E46AE">
        <w:rPr>
          <w:rFonts w:ascii="Calibri" w:hAnsi="Calibri"/>
          <w:color w:val="000000" w:themeColor="text1"/>
        </w:rPr>
        <w:t>for TBoMS is calculated (aiming for down selection in RAN1 #104-bis-e):</w:t>
      </w:r>
    </w:p>
    <w:p w14:paraId="13B5B19E" w14:textId="77777777" w:rsidR="00436603" w:rsidRPr="009E46AE" w:rsidRDefault="00436603" w:rsidP="00436603">
      <w:pPr>
        <w:pStyle w:val="ListParagraph"/>
        <w:numPr>
          <w:ilvl w:val="0"/>
          <w:numId w:val="38"/>
        </w:numPr>
        <w:overflowPunct/>
        <w:autoSpaceDE/>
        <w:autoSpaceDN/>
        <w:adjustRightInd/>
        <w:spacing w:line="252" w:lineRule="auto"/>
        <w:jc w:val="both"/>
        <w:rPr>
          <w:rFonts w:ascii="Calibri" w:hAnsi="Calibri" w:cs="Calibri"/>
          <w:color w:val="000000" w:themeColor="text1"/>
          <w:szCs w:val="20"/>
        </w:rPr>
      </w:pPr>
      <w:r w:rsidRPr="009E46AE">
        <w:rPr>
          <w:rFonts w:ascii="Calibri" w:hAnsi="Calibri" w:cs="Calibri"/>
          <w:b/>
          <w:bCs/>
          <w:color w:val="000000" w:themeColor="text1"/>
          <w:szCs w:val="20"/>
        </w:rPr>
        <w:t>Approach 1</w:t>
      </w:r>
      <w:r w:rsidRPr="009E46AE">
        <w:rPr>
          <w:rFonts w:ascii="Calibri" w:hAnsi="Calibri" w:cs="Calibri"/>
          <w:color w:val="000000" w:themeColor="text1"/>
          <w:szCs w:val="20"/>
        </w:rPr>
        <w:t>: Based on all REs determined across the symbols or slots (FFS whether symbols or slots are used) over which the TBoMS transmission is allocated</w:t>
      </w:r>
    </w:p>
    <w:p w14:paraId="3C6BA841" w14:textId="77777777" w:rsidR="00436603" w:rsidRPr="009E46AE" w:rsidRDefault="00436603" w:rsidP="00436603">
      <w:pPr>
        <w:pStyle w:val="ListParagraph"/>
        <w:numPr>
          <w:ilvl w:val="0"/>
          <w:numId w:val="36"/>
        </w:numPr>
        <w:overflowPunct/>
        <w:autoSpaceDE/>
        <w:autoSpaceDN/>
        <w:adjustRightInd/>
        <w:spacing w:line="252" w:lineRule="auto"/>
        <w:jc w:val="both"/>
        <w:rPr>
          <w:rFonts w:ascii="Calibri" w:hAnsi="Calibri" w:cs="Calibri"/>
          <w:color w:val="000000" w:themeColor="text1"/>
          <w:szCs w:val="20"/>
        </w:rPr>
      </w:pPr>
      <w:r w:rsidRPr="009E46AE">
        <w:rPr>
          <w:rFonts w:ascii="Calibri" w:hAnsi="Calibri" w:cs="Calibri"/>
          <w:b/>
          <w:bCs/>
          <w:color w:val="000000" w:themeColor="text1"/>
          <w:szCs w:val="20"/>
        </w:rPr>
        <w:t>Approach 2</w:t>
      </w:r>
      <w:r w:rsidRPr="009E46AE">
        <w:rPr>
          <w:rFonts w:ascii="Calibri" w:hAnsi="Calibri" w:cs="Calibri"/>
          <w:color w:val="000000" w:themeColor="text1"/>
          <w:szCs w:val="20"/>
        </w:rPr>
        <w:t>: Based on the number of REs determined in the first L symbols over which the TBoMS transmission is allocated, scaled by K≥1.</w:t>
      </w:r>
    </w:p>
    <w:p w14:paraId="0922A5C0" w14:textId="77777777" w:rsidR="00436603" w:rsidRPr="009E46AE" w:rsidRDefault="00436603" w:rsidP="00436603">
      <w:pPr>
        <w:pStyle w:val="ListParagraph"/>
        <w:numPr>
          <w:ilvl w:val="1"/>
          <w:numId w:val="36"/>
        </w:numPr>
        <w:overflowPunct/>
        <w:autoSpaceDE/>
        <w:autoSpaceDN/>
        <w:adjustRightInd/>
        <w:spacing w:after="120" w:line="252" w:lineRule="auto"/>
        <w:ind w:left="2149" w:hanging="357"/>
        <w:jc w:val="both"/>
        <w:rPr>
          <w:rFonts w:ascii="Calibri" w:eastAsia="Calibri" w:hAnsi="Calibri" w:cs="Calibri"/>
          <w:color w:val="000000" w:themeColor="text1"/>
          <w:szCs w:val="20"/>
        </w:rPr>
      </w:pPr>
      <w:r w:rsidRPr="009E46AE">
        <w:rPr>
          <w:rFonts w:ascii="Calibri" w:hAnsi="Calibri" w:cs="Calibri"/>
          <w:color w:val="000000" w:themeColor="text1"/>
          <w:szCs w:val="20"/>
        </w:rPr>
        <w:t>FFS: the definition of K</w:t>
      </w:r>
    </w:p>
    <w:p w14:paraId="113D6BF4" w14:textId="77777777" w:rsidR="00436603" w:rsidRPr="009E46AE" w:rsidRDefault="00436603" w:rsidP="00436603">
      <w:pPr>
        <w:ind w:left="1416"/>
        <w:rPr>
          <w:rFonts w:ascii="Calibri" w:eastAsia="MS PGothic" w:hAnsi="Calibri" w:cs="Calibri"/>
          <w:color w:val="000000" w:themeColor="text1"/>
        </w:rPr>
      </w:pPr>
      <w:r w:rsidRPr="009E46AE">
        <w:rPr>
          <w:rFonts w:ascii="Calibri" w:hAnsi="Calibri"/>
          <w:color w:val="000000" w:themeColor="text1"/>
        </w:rPr>
        <w:t>Note: L is the number of symbols determined using the SLIV of PUSCH indicated via TDRA</w:t>
      </w:r>
    </w:p>
    <w:p w14:paraId="7C6321C4" w14:textId="77777777" w:rsidR="00436603" w:rsidRPr="009E46AE" w:rsidRDefault="00436603" w:rsidP="00436603">
      <w:pPr>
        <w:rPr>
          <w:rFonts w:ascii="Calibri" w:hAnsi="Calibri"/>
          <w:color w:val="000000" w:themeColor="text1"/>
        </w:rPr>
      </w:pPr>
      <w:r w:rsidRPr="009E46AE">
        <w:rPr>
          <w:rFonts w:ascii="Calibri" w:hAnsi="Calibri"/>
          <w:color w:val="000000" w:themeColor="text1"/>
        </w:rPr>
        <w:t>FFS: impacts and further details if repetitions of TBoMS is supported.</w:t>
      </w:r>
    </w:p>
    <w:p w14:paraId="3193AB98" w14:textId="4439FD9C" w:rsidR="009E46AE" w:rsidRPr="009E46AE" w:rsidRDefault="00436603" w:rsidP="00436603">
      <w:pPr>
        <w:rPr>
          <w:rFonts w:ascii="Calibri" w:hAnsi="Calibri"/>
          <w:color w:val="000000" w:themeColor="text1"/>
        </w:rPr>
      </w:pPr>
      <w:r w:rsidRPr="009E46AE">
        <w:rPr>
          <w:rFonts w:ascii="Calibri" w:hAnsi="Calibri"/>
          <w:color w:val="000000" w:themeColor="text1"/>
        </w:rPr>
        <w:lastRenderedPageBreak/>
        <w:t>FFS: whether the symbols over which the TBoMS transmission is allocated are the same or can be different from the symbols over which the TBoMS transmission is performed, and details on how to handle such scenarios.</w:t>
      </w:r>
    </w:p>
    <w:p w14:paraId="5BD5FE8D" w14:textId="77777777" w:rsidR="00436603" w:rsidRPr="009E46AE" w:rsidRDefault="00436603" w:rsidP="00436603">
      <w:pPr>
        <w:rPr>
          <w:color w:val="000000" w:themeColor="text1"/>
        </w:rPr>
      </w:pPr>
      <w:r w:rsidRPr="009E46AE">
        <w:rPr>
          <w:color w:val="000000" w:themeColor="text1"/>
          <w:highlight w:val="green"/>
        </w:rPr>
        <w:t>Agreements</w:t>
      </w:r>
      <w:r w:rsidRPr="009E46AE">
        <w:rPr>
          <w:color w:val="000000" w:themeColor="text1"/>
        </w:rPr>
        <w:t>:</w:t>
      </w:r>
    </w:p>
    <w:p w14:paraId="3B9343C2" w14:textId="77777777" w:rsidR="00436603" w:rsidRPr="009E46AE" w:rsidRDefault="00436603" w:rsidP="00436603">
      <w:pPr>
        <w:spacing w:before="100" w:beforeAutospacing="1" w:after="100" w:afterAutospacing="1"/>
        <w:rPr>
          <w:rFonts w:ascii="Calibri" w:hAnsi="Calibri"/>
          <w:color w:val="000000" w:themeColor="text1"/>
          <w:szCs w:val="22"/>
          <w:lang w:val="fr-FR"/>
        </w:rPr>
      </w:pPr>
      <w:r w:rsidRPr="009E46AE">
        <w:rPr>
          <w:color w:val="000000" w:themeColor="text1"/>
        </w:rPr>
        <w:t xml:space="preserve">One or two of the following options will be considered (aiming for down-selection in RAN1#104b-e) to calculate </w:t>
      </w:r>
      <w:r w:rsidRPr="009E46AE">
        <w:rPr>
          <w:i/>
          <w:iCs/>
          <w:color w:val="000000" w:themeColor="text1"/>
        </w:rPr>
        <w:t>N</w:t>
      </w:r>
      <w:r w:rsidRPr="009E46AE">
        <w:rPr>
          <w:i/>
          <w:iCs/>
          <w:color w:val="000000" w:themeColor="text1"/>
          <w:vertAlign w:val="subscript"/>
        </w:rPr>
        <w:t>oh</w:t>
      </w:r>
      <w:r w:rsidRPr="009E46AE">
        <w:rPr>
          <w:i/>
          <w:iCs/>
          <w:color w:val="000000" w:themeColor="text1"/>
          <w:vertAlign w:val="superscript"/>
        </w:rPr>
        <w:t>PRB</w:t>
      </w:r>
      <w:r w:rsidRPr="009E46AE">
        <w:rPr>
          <w:color w:val="000000" w:themeColor="text1"/>
        </w:rPr>
        <w:t xml:space="preserve"> for TBoMS:</w:t>
      </w:r>
    </w:p>
    <w:p w14:paraId="1B9B4FD5" w14:textId="77777777" w:rsidR="00436603" w:rsidRPr="009E46AE" w:rsidRDefault="00436603" w:rsidP="00436603">
      <w:pPr>
        <w:numPr>
          <w:ilvl w:val="0"/>
          <w:numId w:val="39"/>
        </w:numPr>
        <w:overflowPunct/>
        <w:autoSpaceDE/>
        <w:autoSpaceDN/>
        <w:adjustRightInd/>
        <w:spacing w:before="100" w:beforeAutospacing="1" w:after="100" w:afterAutospacing="1"/>
        <w:textAlignment w:val="auto"/>
        <w:rPr>
          <w:rFonts w:eastAsia="Times New Roman"/>
          <w:color w:val="000000" w:themeColor="text1"/>
          <w:lang w:val="fr-FR"/>
        </w:rPr>
      </w:pPr>
      <w:r w:rsidRPr="009E46AE">
        <w:rPr>
          <w:rStyle w:val="Strong"/>
          <w:rFonts w:eastAsia="Times New Roman"/>
          <w:color w:val="000000" w:themeColor="text1"/>
        </w:rPr>
        <w:t>Option 1</w:t>
      </w:r>
      <w:r w:rsidRPr="009E46AE">
        <w:rPr>
          <w:rFonts w:eastAsia="Times New Roman"/>
          <w:color w:val="000000" w:themeColor="text1"/>
        </w:rPr>
        <w:t xml:space="preserve">: </w:t>
      </w:r>
      <w:r w:rsidRPr="009E46AE">
        <w:rPr>
          <w:i/>
          <w:iCs/>
          <w:color w:val="000000" w:themeColor="text1"/>
        </w:rPr>
        <w:t>N</w:t>
      </w:r>
      <w:r w:rsidRPr="009E46AE">
        <w:rPr>
          <w:i/>
          <w:iCs/>
          <w:color w:val="000000" w:themeColor="text1"/>
          <w:vertAlign w:val="subscript"/>
        </w:rPr>
        <w:t>oh</w:t>
      </w:r>
      <w:r w:rsidRPr="009E46AE">
        <w:rPr>
          <w:i/>
          <w:iCs/>
          <w:color w:val="000000" w:themeColor="text1"/>
          <w:vertAlign w:val="superscript"/>
        </w:rPr>
        <w:t>PRB</w:t>
      </w:r>
      <w:r w:rsidRPr="009E46AE">
        <w:rPr>
          <w:rFonts w:eastAsia="Times New Roman"/>
          <w:color w:val="000000" w:themeColor="text1"/>
        </w:rPr>
        <w:t xml:space="preserve"> is assumed to be the same for all the slots over which the TBoMS transmission is allocated and can be configured by </w:t>
      </w:r>
      <w:r w:rsidRPr="009E46AE">
        <w:rPr>
          <w:rStyle w:val="Emphasis"/>
          <w:rFonts w:eastAsia="Times New Roman"/>
          <w:color w:val="000000" w:themeColor="text1"/>
        </w:rPr>
        <w:t>xOverhead</w:t>
      </w:r>
      <w:r w:rsidRPr="009E46AE">
        <w:rPr>
          <w:rFonts w:eastAsia="Times New Roman"/>
          <w:color w:val="000000" w:themeColor="text1"/>
        </w:rPr>
        <w:t xml:space="preserve"> as in Rel-15/16.</w:t>
      </w:r>
    </w:p>
    <w:p w14:paraId="30525680" w14:textId="77777777" w:rsidR="00436603" w:rsidRPr="009E46AE" w:rsidRDefault="00436603" w:rsidP="00436603">
      <w:pPr>
        <w:numPr>
          <w:ilvl w:val="0"/>
          <w:numId w:val="39"/>
        </w:numPr>
        <w:overflowPunct/>
        <w:autoSpaceDE/>
        <w:autoSpaceDN/>
        <w:adjustRightInd/>
        <w:spacing w:before="100" w:beforeAutospacing="1" w:after="100" w:afterAutospacing="1"/>
        <w:textAlignment w:val="auto"/>
        <w:rPr>
          <w:rFonts w:eastAsia="Times New Roman"/>
          <w:color w:val="000000" w:themeColor="text1"/>
          <w:lang w:val="fr-FR"/>
        </w:rPr>
      </w:pPr>
      <w:r w:rsidRPr="009E46AE">
        <w:rPr>
          <w:rStyle w:val="Strong"/>
          <w:rFonts w:eastAsia="Times New Roman"/>
          <w:color w:val="000000" w:themeColor="text1"/>
        </w:rPr>
        <w:t>Option 2</w:t>
      </w:r>
      <w:r w:rsidRPr="009E46AE">
        <w:rPr>
          <w:rFonts w:eastAsia="Times New Roman"/>
          <w:color w:val="000000" w:themeColor="text1"/>
        </w:rPr>
        <w:t xml:space="preserve">: </w:t>
      </w:r>
      <w:r w:rsidRPr="009E46AE">
        <w:rPr>
          <w:i/>
          <w:iCs/>
          <w:color w:val="000000" w:themeColor="text1"/>
        </w:rPr>
        <w:t>N</w:t>
      </w:r>
      <w:r w:rsidRPr="009E46AE">
        <w:rPr>
          <w:i/>
          <w:iCs/>
          <w:color w:val="000000" w:themeColor="text1"/>
          <w:vertAlign w:val="subscript"/>
        </w:rPr>
        <w:t>oh</w:t>
      </w:r>
      <w:r w:rsidRPr="009E46AE">
        <w:rPr>
          <w:i/>
          <w:iCs/>
          <w:color w:val="000000" w:themeColor="text1"/>
          <w:vertAlign w:val="superscript"/>
        </w:rPr>
        <w:t>PRB</w:t>
      </w:r>
      <w:r w:rsidRPr="009E46AE">
        <w:rPr>
          <w:rFonts w:eastAsia="Times New Roman"/>
          <w:color w:val="000000" w:themeColor="text1"/>
        </w:rPr>
        <w:t xml:space="preserve"> is calculated depending on both </w:t>
      </w:r>
      <w:r w:rsidRPr="009E46AE">
        <w:rPr>
          <w:rStyle w:val="Emphasis"/>
          <w:rFonts w:eastAsia="Times New Roman"/>
          <w:color w:val="000000" w:themeColor="text1"/>
        </w:rPr>
        <w:t>xOverhead</w:t>
      </w:r>
      <w:r w:rsidRPr="009E46AE">
        <w:rPr>
          <w:rFonts w:eastAsia="Times New Roman"/>
          <w:color w:val="000000" w:themeColor="text1"/>
        </w:rPr>
        <w:t xml:space="preserve"> and the number of symbols or slots (FFS whether symbol or slot are used) over which the TBoMS transmission is allocated.</w:t>
      </w:r>
    </w:p>
    <w:p w14:paraId="61CD4836" w14:textId="77777777" w:rsidR="00436603" w:rsidRPr="009E46AE" w:rsidRDefault="00436603" w:rsidP="00436603">
      <w:pPr>
        <w:numPr>
          <w:ilvl w:val="1"/>
          <w:numId w:val="40"/>
        </w:numPr>
        <w:overflowPunct/>
        <w:autoSpaceDE/>
        <w:autoSpaceDN/>
        <w:adjustRightInd/>
        <w:spacing w:before="100" w:beforeAutospacing="1" w:after="100" w:afterAutospacing="1"/>
        <w:textAlignment w:val="auto"/>
        <w:rPr>
          <w:rFonts w:eastAsia="Times New Roman"/>
          <w:color w:val="000000" w:themeColor="text1"/>
          <w:lang w:val="fr-FR"/>
        </w:rPr>
      </w:pPr>
      <w:r w:rsidRPr="009E46AE">
        <w:rPr>
          <w:rFonts w:eastAsia="Times New Roman"/>
          <w:color w:val="000000" w:themeColor="text1"/>
        </w:rPr>
        <w:t xml:space="preserve">FFS: if either the number of symbols or the number of slots is used. </w:t>
      </w:r>
    </w:p>
    <w:p w14:paraId="1B58260C" w14:textId="77777777" w:rsidR="00436603" w:rsidRPr="009E46AE" w:rsidRDefault="00436603" w:rsidP="00436603">
      <w:pPr>
        <w:numPr>
          <w:ilvl w:val="1"/>
          <w:numId w:val="40"/>
        </w:numPr>
        <w:overflowPunct/>
        <w:autoSpaceDE/>
        <w:autoSpaceDN/>
        <w:adjustRightInd/>
        <w:spacing w:before="100" w:beforeAutospacing="1" w:after="100" w:afterAutospacing="1"/>
        <w:textAlignment w:val="auto"/>
        <w:rPr>
          <w:rFonts w:eastAsia="Times New Roman"/>
          <w:color w:val="000000" w:themeColor="text1"/>
          <w:lang w:val="fr-FR"/>
        </w:rPr>
      </w:pPr>
      <w:r w:rsidRPr="009E46AE">
        <w:rPr>
          <w:rFonts w:eastAsia="Times New Roman"/>
          <w:color w:val="000000" w:themeColor="text1"/>
        </w:rPr>
        <w:t xml:space="preserve">FFS: if </w:t>
      </w:r>
      <w:r w:rsidRPr="009E46AE">
        <w:rPr>
          <w:rStyle w:val="Emphasis"/>
          <w:rFonts w:eastAsia="Times New Roman"/>
          <w:color w:val="000000" w:themeColor="text1"/>
        </w:rPr>
        <w:t>xOverhead is separately configured from the one in Rel-15/16.</w:t>
      </w:r>
    </w:p>
    <w:p w14:paraId="1FB85974" w14:textId="77777777" w:rsidR="00436603" w:rsidRPr="009E46AE" w:rsidRDefault="00436603" w:rsidP="006A1AE8">
      <w:pPr>
        <w:ind w:left="720"/>
        <w:rPr>
          <w:color w:val="000000" w:themeColor="text1"/>
        </w:rPr>
      </w:pPr>
      <w:r w:rsidRPr="009E46AE">
        <w:rPr>
          <w:color w:val="000000" w:themeColor="text1"/>
        </w:rPr>
        <w:t>FFS: impacts and further details if repetitions of TBoMS is supported.</w:t>
      </w:r>
    </w:p>
    <w:p w14:paraId="289DA732" w14:textId="53F2D3B7" w:rsidR="00E76841" w:rsidRDefault="00436603" w:rsidP="006A1AE8">
      <w:pPr>
        <w:ind w:left="720"/>
        <w:rPr>
          <w:color w:val="000000" w:themeColor="text1"/>
        </w:rPr>
      </w:pPr>
      <w:r w:rsidRPr="009E46AE">
        <w:rPr>
          <w:color w:val="000000" w:themeColor="text1"/>
        </w:rPr>
        <w:t>FFS: whether the symbols allocated over which the TBoMS transmission is allocated are the same or can be different from the symbols over which the TBoMS transmission is performed.</w:t>
      </w:r>
    </w:p>
    <w:p w14:paraId="25B0E9E0" w14:textId="3131AF03" w:rsidR="005853D3" w:rsidRDefault="005853D3" w:rsidP="009E46AE">
      <w:pPr>
        <w:rPr>
          <w:lang w:eastAsia="zh-CN"/>
        </w:rPr>
      </w:pPr>
      <w:r>
        <w:rPr>
          <w:color w:val="000000" w:themeColor="text1"/>
        </w:rPr>
        <w:t>In this contribution, we discuss the pending aspects of TBoMS as raised in the previous meetings.</w:t>
      </w:r>
    </w:p>
    <w:p w14:paraId="7BE6ED39" w14:textId="0C030FE1" w:rsidR="00F96C06" w:rsidRDefault="00724C14" w:rsidP="000A5BF3">
      <w:pPr>
        <w:pStyle w:val="Heading1"/>
        <w:jc w:val="both"/>
      </w:pPr>
      <w:r>
        <w:rPr>
          <w:rFonts w:ascii="Times New Roman" w:hAnsi="Times New Roman"/>
          <w:sz w:val="32"/>
        </w:rPr>
        <w:t>On TB processing over multiple slots for PUSCH</w:t>
      </w:r>
    </w:p>
    <w:p w14:paraId="622F24F1" w14:textId="7F4A5579" w:rsidR="00C651E3" w:rsidRDefault="00106555" w:rsidP="000A5BF3">
      <w:pPr>
        <w:jc w:val="both"/>
        <w:rPr>
          <w:bCs/>
          <w:iCs/>
          <w:lang w:val="en-GB"/>
        </w:rPr>
      </w:pPr>
      <w:r>
        <w:rPr>
          <w:lang w:val="en-GB"/>
        </w:rPr>
        <w:t xml:space="preserve">The </w:t>
      </w:r>
      <w:r w:rsidR="00610C45">
        <w:rPr>
          <w:lang w:val="en-GB"/>
        </w:rPr>
        <w:t xml:space="preserve">main principle for coverage enhancement should be to design a </w:t>
      </w:r>
      <w:r>
        <w:rPr>
          <w:lang w:val="en-GB"/>
        </w:rPr>
        <w:t xml:space="preserve">specification </w:t>
      </w:r>
      <w:r w:rsidR="00610C45">
        <w:rPr>
          <w:lang w:val="en-GB"/>
        </w:rPr>
        <w:t xml:space="preserve">that </w:t>
      </w:r>
      <w:r>
        <w:rPr>
          <w:lang w:val="en-GB"/>
        </w:rPr>
        <w:t>support</w:t>
      </w:r>
      <w:r w:rsidR="00610C45">
        <w:rPr>
          <w:lang w:val="en-GB"/>
        </w:rPr>
        <w:t>s</w:t>
      </w:r>
      <w:r>
        <w:rPr>
          <w:lang w:val="en-GB"/>
        </w:rPr>
        <w:t xml:space="preserve"> </w:t>
      </w:r>
      <w:r w:rsidR="00735B9E">
        <w:rPr>
          <w:lang w:val="en-GB"/>
        </w:rPr>
        <w:t>u</w:t>
      </w:r>
      <w:r>
        <w:rPr>
          <w:lang w:val="en-GB"/>
        </w:rPr>
        <w:t xml:space="preserve">plink narrowband operation </w:t>
      </w:r>
      <w:r w:rsidR="003861EC">
        <w:rPr>
          <w:lang w:val="en-GB"/>
        </w:rPr>
        <w:t>with</w:t>
      </w:r>
      <w:r>
        <w:rPr>
          <w:lang w:val="en-GB"/>
        </w:rPr>
        <w:t xml:space="preserve"> sustained UE scheduling over multiple </w:t>
      </w:r>
      <w:r w:rsidR="007B170C">
        <w:rPr>
          <w:lang w:val="en-GB"/>
        </w:rPr>
        <w:t>slots</w:t>
      </w:r>
      <w:r>
        <w:rPr>
          <w:lang w:val="en-GB"/>
        </w:rPr>
        <w:t xml:space="preserve"> under low SINR cond</w:t>
      </w:r>
      <w:r w:rsidR="000D5B88">
        <w:rPr>
          <w:lang w:val="en-GB"/>
        </w:rPr>
        <w:t xml:space="preserve">itions. </w:t>
      </w:r>
      <w:r w:rsidR="00944DCC">
        <w:rPr>
          <w:lang w:val="en-GB"/>
        </w:rPr>
        <w:t>This could consider TBS size calculation enhancements to support transmissions over multiple UL slots</w:t>
      </w:r>
      <w:r w:rsidR="00D1563D">
        <w:rPr>
          <w:lang w:val="en-GB"/>
        </w:rPr>
        <w:t xml:space="preserve"> i.e., </w:t>
      </w:r>
      <w:r w:rsidR="00D1563D" w:rsidRPr="00D1563D">
        <w:rPr>
          <w:rFonts w:hint="eastAsia"/>
          <w:lang w:val="en-GB"/>
        </w:rPr>
        <w:t>TB processing over multi</w:t>
      </w:r>
      <w:r w:rsidR="00D1563D">
        <w:rPr>
          <w:lang w:val="en-GB"/>
        </w:rPr>
        <w:t xml:space="preserve">ple </w:t>
      </w:r>
      <w:r w:rsidR="00D1563D" w:rsidRPr="00D1563D">
        <w:rPr>
          <w:rFonts w:hint="eastAsia"/>
          <w:lang w:val="en-GB"/>
        </w:rPr>
        <w:t>slot</w:t>
      </w:r>
      <w:r w:rsidR="00D1563D">
        <w:rPr>
          <w:lang w:val="en-GB"/>
        </w:rPr>
        <w:t>s.</w:t>
      </w:r>
      <w:r w:rsidR="00F67FF8">
        <w:rPr>
          <w:lang w:val="en-GB"/>
        </w:rPr>
        <w:t xml:space="preserve"> </w:t>
      </w:r>
      <w:r w:rsidR="00A62B87">
        <w:rPr>
          <w:lang w:val="en-GB"/>
        </w:rPr>
        <w:t>We have shown the benefits of TB processing over multiple slots in our previous contribution [</w:t>
      </w:r>
      <w:r w:rsidR="002F2FE4">
        <w:rPr>
          <w:lang w:val="en-GB"/>
        </w:rPr>
        <w:t>2</w:t>
      </w:r>
      <w:r w:rsidR="00C651E3">
        <w:rPr>
          <w:lang w:val="en-GB"/>
        </w:rPr>
        <w:t>, 3</w:t>
      </w:r>
      <w:r w:rsidR="00A62B87">
        <w:rPr>
          <w:lang w:val="en-GB"/>
        </w:rPr>
        <w:t xml:space="preserve">]. </w:t>
      </w:r>
      <w:r w:rsidR="00C651E3" w:rsidRPr="00677F7A">
        <w:rPr>
          <w:bCs/>
          <w:iCs/>
          <w:lang w:val="en-GB"/>
        </w:rPr>
        <w:t>In [</w:t>
      </w:r>
      <w:r w:rsidR="00C651E3">
        <w:rPr>
          <w:bCs/>
          <w:iCs/>
          <w:lang w:val="en-GB"/>
        </w:rPr>
        <w:t>3</w:t>
      </w:r>
      <w:r w:rsidR="00C651E3" w:rsidRPr="00677F7A">
        <w:rPr>
          <w:bCs/>
          <w:iCs/>
          <w:lang w:val="en-GB"/>
        </w:rPr>
        <w:t>]</w:t>
      </w:r>
      <w:r w:rsidR="00C651E3">
        <w:rPr>
          <w:bCs/>
          <w:iCs/>
          <w:lang w:val="en-GB"/>
        </w:rPr>
        <w:t xml:space="preserve"> we presented the BLER performance with the proposed TB processing in the case of both eMBB and VoIP. For both the cases with the proposed TBoMS there is a gain in MPL resulting in the increment of cell radius. The number of slots aggregated can depend on the required data rates. Based on the frame structure informed to the UE by the gNB, the UE may calculate the number of slots for the above TB calculations. </w:t>
      </w:r>
    </w:p>
    <w:p w14:paraId="6B3D7FAB" w14:textId="377680FC" w:rsidR="00BD5467" w:rsidRDefault="00D01123" w:rsidP="000A5BF3">
      <w:pPr>
        <w:jc w:val="both"/>
        <w:rPr>
          <w:lang w:val="en-GB"/>
        </w:rPr>
      </w:pPr>
      <w:r>
        <w:rPr>
          <w:lang w:val="en-GB"/>
        </w:rPr>
        <w:t>In this docu</w:t>
      </w:r>
      <w:r w:rsidR="00BD5467">
        <w:rPr>
          <w:lang w:val="en-GB"/>
        </w:rPr>
        <w:t>m</w:t>
      </w:r>
      <w:r>
        <w:rPr>
          <w:lang w:val="en-GB"/>
        </w:rPr>
        <w:t>e</w:t>
      </w:r>
      <w:r w:rsidR="00B330BF">
        <w:rPr>
          <w:lang w:val="en-GB"/>
        </w:rPr>
        <w:t>n</w:t>
      </w:r>
      <w:r w:rsidR="00BD5467">
        <w:rPr>
          <w:lang w:val="en-GB"/>
        </w:rPr>
        <w:t>t</w:t>
      </w:r>
      <w:r>
        <w:rPr>
          <w:lang w:val="en-GB"/>
        </w:rPr>
        <w:t xml:space="preserve"> we discu</w:t>
      </w:r>
      <w:r w:rsidR="00BD5467">
        <w:rPr>
          <w:lang w:val="en-GB"/>
        </w:rPr>
        <w:t>ss about the pending issues on th</w:t>
      </w:r>
      <w:r>
        <w:rPr>
          <w:lang w:val="en-GB"/>
        </w:rPr>
        <w:t>e</w:t>
      </w:r>
      <w:r w:rsidR="00BD5467">
        <w:rPr>
          <w:lang w:val="en-GB"/>
        </w:rPr>
        <w:t xml:space="preserve"> TBoMS feature. </w:t>
      </w:r>
    </w:p>
    <w:p w14:paraId="3F6D5658" w14:textId="3FBA420D" w:rsidR="00BD5467" w:rsidRPr="00EA3C7C" w:rsidRDefault="00BD5467" w:rsidP="000A5BF3">
      <w:pPr>
        <w:pStyle w:val="Heading3"/>
        <w:jc w:val="both"/>
        <w:rPr>
          <w:rFonts w:ascii="Times New Roman" w:hAnsi="Times New Roman"/>
          <w:b/>
          <w:bCs/>
        </w:rPr>
      </w:pPr>
      <w:r w:rsidRPr="00EA3C7C">
        <w:rPr>
          <w:rFonts w:ascii="Times New Roman" w:hAnsi="Times New Roman"/>
          <w:b/>
          <w:bCs/>
        </w:rPr>
        <w:t>Time domain resource allocation</w:t>
      </w:r>
      <w:r w:rsidR="00802D0D" w:rsidRPr="00EA3C7C">
        <w:rPr>
          <w:rFonts w:ascii="Times New Roman" w:hAnsi="Times New Roman"/>
          <w:b/>
          <w:bCs/>
        </w:rPr>
        <w:t xml:space="preserve"> over</w:t>
      </w:r>
      <w:r w:rsidR="009B7049" w:rsidRPr="00EA3C7C">
        <w:rPr>
          <w:rFonts w:ascii="Times New Roman" w:hAnsi="Times New Roman"/>
          <w:b/>
          <w:bCs/>
        </w:rPr>
        <w:t xml:space="preserve"> multiple slots</w:t>
      </w:r>
    </w:p>
    <w:p w14:paraId="21C39492" w14:textId="2C82A16E" w:rsidR="00BD5467" w:rsidRPr="007B58A8" w:rsidRDefault="00802D0D" w:rsidP="000A5BF3">
      <w:pPr>
        <w:jc w:val="both"/>
      </w:pPr>
      <w:r>
        <w:rPr>
          <w:lang w:val="en-GB"/>
        </w:rPr>
        <w:t xml:space="preserve">PUSCH repetition type </w:t>
      </w:r>
      <w:r w:rsidR="007B58A8">
        <w:rPr>
          <w:lang w:val="en-GB"/>
        </w:rPr>
        <w:t xml:space="preserve">A </w:t>
      </w:r>
      <w:r>
        <w:rPr>
          <w:lang w:val="en-GB"/>
        </w:rPr>
        <w:t>like TDRA can be used as a starting point for TBoMS</w:t>
      </w:r>
      <w:r w:rsidR="003B6612">
        <w:rPr>
          <w:lang w:val="en-GB"/>
        </w:rPr>
        <w:t>. A</w:t>
      </w:r>
      <w:r w:rsidR="00DB6779">
        <w:rPr>
          <w:lang w:val="en-GB"/>
        </w:rPr>
        <w:t>s will be explained later</w:t>
      </w:r>
      <w:r w:rsidR="00677F7A">
        <w:rPr>
          <w:lang w:val="en-GB"/>
        </w:rPr>
        <w:t xml:space="preserve"> in Section 2.1.3.</w:t>
      </w:r>
      <w:r w:rsidR="00DB6779">
        <w:rPr>
          <w:lang w:val="en-GB"/>
        </w:rPr>
        <w:t>, this method will help to achieve TBoMS with minimal spec</w:t>
      </w:r>
      <w:r w:rsidR="00D01123">
        <w:rPr>
          <w:lang w:val="en-GB"/>
        </w:rPr>
        <w:t>ification</w:t>
      </w:r>
      <w:r w:rsidR="00DB6779">
        <w:rPr>
          <w:lang w:val="en-GB"/>
        </w:rPr>
        <w:t xml:space="preserve"> impact</w:t>
      </w:r>
      <w:r w:rsidR="00677F7A">
        <w:rPr>
          <w:lang w:val="en-GB"/>
        </w:rPr>
        <w:t>.</w:t>
      </w:r>
      <w:r w:rsidR="007B58A8">
        <w:rPr>
          <w:lang w:val="en-GB"/>
        </w:rPr>
        <w:t xml:space="preserve"> </w:t>
      </w:r>
      <w:r w:rsidR="00F91DE0">
        <w:rPr>
          <w:lang w:val="en-GB"/>
        </w:rPr>
        <w:t>Also</w:t>
      </w:r>
      <w:r w:rsidR="00160C9C">
        <w:rPr>
          <w:lang w:val="en-GB"/>
        </w:rPr>
        <w:t>,</w:t>
      </w:r>
      <w:r w:rsidR="00F91DE0">
        <w:rPr>
          <w:lang w:val="en-GB"/>
        </w:rPr>
        <w:t xml:space="preserve"> </w:t>
      </w:r>
      <w:r w:rsidR="00D01123">
        <w:t xml:space="preserve">TDD is </w:t>
      </w:r>
      <w:r w:rsidR="00791341">
        <w:t xml:space="preserve">a </w:t>
      </w:r>
      <w:r w:rsidR="00D01123">
        <w:t>predomi</w:t>
      </w:r>
      <w:r w:rsidR="007B58A8">
        <w:t>nant deployment scenario for 5G NR</w:t>
      </w:r>
      <w:r w:rsidR="00871DEE">
        <w:t xml:space="preserve">, </w:t>
      </w:r>
      <w:r w:rsidR="007B58A8">
        <w:t xml:space="preserve">we believe TBoMS </w:t>
      </w:r>
      <w:r w:rsidR="00871DEE">
        <w:t xml:space="preserve">should </w:t>
      </w:r>
      <w:r w:rsidR="007B58A8">
        <w:t>be supported across non-conti</w:t>
      </w:r>
      <w:r w:rsidR="00235CEB">
        <w:t>guous</w:t>
      </w:r>
      <w:r w:rsidR="007B58A8">
        <w:t xml:space="preserve"> slots, at</w:t>
      </w:r>
      <w:r w:rsidR="00280776">
        <w:t xml:space="preserve"> </w:t>
      </w:r>
      <w:r w:rsidR="007B58A8">
        <w:t>least for unpaired spectrum.</w:t>
      </w:r>
      <w:r w:rsidR="000D3A6F">
        <w:t xml:space="preserve"> Therefore</w:t>
      </w:r>
      <w:r w:rsidR="00271F69">
        <w:t>,</w:t>
      </w:r>
      <w:r w:rsidR="000D3A6F">
        <w:t xml:space="preserve"> </w:t>
      </w:r>
      <w:r w:rsidR="00271F69">
        <w:t>PUSCH</w:t>
      </w:r>
      <w:r w:rsidR="000D3A6F">
        <w:t xml:space="preserve"> type</w:t>
      </w:r>
      <w:r w:rsidR="00271F69">
        <w:t>-</w:t>
      </w:r>
      <w:r w:rsidR="000D3A6F">
        <w:t>A repetition can be enhanced to support non-contiguous slots for supporting coverage enhancements in Rel-17</w:t>
      </w:r>
      <w:r w:rsidR="001710CE">
        <w:t>.</w:t>
      </w:r>
    </w:p>
    <w:p w14:paraId="0A1B246D" w14:textId="7E15399E" w:rsidR="00F3733D" w:rsidRPr="00677F7A" w:rsidRDefault="00BD5467" w:rsidP="000A5BF3">
      <w:pPr>
        <w:jc w:val="both"/>
        <w:rPr>
          <w:b/>
          <w:i/>
        </w:rPr>
      </w:pPr>
      <w:r w:rsidRPr="00280776">
        <w:rPr>
          <w:b/>
          <w:i/>
          <w:lang w:val="en-GB"/>
        </w:rPr>
        <w:t>P</w:t>
      </w:r>
      <w:r w:rsidRPr="00505EE9">
        <w:rPr>
          <w:b/>
          <w:i/>
          <w:lang w:val="en-GB"/>
        </w:rPr>
        <w:t>roposal</w:t>
      </w:r>
      <w:r w:rsidRPr="00677F7A">
        <w:rPr>
          <w:b/>
          <w:i/>
          <w:lang w:val="en-GB"/>
        </w:rPr>
        <w:t>:</w:t>
      </w:r>
      <w:r w:rsidR="00F3733D" w:rsidRPr="00677F7A">
        <w:rPr>
          <w:b/>
          <w:i/>
          <w:lang w:val="en-GB"/>
        </w:rPr>
        <w:t xml:space="preserve"> </w:t>
      </w:r>
      <w:r w:rsidRPr="00677F7A">
        <w:rPr>
          <w:b/>
          <w:i/>
          <w:lang w:val="en-GB"/>
        </w:rPr>
        <w:t xml:space="preserve">Start with </w:t>
      </w:r>
      <w:r w:rsidR="00F3733D" w:rsidRPr="00677F7A">
        <w:rPr>
          <w:b/>
          <w:i/>
        </w:rPr>
        <w:t xml:space="preserve">PUSCH repetition type </w:t>
      </w:r>
      <w:r w:rsidR="00095F1B" w:rsidRPr="00677F7A">
        <w:rPr>
          <w:b/>
          <w:i/>
        </w:rPr>
        <w:t>A</w:t>
      </w:r>
      <w:r w:rsidR="00F3733D" w:rsidRPr="00677F7A">
        <w:rPr>
          <w:b/>
          <w:i/>
        </w:rPr>
        <w:t xml:space="preserve"> like TDRA, i.e., the number of allocated symbols in each slot </w:t>
      </w:r>
      <w:r w:rsidR="007B58A8" w:rsidRPr="00677F7A">
        <w:rPr>
          <w:b/>
          <w:i/>
        </w:rPr>
        <w:t>is same</w:t>
      </w:r>
      <w:r w:rsidR="00F3733D" w:rsidRPr="00677F7A">
        <w:rPr>
          <w:b/>
          <w:i/>
        </w:rPr>
        <w:t>.</w:t>
      </w:r>
    </w:p>
    <w:p w14:paraId="48F6580B" w14:textId="5EED8FDA" w:rsidR="00F3733D" w:rsidRPr="00677F7A" w:rsidRDefault="00F3733D" w:rsidP="000A5BF3">
      <w:pPr>
        <w:overflowPunct/>
        <w:autoSpaceDE/>
        <w:autoSpaceDN/>
        <w:adjustRightInd/>
        <w:spacing w:after="0" w:line="252" w:lineRule="auto"/>
        <w:jc w:val="both"/>
        <w:rPr>
          <w:b/>
          <w:i/>
        </w:rPr>
      </w:pPr>
      <w:r w:rsidRPr="00505EE9">
        <w:rPr>
          <w:b/>
          <w:i/>
        </w:rPr>
        <w:t>Proposal</w:t>
      </w:r>
      <w:r w:rsidRPr="00677F7A">
        <w:rPr>
          <w:b/>
          <w:i/>
        </w:rPr>
        <w:t xml:space="preserve">: </w:t>
      </w:r>
      <w:r w:rsidR="00505EE9" w:rsidRPr="00677F7A">
        <w:rPr>
          <w:b/>
          <w:i/>
        </w:rPr>
        <w:t>S</w:t>
      </w:r>
      <w:r w:rsidRPr="00677F7A">
        <w:rPr>
          <w:b/>
          <w:i/>
        </w:rPr>
        <w:t xml:space="preserve">upport non-consecutive </w:t>
      </w:r>
      <w:r w:rsidRPr="00677F7A">
        <w:rPr>
          <w:rFonts w:hint="eastAsia"/>
          <w:b/>
          <w:i/>
        </w:rPr>
        <w:t>physical slots for UL transmission for TBoMS for unpaired spectrum</w:t>
      </w:r>
      <w:r w:rsidRPr="00677F7A">
        <w:rPr>
          <w:b/>
          <w:i/>
        </w:rPr>
        <w:t>.</w:t>
      </w:r>
    </w:p>
    <w:p w14:paraId="0E373062" w14:textId="330F6434" w:rsidR="00F3733D" w:rsidRDefault="00F3733D" w:rsidP="000A5BF3">
      <w:pPr>
        <w:overflowPunct/>
        <w:autoSpaceDE/>
        <w:autoSpaceDN/>
        <w:adjustRightInd/>
        <w:spacing w:after="0" w:line="252" w:lineRule="auto"/>
        <w:jc w:val="both"/>
      </w:pPr>
    </w:p>
    <w:p w14:paraId="53B7BED8" w14:textId="1A84459D" w:rsidR="00D95C89" w:rsidRPr="00677F7A" w:rsidRDefault="00D95C89" w:rsidP="000A5BF3">
      <w:pPr>
        <w:overflowPunct/>
        <w:autoSpaceDE/>
        <w:autoSpaceDN/>
        <w:adjustRightInd/>
        <w:spacing w:after="0" w:line="252" w:lineRule="auto"/>
        <w:jc w:val="both"/>
        <w:rPr>
          <w:b/>
          <w:i/>
        </w:rPr>
      </w:pPr>
      <w:r w:rsidRPr="00505EE9">
        <w:rPr>
          <w:b/>
          <w:i/>
        </w:rPr>
        <w:t>Proposal</w:t>
      </w:r>
      <w:r w:rsidRPr="00677F7A">
        <w:rPr>
          <w:b/>
          <w:i/>
        </w:rPr>
        <w:t xml:space="preserve">: </w:t>
      </w:r>
      <w:r>
        <w:rPr>
          <w:b/>
          <w:i/>
        </w:rPr>
        <w:t xml:space="preserve">Enhance </w:t>
      </w:r>
      <w:r w:rsidR="00F33F3B">
        <w:rPr>
          <w:b/>
          <w:i/>
        </w:rPr>
        <w:t>PUSCH</w:t>
      </w:r>
      <w:r>
        <w:rPr>
          <w:b/>
          <w:i/>
        </w:rPr>
        <w:t xml:space="preserve"> repetition type-A </w:t>
      </w:r>
      <w:r w:rsidR="008E1CBF">
        <w:rPr>
          <w:b/>
          <w:i/>
        </w:rPr>
        <w:t xml:space="preserve">framework </w:t>
      </w:r>
      <w:r>
        <w:rPr>
          <w:b/>
          <w:i/>
        </w:rPr>
        <w:t xml:space="preserve">to support </w:t>
      </w:r>
      <w:r w:rsidR="0020775F">
        <w:rPr>
          <w:b/>
          <w:i/>
        </w:rPr>
        <w:t>transmission</w:t>
      </w:r>
      <w:r>
        <w:rPr>
          <w:b/>
          <w:i/>
        </w:rPr>
        <w:t xml:space="preserve"> over non-contiguous slots.</w:t>
      </w:r>
    </w:p>
    <w:p w14:paraId="7083E0FA" w14:textId="77777777" w:rsidR="00D95C89" w:rsidRDefault="00D95C89" w:rsidP="000A5BF3">
      <w:pPr>
        <w:overflowPunct/>
        <w:autoSpaceDE/>
        <w:autoSpaceDN/>
        <w:adjustRightInd/>
        <w:spacing w:after="0" w:line="252" w:lineRule="auto"/>
        <w:jc w:val="both"/>
      </w:pPr>
    </w:p>
    <w:p w14:paraId="3FC971C9" w14:textId="7266569C" w:rsidR="00F3733D" w:rsidRDefault="00677F7A" w:rsidP="000A5BF3">
      <w:pPr>
        <w:overflowPunct/>
        <w:autoSpaceDE/>
        <w:autoSpaceDN/>
        <w:adjustRightInd/>
        <w:spacing w:after="0" w:line="252" w:lineRule="auto"/>
        <w:jc w:val="both"/>
      </w:pPr>
      <w:r>
        <w:t>Considering these</w:t>
      </w:r>
      <w:r w:rsidR="00C5632B">
        <w:t xml:space="preserve"> definitions and proposals</w:t>
      </w:r>
      <w:r>
        <w:t>, we can define o</w:t>
      </w:r>
      <w:r w:rsidR="00F3733D">
        <w:t xml:space="preserve">ne </w:t>
      </w:r>
      <w:r w:rsidR="00235CEB">
        <w:t>TBoMS transmission</w:t>
      </w:r>
      <w:r w:rsidR="00033336">
        <w:t xml:space="preserve"> as</w:t>
      </w:r>
      <w:r w:rsidR="00F3733D">
        <w:t xml:space="preserve"> the t</w:t>
      </w:r>
      <w:r w:rsidR="00033336">
        <w:t>ran</w:t>
      </w:r>
      <w:r w:rsidR="00DD1FC2">
        <w:t>s</w:t>
      </w:r>
      <w:r w:rsidR="00033336">
        <w:t>mission</w:t>
      </w:r>
      <w:r w:rsidR="00F3733D">
        <w:t xml:space="preserve"> over all the slots considered for TBoMS.</w:t>
      </w:r>
    </w:p>
    <w:p w14:paraId="24F98A54" w14:textId="143C8911" w:rsidR="00A25FF8" w:rsidRDefault="00A25FF8" w:rsidP="000A5BF3">
      <w:pPr>
        <w:overflowPunct/>
        <w:autoSpaceDE/>
        <w:autoSpaceDN/>
        <w:adjustRightInd/>
        <w:spacing w:after="0" w:line="252" w:lineRule="auto"/>
        <w:jc w:val="both"/>
      </w:pPr>
    </w:p>
    <w:p w14:paraId="405A38BE" w14:textId="0112A747" w:rsidR="00A25FF8" w:rsidRPr="00EA3C7C" w:rsidRDefault="00A25FF8" w:rsidP="000A5BF3">
      <w:pPr>
        <w:pStyle w:val="Heading3"/>
        <w:jc w:val="both"/>
        <w:rPr>
          <w:rFonts w:ascii="Times New Roman" w:hAnsi="Times New Roman"/>
          <w:b/>
          <w:bCs/>
        </w:rPr>
      </w:pPr>
      <w:r w:rsidRPr="00EA3C7C">
        <w:rPr>
          <w:rFonts w:ascii="Times New Roman" w:hAnsi="Times New Roman"/>
          <w:b/>
          <w:bCs/>
        </w:rPr>
        <w:t>Constraints on TBoMS</w:t>
      </w:r>
    </w:p>
    <w:p w14:paraId="158465E2" w14:textId="1A5B6717" w:rsidR="00897EAE" w:rsidRDefault="00897EAE" w:rsidP="000A5BF3">
      <w:pPr>
        <w:overflowPunct/>
        <w:autoSpaceDE/>
        <w:autoSpaceDN/>
        <w:adjustRightInd/>
        <w:spacing w:after="0" w:line="252" w:lineRule="auto"/>
        <w:jc w:val="both"/>
      </w:pPr>
      <w:r>
        <w:t xml:space="preserve">The TB size is </w:t>
      </w:r>
      <w:r w:rsidR="006C060D">
        <w:t xml:space="preserve">typically </w:t>
      </w:r>
      <w:r>
        <w:t xml:space="preserve">calculated using the </w:t>
      </w:r>
      <w:r w:rsidR="00511630">
        <w:t>number of symbols (</w:t>
      </w:r>
      <w:r>
        <w:t>N_symb</w:t>
      </w:r>
      <w:r w:rsidR="00511630">
        <w:t>)</w:t>
      </w:r>
      <w:r>
        <w:t xml:space="preserve">, </w:t>
      </w:r>
      <w:r w:rsidR="00511630">
        <w:t>number of PRBs, (</w:t>
      </w:r>
      <w:r>
        <w:t>N_prb</w:t>
      </w:r>
      <w:r w:rsidR="00511630">
        <w:t>)</w:t>
      </w:r>
      <w:r>
        <w:t xml:space="preserve">, and </w:t>
      </w:r>
      <w:r w:rsidR="00511630">
        <w:t>the number of slots (</w:t>
      </w:r>
      <w:r>
        <w:t>N_slots</w:t>
      </w:r>
      <w:r w:rsidR="00511630">
        <w:t>)</w:t>
      </w:r>
      <w:r>
        <w:t xml:space="preserve"> apart from </w:t>
      </w:r>
      <w:r w:rsidR="00511630">
        <w:t xml:space="preserve">the </w:t>
      </w:r>
      <w:r>
        <w:t>MCS. For a cell edge UE</w:t>
      </w:r>
      <w:r w:rsidR="00511630">
        <w:t>,</w:t>
      </w:r>
      <w:r>
        <w:t xml:space="preserve"> typically lower MCS values will </w:t>
      </w:r>
      <w:r w:rsidR="00511630">
        <w:t>be used.</w:t>
      </w:r>
      <w:r>
        <w:t xml:space="preserve"> In</w:t>
      </w:r>
      <w:r w:rsidR="00511630">
        <w:t xml:space="preserve"> </w:t>
      </w:r>
      <w:r>
        <w:lastRenderedPageBreak/>
        <w:t>order to ensure that the legacy max</w:t>
      </w:r>
      <w:r w:rsidR="00511630">
        <w:t>imum</w:t>
      </w:r>
      <w:r>
        <w:t xml:space="preserve"> supp</w:t>
      </w:r>
      <w:r w:rsidR="00511630">
        <w:t>orted TB</w:t>
      </w:r>
      <w:r>
        <w:t xml:space="preserve"> size is not exceeded</w:t>
      </w:r>
      <w:r w:rsidR="006C060D">
        <w:t xml:space="preserve"> as per the agreements</w:t>
      </w:r>
      <w:r>
        <w:t xml:space="preserve">, a limit on the one of the N_symb, N_prb, or N_slots is required. </w:t>
      </w:r>
    </w:p>
    <w:p w14:paraId="3F8EAA62" w14:textId="77777777" w:rsidR="006C060D" w:rsidRDefault="006C060D" w:rsidP="000A5BF3">
      <w:pPr>
        <w:overflowPunct/>
        <w:autoSpaceDE/>
        <w:autoSpaceDN/>
        <w:adjustRightInd/>
        <w:spacing w:after="0" w:line="252" w:lineRule="auto"/>
        <w:jc w:val="both"/>
      </w:pPr>
    </w:p>
    <w:p w14:paraId="03EC9EBE" w14:textId="4197BA66" w:rsidR="00897EAE" w:rsidRDefault="00897EAE" w:rsidP="000A5BF3">
      <w:pPr>
        <w:overflowPunct/>
        <w:autoSpaceDE/>
        <w:autoSpaceDN/>
        <w:adjustRightInd/>
        <w:spacing w:after="0" w:line="252" w:lineRule="auto"/>
        <w:jc w:val="both"/>
        <w:rPr>
          <w:bCs/>
          <w:iCs/>
          <w:lang w:val="en-GB"/>
        </w:rPr>
      </w:pPr>
      <w:r>
        <w:t xml:space="preserve">As shown in </w:t>
      </w:r>
      <w:r w:rsidR="00A61055">
        <w:t>[2</w:t>
      </w:r>
      <w:r w:rsidR="006E200A">
        <w:t>, 3</w:t>
      </w:r>
      <w:r w:rsidR="00A61055">
        <w:t>]</w:t>
      </w:r>
      <w:r>
        <w:t>, narrow</w:t>
      </w:r>
      <w:r w:rsidR="00511630">
        <w:t xml:space="preserve"> </w:t>
      </w:r>
      <w:r>
        <w:t>banding helps in improving cell coverage. T</w:t>
      </w:r>
      <w:r>
        <w:rPr>
          <w:bCs/>
          <w:iCs/>
          <w:lang w:val="en-GB"/>
        </w:rPr>
        <w:t xml:space="preserve">he link budget gain comes in the form of reduction in the receiver noise figure in the link budget analysis. A decrease in the frequency domain allocation </w:t>
      </w:r>
      <m:oMath>
        <m:sSub>
          <m:sSubPr>
            <m:ctrlPr>
              <w:rPr>
                <w:rFonts w:ascii="Cambria Math" w:hAnsi="Cambria Math"/>
                <w:bCs/>
                <w:i/>
                <w:iCs/>
                <w:lang w:val="en-GB"/>
              </w:rPr>
            </m:ctrlPr>
          </m:sSubPr>
          <m:e>
            <m:r>
              <w:rPr>
                <w:rFonts w:ascii="Cambria Math" w:hAnsi="Cambria Math"/>
                <w:lang w:val="en-GB"/>
              </w:rPr>
              <m:t>N</m:t>
            </m:r>
          </m:e>
          <m:sub>
            <m:r>
              <w:rPr>
                <w:rFonts w:ascii="Cambria Math" w:hAnsi="Cambria Math"/>
                <w:lang w:val="en-GB"/>
              </w:rPr>
              <m:t>prb</m:t>
            </m:r>
          </m:sub>
        </m:sSub>
        <m:r>
          <w:rPr>
            <w:rFonts w:ascii="Cambria Math" w:hAnsi="Cambria Math"/>
            <w:lang w:val="en-GB"/>
          </w:rPr>
          <m:t xml:space="preserve"> </m:t>
        </m:r>
      </m:oMath>
      <w:r>
        <w:rPr>
          <w:bCs/>
          <w:iCs/>
          <w:lang w:val="en-GB"/>
        </w:rPr>
        <w:t>by a factor of 4 results in a 6dB gain in the effective noise figure. Considering this we believe a restriction on the number of PRBs is quite beneficial.</w:t>
      </w:r>
    </w:p>
    <w:p w14:paraId="07FD5BDE" w14:textId="1DBA1883" w:rsidR="0086003E" w:rsidRDefault="0086003E" w:rsidP="000A5BF3">
      <w:pPr>
        <w:overflowPunct/>
        <w:autoSpaceDE/>
        <w:autoSpaceDN/>
        <w:adjustRightInd/>
        <w:spacing w:after="0" w:line="252" w:lineRule="auto"/>
        <w:jc w:val="both"/>
        <w:rPr>
          <w:bCs/>
          <w:iCs/>
          <w:lang w:val="en-GB"/>
        </w:rPr>
      </w:pPr>
    </w:p>
    <w:p w14:paraId="074B0A4C" w14:textId="2478488C" w:rsidR="0086003E" w:rsidRPr="008A0146" w:rsidRDefault="0086003E" w:rsidP="000A5BF3">
      <w:pPr>
        <w:overflowPunct/>
        <w:autoSpaceDE/>
        <w:autoSpaceDN/>
        <w:adjustRightInd/>
        <w:spacing w:after="0" w:line="252" w:lineRule="auto"/>
        <w:jc w:val="both"/>
        <w:rPr>
          <w:b/>
          <w:bCs/>
          <w:i/>
          <w:iCs/>
          <w:lang w:val="en-GB"/>
        </w:rPr>
      </w:pPr>
      <w:r w:rsidRPr="008A0146">
        <w:rPr>
          <w:b/>
          <w:bCs/>
          <w:i/>
          <w:iCs/>
          <w:lang w:val="en-GB"/>
        </w:rPr>
        <w:t>Proposal: N_prb used for TBoMS should be limited</w:t>
      </w:r>
      <w:r w:rsidR="008A0146" w:rsidRPr="008A0146">
        <w:rPr>
          <w:b/>
          <w:bCs/>
          <w:i/>
          <w:iCs/>
          <w:lang w:val="en-GB"/>
        </w:rPr>
        <w:t xml:space="preserve"> to </w:t>
      </w:r>
      <w:r w:rsidR="00F20604">
        <w:rPr>
          <w:b/>
          <w:bCs/>
          <w:i/>
          <w:iCs/>
          <w:lang w:val="en-GB"/>
        </w:rPr>
        <w:t>satisfy the TB constraints.</w:t>
      </w:r>
    </w:p>
    <w:p w14:paraId="75240DE1" w14:textId="03356F39" w:rsidR="00897EAE" w:rsidRDefault="00897EAE" w:rsidP="000A5BF3">
      <w:pPr>
        <w:overflowPunct/>
        <w:autoSpaceDE/>
        <w:autoSpaceDN/>
        <w:adjustRightInd/>
        <w:spacing w:after="0" w:line="252" w:lineRule="auto"/>
        <w:jc w:val="both"/>
        <w:rPr>
          <w:bCs/>
          <w:iCs/>
          <w:lang w:val="en-GB"/>
        </w:rPr>
      </w:pPr>
    </w:p>
    <w:p w14:paraId="33F88233" w14:textId="55BF9FC7" w:rsidR="00897EAE" w:rsidRPr="00091016" w:rsidRDefault="00EC09B8" w:rsidP="000A5BF3">
      <w:pPr>
        <w:pStyle w:val="Heading3"/>
        <w:jc w:val="both"/>
        <w:rPr>
          <w:rFonts w:ascii="Times New Roman" w:hAnsi="Times New Roman"/>
          <w:b/>
          <w:bCs/>
        </w:rPr>
      </w:pPr>
      <w:r w:rsidRPr="00091016">
        <w:rPr>
          <w:rFonts w:ascii="Times New Roman" w:hAnsi="Times New Roman"/>
          <w:b/>
          <w:bCs/>
        </w:rPr>
        <w:t>C</w:t>
      </w:r>
      <w:r w:rsidR="00425F99" w:rsidRPr="00091016">
        <w:rPr>
          <w:rFonts w:ascii="Times New Roman" w:hAnsi="Times New Roman"/>
          <w:b/>
          <w:bCs/>
        </w:rPr>
        <w:t>alculation of N_info</w:t>
      </w:r>
    </w:p>
    <w:p w14:paraId="2A1802AF" w14:textId="01F25259" w:rsidR="00095F1B" w:rsidRPr="0099619A" w:rsidRDefault="0099619A" w:rsidP="000A5BF3">
      <w:pPr>
        <w:overflowPunct/>
        <w:autoSpaceDE/>
        <w:autoSpaceDN/>
        <w:adjustRightInd/>
        <w:spacing w:after="0" w:line="252" w:lineRule="auto"/>
        <w:jc w:val="both"/>
      </w:pPr>
      <w:r w:rsidRPr="0099619A">
        <w:t xml:space="preserve">We propose that </w:t>
      </w:r>
      <w:r w:rsidR="00095F1B" w:rsidRPr="0099619A">
        <w:t xml:space="preserve">N_info is calculated based on the number of REs determined in the first L symbols over which the TBoMS transmission is allocated, </w:t>
      </w:r>
      <w:r w:rsidR="0046780B">
        <w:t xml:space="preserve">and further </w:t>
      </w:r>
      <w:r w:rsidR="00095F1B" w:rsidRPr="0099619A">
        <w:t>scaled by K≥1.</w:t>
      </w:r>
      <w:r w:rsidR="0046780B">
        <w:t xml:space="preserve"> The exact details are given below. </w:t>
      </w:r>
    </w:p>
    <w:p w14:paraId="0962BA5D" w14:textId="77777777" w:rsidR="00095F1B" w:rsidRDefault="00095F1B" w:rsidP="000A5BF3">
      <w:pPr>
        <w:overflowPunct/>
        <w:autoSpaceDE/>
        <w:autoSpaceDN/>
        <w:adjustRightInd/>
        <w:spacing w:after="0" w:line="252" w:lineRule="auto"/>
        <w:jc w:val="both"/>
        <w:rPr>
          <w:rFonts w:ascii="Calibri" w:hAnsi="Calibri" w:cs="Calibri"/>
        </w:rPr>
      </w:pPr>
    </w:p>
    <w:p w14:paraId="41BDE591" w14:textId="16E60EB5" w:rsidR="00095F1B" w:rsidRDefault="00095F1B" w:rsidP="000A5BF3">
      <w:pPr>
        <w:spacing w:after="0"/>
        <w:jc w:val="both"/>
        <w:rPr>
          <w:lang w:val="en-GB"/>
        </w:rPr>
      </w:pPr>
      <w:r>
        <w:rPr>
          <w:lang w:val="en-GB"/>
        </w:rPr>
        <w:t xml:space="preserve">Let </w:t>
      </w:r>
      <w:r>
        <w:rPr>
          <w:i/>
          <w:lang w:val="en-GB"/>
        </w:rPr>
        <w:t xml:space="preserve">K </w:t>
      </w:r>
      <w:r>
        <w:rPr>
          <w:lang w:val="en-GB"/>
        </w:rPr>
        <w:t xml:space="preserve">be the number of slots that has to be aggregated for the resource allocation for a UE. </w:t>
      </w:r>
      <w:r>
        <w:rPr>
          <w:i/>
          <w:lang w:val="en-GB"/>
        </w:rPr>
        <w:t xml:space="preserve">K </w:t>
      </w:r>
      <w:r w:rsidRPr="00E34328">
        <w:rPr>
          <w:lang w:val="en-GB"/>
        </w:rPr>
        <w:t>is sent to the UE as a</w:t>
      </w:r>
      <w:r>
        <w:rPr>
          <w:lang w:val="en-GB"/>
        </w:rPr>
        <w:t xml:space="preserve"> variable </w:t>
      </w:r>
      <w:r w:rsidRPr="00E34328">
        <w:rPr>
          <w:lang w:val="en-GB"/>
        </w:rPr>
        <w:t>parameter</w:t>
      </w:r>
      <w:r>
        <w:rPr>
          <w:i/>
          <w:lang w:val="en-GB"/>
        </w:rPr>
        <w:t>.</w:t>
      </w:r>
      <w:r>
        <w:rPr>
          <w:lang w:val="en-GB"/>
        </w:rPr>
        <w:t xml:space="preserve"> Below a systematic procedure to employ the TB processing over multiple slots is explained.</w:t>
      </w:r>
    </w:p>
    <w:p w14:paraId="2D1CB063" w14:textId="2C87C6AB" w:rsidR="00095F1B" w:rsidRPr="00ED4520" w:rsidRDefault="00095F1B" w:rsidP="000A5BF3">
      <w:pPr>
        <w:pStyle w:val="ListParagraph"/>
        <w:numPr>
          <w:ilvl w:val="0"/>
          <w:numId w:val="25"/>
        </w:numPr>
        <w:jc w:val="both"/>
        <w:rPr>
          <w:rFonts w:ascii="Times New Roman" w:hAnsi="Times New Roman" w:cs="Times New Roman"/>
          <w:sz w:val="20"/>
          <w:szCs w:val="20"/>
        </w:rPr>
      </w:pPr>
      <w:r w:rsidRPr="00ED4520">
        <w:rPr>
          <w:rFonts w:ascii="Times New Roman" w:hAnsi="Times New Roman" w:cs="Times New Roman"/>
          <w:sz w:val="20"/>
          <w:szCs w:val="20"/>
          <w:lang w:val="en-GB"/>
        </w:rPr>
        <w:t xml:space="preserve">For </w:t>
      </w:r>
      <w:r>
        <w:rPr>
          <w:rFonts w:ascii="Times New Roman" w:hAnsi="Times New Roman" w:cs="Times New Roman"/>
          <w:sz w:val="20"/>
          <w:szCs w:val="20"/>
          <w:lang w:val="en-GB"/>
        </w:rPr>
        <w:t>the</w:t>
      </w:r>
      <w:r w:rsidRPr="00ED4520">
        <w:rPr>
          <w:rFonts w:ascii="Times New Roman" w:hAnsi="Times New Roman" w:cs="Times New Roman"/>
          <w:sz w:val="20"/>
          <w:szCs w:val="20"/>
          <w:lang w:val="en-GB"/>
        </w:rPr>
        <w:t xml:space="preserve"> given time-frequency resource</w:t>
      </w:r>
      <w:r>
        <w:rPr>
          <w:rFonts w:ascii="Times New Roman" w:hAnsi="Times New Roman" w:cs="Times New Roman"/>
          <w:sz w:val="20"/>
          <w:szCs w:val="20"/>
          <w:lang w:val="en-GB"/>
        </w:rPr>
        <w:t>s</w:t>
      </w:r>
      <w:r w:rsidRPr="00ED4520">
        <w:rPr>
          <w:rFonts w:ascii="Times New Roman" w:hAnsi="Times New Roman" w:cs="Times New Roman"/>
          <w:sz w:val="20"/>
          <w:szCs w:val="20"/>
          <w:lang w:val="en-GB"/>
        </w:rPr>
        <w:t xml:space="preserve">, calculate the </w:t>
      </w:r>
      <w:r w:rsidRPr="000E5957">
        <w:rPr>
          <w:rFonts w:ascii="Times New Roman" w:hAnsi="Times New Roman" w:cs="Times New Roman"/>
          <w:b/>
          <w:bCs/>
          <w:sz w:val="20"/>
          <w:szCs w:val="20"/>
          <w:lang w:val="en-GB"/>
        </w:rPr>
        <w:t>TB</w:t>
      </w:r>
      <w:r w:rsidRPr="00ED4520">
        <w:rPr>
          <w:rFonts w:ascii="Times New Roman" w:hAnsi="Times New Roman" w:cs="Times New Roman"/>
          <w:sz w:val="20"/>
          <w:szCs w:val="20"/>
          <w:lang w:val="en-GB"/>
        </w:rPr>
        <w:t xml:space="preserve"> size for one slot </w:t>
      </w:r>
      <w:r w:rsidRPr="00ED4520">
        <w:rPr>
          <w:rFonts w:ascii="Times New Roman" w:hAnsi="Times New Roman" w:cs="Times New Roman"/>
          <w:sz w:val="20"/>
          <w:szCs w:val="20"/>
        </w:rPr>
        <w:t xml:space="preserve">according the Clause 6.1.4.2 in </w:t>
      </w:r>
      <w:r w:rsidR="003147E1">
        <w:rPr>
          <w:rFonts w:ascii="Times New Roman" w:hAnsi="Times New Roman" w:cs="Times New Roman"/>
          <w:sz w:val="20"/>
          <w:szCs w:val="20"/>
        </w:rPr>
        <w:t>38.214</w:t>
      </w:r>
      <w:r>
        <w:rPr>
          <w:rFonts w:ascii="Times New Roman" w:hAnsi="Times New Roman" w:cs="Times New Roman"/>
          <w:sz w:val="20"/>
          <w:szCs w:val="20"/>
        </w:rPr>
        <w:t xml:space="preserve"> as in the existing scenarios. The frequency domain resources are indicated to the UE for 1 slot via the DCI format when the existing DCI format is used and RRC signalling is used to indicate </w:t>
      </w:r>
      <w:r w:rsidR="00511630">
        <w:rPr>
          <w:rFonts w:ascii="Times New Roman" w:hAnsi="Times New Roman" w:cs="Times New Roman"/>
          <w:i/>
          <w:iCs/>
          <w:sz w:val="20"/>
          <w:szCs w:val="20"/>
        </w:rPr>
        <w:t>K</w:t>
      </w:r>
      <w:r>
        <w:rPr>
          <w:rFonts w:ascii="Times New Roman" w:hAnsi="Times New Roman" w:cs="Times New Roman"/>
          <w:sz w:val="20"/>
          <w:szCs w:val="20"/>
        </w:rPr>
        <w:t xml:space="preserve">. When a new DCI format is introduced to indicate </w:t>
      </w:r>
      <w:r w:rsidR="00511630">
        <w:rPr>
          <w:rFonts w:ascii="Times New Roman" w:hAnsi="Times New Roman" w:cs="Times New Roman"/>
          <w:i/>
          <w:iCs/>
          <w:sz w:val="20"/>
          <w:szCs w:val="20"/>
        </w:rPr>
        <w:t>K</w:t>
      </w:r>
      <w:r>
        <w:rPr>
          <w:rFonts w:ascii="Times New Roman" w:hAnsi="Times New Roman" w:cs="Times New Roman"/>
          <w:sz w:val="20"/>
          <w:szCs w:val="20"/>
        </w:rPr>
        <w:t xml:space="preserve">, then also the gNB may continue to indicate the frequency domain resources for 1 slot only. </w:t>
      </w:r>
    </w:p>
    <w:p w14:paraId="40A78F18" w14:textId="7B2A5633" w:rsidR="00095F1B" w:rsidRPr="00763259" w:rsidRDefault="00095F1B" w:rsidP="000A5BF3">
      <w:pPr>
        <w:pStyle w:val="ListParagraph"/>
        <w:numPr>
          <w:ilvl w:val="0"/>
          <w:numId w:val="25"/>
        </w:numPr>
        <w:jc w:val="both"/>
        <w:rPr>
          <w:rFonts w:ascii="Times New Roman" w:hAnsi="Times New Roman" w:cs="Times New Roman"/>
          <w:iCs/>
          <w:sz w:val="20"/>
          <w:szCs w:val="20"/>
          <w:lang w:val="en-GB"/>
        </w:rPr>
      </w:pPr>
      <w:r>
        <w:rPr>
          <w:rFonts w:ascii="Times New Roman" w:hAnsi="Times New Roman" w:cs="Times New Roman"/>
          <w:sz w:val="20"/>
          <w:szCs w:val="20"/>
          <w:lang w:val="en-GB"/>
        </w:rPr>
        <w:t>Next, the t</w:t>
      </w:r>
      <w:r w:rsidRPr="00ED4520">
        <w:rPr>
          <w:rFonts w:ascii="Times New Roman" w:hAnsi="Times New Roman" w:cs="Times New Roman"/>
          <w:sz w:val="20"/>
          <w:szCs w:val="20"/>
          <w:lang w:val="en-GB"/>
        </w:rPr>
        <w:t xml:space="preserve">ransport block </w:t>
      </w:r>
      <w:r>
        <w:rPr>
          <w:rFonts w:ascii="Times New Roman" w:hAnsi="Times New Roman" w:cs="Times New Roman"/>
          <w:sz w:val="20"/>
          <w:szCs w:val="20"/>
          <w:lang w:val="en-GB"/>
        </w:rPr>
        <w:t xml:space="preserve">size that </w:t>
      </w:r>
      <w:r w:rsidRPr="00ED4520">
        <w:rPr>
          <w:rFonts w:ascii="Times New Roman" w:hAnsi="Times New Roman" w:cs="Times New Roman"/>
          <w:sz w:val="20"/>
          <w:szCs w:val="20"/>
          <w:lang w:val="en-GB"/>
        </w:rPr>
        <w:t>span</w:t>
      </w:r>
      <w:r>
        <w:rPr>
          <w:rFonts w:ascii="Times New Roman" w:hAnsi="Times New Roman" w:cs="Times New Roman"/>
          <w:sz w:val="20"/>
          <w:szCs w:val="20"/>
          <w:lang w:val="en-GB"/>
        </w:rPr>
        <w:t>s</w:t>
      </w:r>
      <w:r w:rsidRPr="00ED4520">
        <w:rPr>
          <w:rFonts w:ascii="Times New Roman" w:hAnsi="Times New Roman" w:cs="Times New Roman"/>
          <w:sz w:val="20"/>
          <w:szCs w:val="20"/>
          <w:lang w:val="en-GB"/>
        </w:rPr>
        <w:t xml:space="preserve"> </w:t>
      </w:r>
      <w:r w:rsidR="00511630">
        <w:rPr>
          <w:rFonts w:ascii="Times New Roman" w:hAnsi="Times New Roman" w:cs="Times New Roman"/>
          <w:i/>
          <w:sz w:val="20"/>
          <w:szCs w:val="20"/>
          <w:lang w:val="en-GB"/>
        </w:rPr>
        <w:t>K</w:t>
      </w:r>
      <w:r w:rsidRPr="00ED4520">
        <w:rPr>
          <w:rFonts w:ascii="Times New Roman" w:hAnsi="Times New Roman" w:cs="Times New Roman"/>
          <w:i/>
          <w:sz w:val="20"/>
          <w:szCs w:val="20"/>
          <w:lang w:val="en-GB"/>
        </w:rPr>
        <w:t xml:space="preserve"> </w:t>
      </w:r>
      <w:r w:rsidRPr="00763259">
        <w:rPr>
          <w:rFonts w:ascii="Times New Roman" w:hAnsi="Times New Roman" w:cs="Times New Roman"/>
          <w:iCs/>
          <w:sz w:val="20"/>
          <w:szCs w:val="20"/>
          <w:lang w:val="en-GB"/>
        </w:rPr>
        <w:t>slots is obtained as,</w:t>
      </w:r>
    </w:p>
    <w:p w14:paraId="77297058" w14:textId="222F8CB8" w:rsidR="00095F1B" w:rsidRPr="00ED4520" w:rsidRDefault="00095F1B" w:rsidP="000A5BF3">
      <w:pPr>
        <w:pStyle w:val="ListParagraph"/>
        <w:ind w:firstLine="720"/>
        <w:jc w:val="both"/>
        <w:rPr>
          <w:rFonts w:ascii="Times New Roman" w:hAnsi="Times New Roman" w:cs="Times New Roman"/>
          <w:sz w:val="20"/>
          <w:szCs w:val="20"/>
          <w:lang w:val="en-GB"/>
        </w:rPr>
      </w:pPr>
      <m:oMath>
        <m:r>
          <m:rPr>
            <m:sty m:val="p"/>
          </m:rPr>
          <w:rPr>
            <w:rFonts w:ascii="Cambria Math" w:hAnsi="Cambria Math" w:cs="Times New Roman"/>
            <w:sz w:val="20"/>
            <w:szCs w:val="20"/>
            <w:lang w:val="en-GB"/>
          </w:rPr>
          <m:t>TB</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S</m:t>
            </m:r>
          </m:e>
          <m:sub>
            <m:r>
              <m:rPr>
                <m:sty m:val="p"/>
              </m:rPr>
              <w:rPr>
                <w:rFonts w:ascii="Cambria Math" w:hAnsi="Cambria Math" w:cs="Times New Roman"/>
                <w:sz w:val="20"/>
                <w:szCs w:val="20"/>
                <w:lang w:val="en-GB"/>
              </w:rPr>
              <m:t>New</m:t>
            </m:r>
          </m:sub>
        </m:sSub>
        <m:r>
          <w:rPr>
            <w:rFonts w:ascii="Cambria Math" w:hAnsi="Cambria Math" w:cs="Times New Roman"/>
            <w:sz w:val="20"/>
            <w:szCs w:val="20"/>
            <w:lang w:val="en-GB"/>
          </w:rPr>
          <m:t xml:space="preserve">=K× </m:t>
        </m:r>
        <m:r>
          <m:rPr>
            <m:sty m:val="b"/>
          </m:rPr>
          <w:rPr>
            <w:rFonts w:ascii="Cambria Math" w:hAnsi="Cambria Math" w:cs="Times New Roman"/>
            <w:sz w:val="20"/>
            <w:szCs w:val="20"/>
            <w:lang w:val="en-GB"/>
          </w:rPr>
          <m:t>TB</m:t>
        </m:r>
      </m:oMath>
      <w:r w:rsidRPr="00ED4520">
        <w:rPr>
          <w:rFonts w:ascii="Times New Roman" w:hAnsi="Times New Roman" w:cs="Times New Roman"/>
          <w:sz w:val="20"/>
          <w:szCs w:val="20"/>
          <w:lang w:val="en-GB"/>
        </w:rPr>
        <w:t xml:space="preserve">. </w:t>
      </w:r>
    </w:p>
    <w:p w14:paraId="0BC7DE00" w14:textId="1DF33D57" w:rsidR="00095F1B" w:rsidRPr="00ED4520" w:rsidRDefault="00095F1B" w:rsidP="000A5BF3">
      <w:pPr>
        <w:pStyle w:val="ListParagraph"/>
        <w:numPr>
          <w:ilvl w:val="0"/>
          <w:numId w:val="25"/>
        </w:numPr>
        <w:jc w:val="both"/>
        <w:rPr>
          <w:rFonts w:ascii="Times New Roman" w:hAnsi="Times New Roman" w:cs="Times New Roman"/>
          <w:sz w:val="20"/>
          <w:szCs w:val="20"/>
          <w:lang w:val="en-GB"/>
        </w:rPr>
      </w:pPr>
      <w:r w:rsidRPr="00ED4520">
        <w:rPr>
          <w:rFonts w:ascii="Times New Roman" w:hAnsi="Times New Roman" w:cs="Times New Roman"/>
          <w:sz w:val="20"/>
          <w:szCs w:val="20"/>
          <w:lang w:val="en-GB"/>
        </w:rPr>
        <w:t xml:space="preserve">Attach a single CRC to </w:t>
      </w:r>
      <m:oMath>
        <m:r>
          <m:rPr>
            <m:sty m:val="p"/>
          </m:rPr>
          <w:rPr>
            <w:rFonts w:ascii="Cambria Math" w:hAnsi="Cambria Math" w:cs="Times New Roman"/>
            <w:sz w:val="20"/>
            <w:szCs w:val="20"/>
            <w:lang w:val="en-GB"/>
          </w:rPr>
          <m:t>TB</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S</m:t>
            </m:r>
          </m:e>
          <m:sub>
            <m:r>
              <m:rPr>
                <m:sty m:val="p"/>
              </m:rPr>
              <w:rPr>
                <w:rFonts w:ascii="Cambria Math" w:hAnsi="Cambria Math" w:cs="Times New Roman"/>
                <w:sz w:val="20"/>
                <w:szCs w:val="20"/>
                <w:lang w:val="en-GB"/>
              </w:rPr>
              <m:t>New</m:t>
            </m:r>
          </m:sub>
        </m:sSub>
      </m:oMath>
      <w:r w:rsidRPr="00ED4520">
        <w:rPr>
          <w:rFonts w:ascii="Times New Roman" w:hAnsi="Times New Roman" w:cs="Times New Roman"/>
          <w:sz w:val="20"/>
          <w:szCs w:val="20"/>
          <w:lang w:val="en-GB"/>
        </w:rPr>
        <w:t xml:space="preserve"> and transmit over </w:t>
      </w:r>
      <w:r w:rsidR="00511630">
        <w:rPr>
          <w:rFonts w:ascii="Times New Roman" w:hAnsi="Times New Roman" w:cs="Times New Roman"/>
          <w:i/>
          <w:sz w:val="20"/>
          <w:szCs w:val="20"/>
          <w:lang w:val="en-GB"/>
        </w:rPr>
        <w:t>K</w:t>
      </w:r>
      <w:r w:rsidRPr="00ED4520">
        <w:rPr>
          <w:rFonts w:ascii="Times New Roman" w:hAnsi="Times New Roman" w:cs="Times New Roman"/>
          <w:i/>
          <w:sz w:val="20"/>
          <w:szCs w:val="20"/>
          <w:lang w:val="en-GB"/>
        </w:rPr>
        <w:t xml:space="preserve"> slots</w:t>
      </w:r>
      <w:r w:rsidRPr="00730C22">
        <w:rPr>
          <w:rFonts w:ascii="Times New Roman" w:hAnsi="Times New Roman" w:cs="Times New Roman"/>
          <w:iCs/>
          <w:sz w:val="20"/>
          <w:szCs w:val="20"/>
          <w:lang w:val="en-GB"/>
        </w:rPr>
        <w:t xml:space="preserve"> over the </w:t>
      </w:r>
      <w:r>
        <w:rPr>
          <w:rFonts w:ascii="Times New Roman" w:hAnsi="Times New Roman" w:cs="Times New Roman"/>
          <w:iCs/>
          <w:sz w:val="20"/>
          <w:szCs w:val="20"/>
          <w:lang w:val="en-GB"/>
        </w:rPr>
        <w:t xml:space="preserve">same number of </w:t>
      </w:r>
      <w:r w:rsidRPr="00730C22">
        <w:rPr>
          <w:rFonts w:ascii="Times New Roman" w:hAnsi="Times New Roman" w:cs="Times New Roman"/>
          <w:iCs/>
          <w:sz w:val="20"/>
          <w:szCs w:val="20"/>
          <w:lang w:val="en-GB"/>
        </w:rPr>
        <w:t>frequency resources indicated in step-1.</w:t>
      </w:r>
    </w:p>
    <w:p w14:paraId="0D9C6D8F" w14:textId="63A900B3" w:rsidR="00095F1B" w:rsidRPr="00ED4520" w:rsidRDefault="00095F1B" w:rsidP="000A5BF3">
      <w:pPr>
        <w:pStyle w:val="ListParagraph"/>
        <w:numPr>
          <w:ilvl w:val="0"/>
          <w:numId w:val="25"/>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Pr="00ED4520">
        <w:rPr>
          <w:rFonts w:ascii="Times New Roman" w:hAnsi="Times New Roman" w:cs="Times New Roman"/>
          <w:sz w:val="20"/>
          <w:szCs w:val="20"/>
          <w:lang w:val="en-GB"/>
        </w:rPr>
        <w:t xml:space="preserve">CRC </w:t>
      </w:r>
      <w:r>
        <w:rPr>
          <w:rFonts w:ascii="Times New Roman" w:hAnsi="Times New Roman" w:cs="Times New Roman"/>
          <w:sz w:val="20"/>
          <w:szCs w:val="20"/>
          <w:lang w:val="en-GB"/>
        </w:rPr>
        <w:t xml:space="preserve">removal </w:t>
      </w:r>
      <w:r w:rsidRPr="00ED4520">
        <w:rPr>
          <w:rFonts w:ascii="Times New Roman" w:hAnsi="Times New Roman" w:cs="Times New Roman"/>
          <w:sz w:val="20"/>
          <w:szCs w:val="20"/>
          <w:lang w:val="en-GB"/>
        </w:rPr>
        <w:t xml:space="preserve">at the receiver is performed after the reception of </w:t>
      </w:r>
      <w:r w:rsidR="00511630">
        <w:rPr>
          <w:rFonts w:ascii="Times New Roman" w:hAnsi="Times New Roman" w:cs="Times New Roman"/>
          <w:i/>
          <w:sz w:val="20"/>
          <w:szCs w:val="20"/>
          <w:lang w:val="en-GB"/>
        </w:rPr>
        <w:t>K</w:t>
      </w:r>
      <w:r w:rsidRPr="00ED4520">
        <w:rPr>
          <w:rFonts w:ascii="Times New Roman" w:hAnsi="Times New Roman" w:cs="Times New Roman"/>
          <w:i/>
          <w:sz w:val="20"/>
          <w:szCs w:val="20"/>
          <w:lang w:val="en-GB"/>
        </w:rPr>
        <w:t xml:space="preserve"> </w:t>
      </w:r>
      <w:r w:rsidRPr="00ED1289">
        <w:rPr>
          <w:rFonts w:ascii="Times New Roman" w:hAnsi="Times New Roman" w:cs="Times New Roman"/>
          <w:iCs/>
          <w:sz w:val="20"/>
          <w:szCs w:val="20"/>
          <w:lang w:val="en-GB"/>
        </w:rPr>
        <w:t>slots</w:t>
      </w:r>
      <w:r w:rsidRPr="00ED4520">
        <w:rPr>
          <w:rFonts w:ascii="Times New Roman" w:hAnsi="Times New Roman" w:cs="Times New Roman"/>
          <w:i/>
          <w:sz w:val="20"/>
          <w:szCs w:val="20"/>
          <w:lang w:val="en-GB"/>
        </w:rPr>
        <w:t>.</w:t>
      </w:r>
    </w:p>
    <w:p w14:paraId="72673911" w14:textId="7D21182A" w:rsidR="00FE2FC9" w:rsidRPr="00FE2FC9" w:rsidRDefault="00FE2FC9" w:rsidP="000A5BF3">
      <w:pPr>
        <w:jc w:val="both"/>
        <w:rPr>
          <w:lang w:val="en-GB"/>
        </w:rPr>
      </w:pPr>
      <w:r w:rsidRPr="00FE2FC9">
        <w:rPr>
          <w:lang w:val="en-GB"/>
        </w:rPr>
        <w:t>Th</w:t>
      </w:r>
      <w:r>
        <w:rPr>
          <w:lang w:val="en-GB"/>
        </w:rPr>
        <w:t>e</w:t>
      </w:r>
      <w:r w:rsidRPr="00FE2FC9">
        <w:rPr>
          <w:lang w:val="en-GB"/>
        </w:rPr>
        <w:t xml:space="preserve"> parameter </w:t>
      </w:r>
      <w:r w:rsidRPr="00FE2FC9">
        <w:rPr>
          <w:i/>
          <w:lang w:val="en-GB"/>
        </w:rPr>
        <w:t>K</w:t>
      </w:r>
      <w:r>
        <w:rPr>
          <w:lang w:val="en-GB"/>
        </w:rPr>
        <w:t xml:space="preserve"> </w:t>
      </w:r>
      <w:r w:rsidRPr="00FE2FC9">
        <w:rPr>
          <w:lang w:val="en-GB"/>
        </w:rPr>
        <w:t xml:space="preserve">can be signalled semi-statically to a coverage limited UE as identified by the base station via RRC signalling or via DCI signalling through a new DCI format dedicated for coverage limited UEs with small payload size which can be decoded even under extreme coverage conditions.  </w:t>
      </w:r>
    </w:p>
    <w:p w14:paraId="37B1F983" w14:textId="77777777" w:rsidR="00095F1B" w:rsidRDefault="00095F1B" w:rsidP="000A5BF3">
      <w:pPr>
        <w:overflowPunct/>
        <w:autoSpaceDE/>
        <w:autoSpaceDN/>
        <w:adjustRightInd/>
        <w:spacing w:after="0" w:line="252" w:lineRule="auto"/>
        <w:jc w:val="both"/>
      </w:pPr>
    </w:p>
    <w:p w14:paraId="7D60DB35" w14:textId="6C675593" w:rsidR="00E975B2" w:rsidRPr="000D190E" w:rsidRDefault="00E975B2" w:rsidP="000A5BF3">
      <w:pPr>
        <w:overflowPunct/>
        <w:autoSpaceDE/>
        <w:autoSpaceDN/>
        <w:adjustRightInd/>
        <w:spacing w:after="0" w:line="252" w:lineRule="auto"/>
        <w:jc w:val="both"/>
        <w:rPr>
          <w:b/>
          <w:i/>
        </w:rPr>
      </w:pPr>
      <w:r w:rsidRPr="000D190E">
        <w:rPr>
          <w:b/>
          <w:i/>
        </w:rPr>
        <w:t>Proposal: N_info is calculated based on the number of REs determined in the first L symbols over which the TBoMS transmission is allocated, scaled by K≥1</w:t>
      </w:r>
      <w:r w:rsidR="00E76D80" w:rsidRPr="000D190E">
        <w:rPr>
          <w:b/>
          <w:i/>
        </w:rPr>
        <w:t xml:space="preserve">, </w:t>
      </w:r>
      <w:r w:rsidR="0077742E">
        <w:rPr>
          <w:b/>
          <w:i/>
        </w:rPr>
        <w:t>where K</w:t>
      </w:r>
      <w:r w:rsidR="00E76D80" w:rsidRPr="000D190E">
        <w:rPr>
          <w:b/>
          <w:i/>
        </w:rPr>
        <w:t xml:space="preserve"> is the number of slots over which TBoMS performed</w:t>
      </w:r>
      <w:r w:rsidRPr="000D190E">
        <w:rPr>
          <w:b/>
          <w:i/>
        </w:rPr>
        <w:t>.</w:t>
      </w:r>
    </w:p>
    <w:p w14:paraId="648BFE0E" w14:textId="77777777" w:rsidR="00704FFB" w:rsidRDefault="00704FFB" w:rsidP="000A5BF3">
      <w:pPr>
        <w:jc w:val="both"/>
      </w:pPr>
    </w:p>
    <w:p w14:paraId="5F28508B" w14:textId="20046B10" w:rsidR="00127F9C" w:rsidRDefault="00127F9C" w:rsidP="000A5BF3">
      <w:pPr>
        <w:jc w:val="both"/>
      </w:pPr>
      <w:r>
        <w:t xml:space="preserve">One pending issue to handle is to decide how to handle slots where there could be a potential collision between PUCCH and the TBoMS transmissions in some future slots. One potential mechanism to handle this is to </w:t>
      </w:r>
      <w:r w:rsidR="00972944">
        <w:t xml:space="preserve">treat this similar to eMBB-URLLC multiplexing </w:t>
      </w:r>
      <w:r w:rsidR="00E039EB">
        <w:t xml:space="preserve">feature </w:t>
      </w:r>
      <w:r w:rsidR="00972944">
        <w:t>that was handled in Rel-15 and Rel-16.</w:t>
      </w:r>
    </w:p>
    <w:p w14:paraId="23CE417F" w14:textId="500B453A" w:rsidR="00F12A11" w:rsidRPr="00723EEE" w:rsidRDefault="00F12A11" w:rsidP="000A5BF3">
      <w:pPr>
        <w:pStyle w:val="Heading3"/>
        <w:jc w:val="both"/>
        <w:rPr>
          <w:rFonts w:ascii="Times New Roman" w:hAnsi="Times New Roman"/>
          <w:b/>
          <w:bCs/>
        </w:rPr>
      </w:pPr>
      <w:r w:rsidRPr="00723EEE">
        <w:rPr>
          <w:rFonts w:ascii="Times New Roman" w:hAnsi="Times New Roman"/>
          <w:b/>
          <w:bCs/>
        </w:rPr>
        <w:t>Calculation of N_oh_prb</w:t>
      </w:r>
    </w:p>
    <w:p w14:paraId="66CDA5F2" w14:textId="264D3FD0" w:rsidR="00F71181" w:rsidRPr="00F71181" w:rsidRDefault="00F71181" w:rsidP="000A5BF3">
      <w:pPr>
        <w:jc w:val="both"/>
        <w:rPr>
          <w:bCs/>
          <w:iCs/>
        </w:rPr>
      </w:pPr>
      <w:r w:rsidRPr="00F71181">
        <w:rPr>
          <w:bCs/>
          <w:iCs/>
        </w:rPr>
        <w:t>As per the previous proposals,</w:t>
      </w:r>
      <w:r>
        <w:rPr>
          <w:bCs/>
          <w:iCs/>
        </w:rPr>
        <w:t xml:space="preserve"> when the same allocation is assumed and type-A mechanism is used, it is straightforward to assume that the overhead calculation remains same across all slots over which TBoMS is performed. </w:t>
      </w:r>
    </w:p>
    <w:p w14:paraId="5CAC48F9" w14:textId="30311A60" w:rsidR="00095F1B" w:rsidRPr="00204756" w:rsidRDefault="00E76D80" w:rsidP="000A5BF3">
      <w:pPr>
        <w:jc w:val="both"/>
        <w:rPr>
          <w:b/>
          <w:i/>
        </w:rPr>
      </w:pPr>
      <w:r w:rsidRPr="00204756">
        <w:rPr>
          <w:b/>
          <w:i/>
        </w:rPr>
        <w:t xml:space="preserve">Proposal: </w:t>
      </w:r>
      <w:r w:rsidR="00FE2FC9" w:rsidRPr="00204756">
        <w:rPr>
          <w:b/>
          <w:i/>
        </w:rPr>
        <w:t>Same o</w:t>
      </w:r>
      <w:r w:rsidR="00095F1B" w:rsidRPr="00204756">
        <w:rPr>
          <w:b/>
          <w:i/>
        </w:rPr>
        <w:t>ve</w:t>
      </w:r>
      <w:r w:rsidR="00FE2FC9" w:rsidRPr="00204756">
        <w:rPr>
          <w:b/>
          <w:i/>
        </w:rPr>
        <w:t>r</w:t>
      </w:r>
      <w:r w:rsidR="00095F1B" w:rsidRPr="00204756">
        <w:rPr>
          <w:b/>
          <w:i/>
        </w:rPr>
        <w:t>he</w:t>
      </w:r>
      <w:r w:rsidR="00E975B2" w:rsidRPr="00204756">
        <w:rPr>
          <w:b/>
          <w:i/>
        </w:rPr>
        <w:t>ad is assumed for all the slot</w:t>
      </w:r>
      <w:r w:rsidR="00095F1B" w:rsidRPr="00204756">
        <w:rPr>
          <w:b/>
          <w:i/>
        </w:rPr>
        <w:t>s</w:t>
      </w:r>
      <w:r w:rsidR="00E975B2" w:rsidRPr="00204756">
        <w:rPr>
          <w:b/>
          <w:i/>
        </w:rPr>
        <w:t xml:space="preserve"> </w:t>
      </w:r>
      <w:r w:rsidR="00FE2FC9" w:rsidRPr="00204756">
        <w:rPr>
          <w:b/>
          <w:i/>
        </w:rPr>
        <w:t>over which TBoMS transmission</w:t>
      </w:r>
      <w:r w:rsidR="00095F1B" w:rsidRPr="00204756">
        <w:rPr>
          <w:b/>
          <w:i/>
        </w:rPr>
        <w:t xml:space="preserve"> is performed.</w:t>
      </w:r>
    </w:p>
    <w:p w14:paraId="4E77C901" w14:textId="04431622" w:rsidR="00082F7C" w:rsidRDefault="00082F7C" w:rsidP="000A5BF3">
      <w:pPr>
        <w:pStyle w:val="Heading3"/>
        <w:jc w:val="both"/>
        <w:rPr>
          <w:rFonts w:ascii="Times New Roman" w:hAnsi="Times New Roman"/>
          <w:b/>
          <w:bCs/>
        </w:rPr>
      </w:pPr>
      <w:r>
        <w:rPr>
          <w:rFonts w:ascii="Times New Roman" w:hAnsi="Times New Roman"/>
          <w:b/>
          <w:bCs/>
        </w:rPr>
        <w:t>Other issues</w:t>
      </w:r>
    </w:p>
    <w:p w14:paraId="1CB4C51C" w14:textId="1D7BB092" w:rsidR="00082F7C" w:rsidRDefault="00082F7C" w:rsidP="000A5BF3">
      <w:pPr>
        <w:jc w:val="both"/>
        <w:rPr>
          <w:lang w:val="en-GB"/>
        </w:rPr>
      </w:pPr>
      <w:r>
        <w:rPr>
          <w:lang w:val="en-GB"/>
        </w:rPr>
        <w:t xml:space="preserve">The UE may be semi-statically indicated to switch between TBoMS and single slot processing. We do not see any motivation for the UE to switch dynamically between these two transmission methods. </w:t>
      </w:r>
    </w:p>
    <w:p w14:paraId="2D318AF6" w14:textId="00172F23" w:rsidR="00082F7C" w:rsidRDefault="00082F7C" w:rsidP="000A5BF3">
      <w:pPr>
        <w:jc w:val="both"/>
        <w:rPr>
          <w:b/>
          <w:bCs/>
          <w:i/>
          <w:iCs/>
          <w:lang w:val="en-GB"/>
        </w:rPr>
      </w:pPr>
      <w:r w:rsidRPr="00082F7C">
        <w:rPr>
          <w:b/>
          <w:bCs/>
          <w:i/>
          <w:iCs/>
          <w:lang w:val="en-GB"/>
        </w:rPr>
        <w:t>Proposal:</w:t>
      </w:r>
      <w:r>
        <w:rPr>
          <w:b/>
          <w:bCs/>
          <w:i/>
          <w:iCs/>
          <w:lang w:val="en-GB"/>
        </w:rPr>
        <w:t xml:space="preserve"> Support semi-static switching between TBoMS and single slot transmission.</w:t>
      </w:r>
    </w:p>
    <w:p w14:paraId="147801E6" w14:textId="5B4FAE8F" w:rsidR="00F15415" w:rsidRDefault="00F15415" w:rsidP="000A5BF3">
      <w:pPr>
        <w:jc w:val="both"/>
        <w:rPr>
          <w:lang w:val="en-GB"/>
        </w:rPr>
      </w:pPr>
      <w:r w:rsidRPr="00F15415">
        <w:rPr>
          <w:lang w:val="en-GB"/>
        </w:rPr>
        <w:t>If the</w:t>
      </w:r>
      <w:r>
        <w:rPr>
          <w:lang w:val="en-GB"/>
        </w:rPr>
        <w:t xml:space="preserve"> number of PRBs that are used in TBoMS is not restricted, then the number of slots that are to be aggregated for TBoMS must be restricted to satisfy the TB constraints. This number may be extended beyond the Rel-16 capabilities to maximize the coverage gains. </w:t>
      </w:r>
    </w:p>
    <w:p w14:paraId="1AE87F4A" w14:textId="2EF51BDD" w:rsidR="00130772" w:rsidRPr="00130772" w:rsidRDefault="00130772" w:rsidP="000A5BF3">
      <w:pPr>
        <w:jc w:val="both"/>
        <w:rPr>
          <w:b/>
          <w:bCs/>
          <w:i/>
          <w:iCs/>
          <w:lang w:val="en-GB"/>
        </w:rPr>
      </w:pPr>
      <w:r w:rsidRPr="00130772">
        <w:rPr>
          <w:b/>
          <w:bCs/>
          <w:i/>
          <w:iCs/>
          <w:lang w:val="en-GB"/>
        </w:rPr>
        <w:t xml:space="preserve">Proposal: If N_prb </w:t>
      </w:r>
      <w:r w:rsidR="008603AE">
        <w:rPr>
          <w:b/>
          <w:bCs/>
          <w:i/>
          <w:iCs/>
          <w:lang w:val="en-GB"/>
        </w:rPr>
        <w:t xml:space="preserve">used for TBoMS </w:t>
      </w:r>
      <w:r w:rsidRPr="00130772">
        <w:rPr>
          <w:b/>
          <w:bCs/>
          <w:i/>
          <w:iCs/>
          <w:lang w:val="en-GB"/>
        </w:rPr>
        <w:t>is not restricted, then a restriction on the number of slots aggregated for TBoM</w:t>
      </w:r>
      <w:r>
        <w:rPr>
          <w:b/>
          <w:bCs/>
          <w:i/>
          <w:iCs/>
          <w:lang w:val="en-GB"/>
        </w:rPr>
        <w:t>S</w:t>
      </w:r>
      <w:r w:rsidR="00B34AC2">
        <w:rPr>
          <w:b/>
          <w:bCs/>
          <w:i/>
          <w:iCs/>
          <w:lang w:val="en-GB"/>
        </w:rPr>
        <w:t xml:space="preserve"> is required.</w:t>
      </w:r>
    </w:p>
    <w:p w14:paraId="48C01183" w14:textId="039A88B5" w:rsidR="0067749C" w:rsidRPr="00577109" w:rsidRDefault="0067749C" w:rsidP="00577109">
      <w:pPr>
        <w:pStyle w:val="Heading1"/>
        <w:jc w:val="both"/>
        <w:rPr>
          <w:rFonts w:ascii="Times New Roman" w:hAnsi="Times New Roman"/>
          <w:sz w:val="32"/>
        </w:rPr>
      </w:pPr>
      <w:r w:rsidRPr="00577109">
        <w:rPr>
          <w:rFonts w:ascii="Times New Roman" w:hAnsi="Times New Roman"/>
          <w:sz w:val="32"/>
        </w:rPr>
        <w:lastRenderedPageBreak/>
        <w:t>References</w:t>
      </w:r>
    </w:p>
    <w:p w14:paraId="1EEAA625" w14:textId="4F6A6930" w:rsidR="00F3683D" w:rsidRPr="00894875" w:rsidRDefault="000016DF" w:rsidP="00FD1B35">
      <w:pPr>
        <w:jc w:val="both"/>
        <w:rPr>
          <w:bCs/>
          <w:iCs/>
        </w:rPr>
      </w:pPr>
      <w:r w:rsidRPr="00567C4D" w:rsidDel="000016DF">
        <w:rPr>
          <w:bCs/>
          <w:iCs/>
        </w:rPr>
        <w:t xml:space="preserve"> </w:t>
      </w:r>
      <w:r w:rsidR="00F3683D" w:rsidRPr="00894875">
        <w:rPr>
          <w:bCs/>
          <w:iCs/>
        </w:rPr>
        <w:t>[</w:t>
      </w:r>
      <w:r w:rsidR="00F824C2">
        <w:rPr>
          <w:bCs/>
          <w:iCs/>
        </w:rPr>
        <w:t>1</w:t>
      </w:r>
      <w:r w:rsidR="00F3683D" w:rsidRPr="00894875">
        <w:rPr>
          <w:bCs/>
          <w:iCs/>
        </w:rPr>
        <w:t>] RAN1 Chairman</w:t>
      </w:r>
      <w:r w:rsidR="00BF12A9" w:rsidRPr="00894875">
        <w:rPr>
          <w:bCs/>
          <w:iCs/>
        </w:rPr>
        <w:t>’</w:t>
      </w:r>
      <w:r w:rsidR="00F3683D" w:rsidRPr="00894875">
        <w:rPr>
          <w:bCs/>
          <w:iCs/>
        </w:rPr>
        <w:t>s Report, RAN1#10</w:t>
      </w:r>
      <w:r>
        <w:rPr>
          <w:bCs/>
          <w:iCs/>
        </w:rPr>
        <w:t>4</w:t>
      </w:r>
      <w:r w:rsidR="00F3683D" w:rsidRPr="00894875">
        <w:rPr>
          <w:bCs/>
          <w:iCs/>
        </w:rPr>
        <w:t xml:space="preserve">e, </w:t>
      </w:r>
      <w:r>
        <w:rPr>
          <w:bCs/>
          <w:iCs/>
        </w:rPr>
        <w:t>January</w:t>
      </w:r>
      <w:r w:rsidR="00F3683D" w:rsidRPr="00894875">
        <w:rPr>
          <w:bCs/>
          <w:iCs/>
        </w:rPr>
        <w:t xml:space="preserve"> 202</w:t>
      </w:r>
      <w:r>
        <w:rPr>
          <w:bCs/>
          <w:iCs/>
        </w:rPr>
        <w:t>1</w:t>
      </w:r>
      <w:r w:rsidR="00F3683D" w:rsidRPr="00894875">
        <w:rPr>
          <w:bCs/>
          <w:iCs/>
        </w:rPr>
        <w:t>.</w:t>
      </w:r>
    </w:p>
    <w:p w14:paraId="5C54337B" w14:textId="405240B0" w:rsidR="00BF12A9" w:rsidRPr="00894875" w:rsidRDefault="001934FC" w:rsidP="00BF12A9">
      <w:pPr>
        <w:jc w:val="both"/>
        <w:rPr>
          <w:bCs/>
          <w:iCs/>
        </w:rPr>
      </w:pPr>
      <w:r w:rsidRPr="00894875">
        <w:rPr>
          <w:bCs/>
          <w:iCs/>
        </w:rPr>
        <w:t>[</w:t>
      </w:r>
      <w:r w:rsidR="00F824C2">
        <w:rPr>
          <w:bCs/>
          <w:iCs/>
        </w:rPr>
        <w:t>2</w:t>
      </w:r>
      <w:r w:rsidRPr="00894875">
        <w:rPr>
          <w:bCs/>
          <w:iCs/>
        </w:rPr>
        <w:t xml:space="preserve">] </w:t>
      </w:r>
      <w:r w:rsidR="00BF12A9" w:rsidRPr="00894875">
        <w:rPr>
          <w:bCs/>
          <w:iCs/>
        </w:rPr>
        <w:t>R1-2007905, PUSCH coverage enhancements, IITH, CeWiT, IITM, Reliance Jio, Tejas Networks.</w:t>
      </w:r>
    </w:p>
    <w:p w14:paraId="4D0126D5" w14:textId="2E886925" w:rsidR="00894875" w:rsidRDefault="00894875" w:rsidP="00894875">
      <w:pPr>
        <w:spacing w:after="60"/>
        <w:ind w:left="1555" w:hanging="1555"/>
        <w:jc w:val="both"/>
        <w:rPr>
          <w:bCs/>
          <w:iCs/>
        </w:rPr>
      </w:pPr>
      <w:r w:rsidRPr="00894875">
        <w:rPr>
          <w:bCs/>
          <w:iCs/>
        </w:rPr>
        <w:t>[</w:t>
      </w:r>
      <w:r w:rsidR="00F824C2">
        <w:rPr>
          <w:bCs/>
          <w:iCs/>
        </w:rPr>
        <w:t>3</w:t>
      </w:r>
      <w:r w:rsidRPr="00894875">
        <w:rPr>
          <w:bCs/>
          <w:iCs/>
        </w:rPr>
        <w:t>] R1-</w:t>
      </w:r>
      <w:r w:rsidRPr="00894875">
        <w:rPr>
          <w:color w:val="000000" w:themeColor="text1"/>
          <w:kern w:val="2"/>
          <w:lang w:eastAsia="zh-CN"/>
        </w:rPr>
        <w:t>2101406</w:t>
      </w:r>
      <w:r w:rsidRPr="00894875">
        <w:rPr>
          <w:bCs/>
          <w:iCs/>
        </w:rPr>
        <w:t xml:space="preserve">, </w:t>
      </w:r>
      <w:r w:rsidRPr="00894875">
        <w:rPr>
          <w:color w:val="000000" w:themeColor="text1"/>
          <w:kern w:val="2"/>
          <w:lang w:eastAsia="zh-CN"/>
        </w:rPr>
        <w:t>On TB processing over multiple slots for PUSCH</w:t>
      </w:r>
      <w:r w:rsidRPr="00894875">
        <w:rPr>
          <w:bCs/>
          <w:iCs/>
        </w:rPr>
        <w:t xml:space="preserve">, IITH, CeWiT, IITM, </w:t>
      </w:r>
      <w:r w:rsidRPr="00204756">
        <w:rPr>
          <w:bCs/>
          <w:i/>
        </w:rPr>
        <w:t>Reliance</w:t>
      </w:r>
      <w:r w:rsidRPr="00894875">
        <w:rPr>
          <w:bCs/>
          <w:iCs/>
        </w:rPr>
        <w:t xml:space="preserve"> Jio, Tejas </w:t>
      </w:r>
    </w:p>
    <w:p w14:paraId="25DC32B6" w14:textId="70C177F9" w:rsidR="00A77C7F" w:rsidRPr="00DE049F" w:rsidRDefault="00894875" w:rsidP="00894875">
      <w:pPr>
        <w:spacing w:after="60"/>
        <w:ind w:left="1555" w:hanging="1555"/>
        <w:jc w:val="both"/>
        <w:rPr>
          <w:bCs/>
          <w:iCs/>
        </w:rPr>
      </w:pPr>
      <w:r w:rsidRPr="00894875">
        <w:rPr>
          <w:bCs/>
          <w:iCs/>
        </w:rPr>
        <w:t>Networks.</w:t>
      </w:r>
    </w:p>
    <w:sectPr w:rsidR="00A77C7F" w:rsidRPr="00DE049F" w:rsidSect="007957F2">
      <w:headerReference w:type="default" r:id="rId8"/>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AF9F2" w14:textId="77777777" w:rsidR="006B3370" w:rsidRDefault="006B3370" w:rsidP="00595CED">
      <w:pPr>
        <w:spacing w:after="0"/>
      </w:pPr>
      <w:r>
        <w:separator/>
      </w:r>
    </w:p>
  </w:endnote>
  <w:endnote w:type="continuationSeparator" w:id="0">
    <w:p w14:paraId="7829A8CD" w14:textId="77777777" w:rsidR="006B3370" w:rsidRDefault="006B3370"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56247" w14:textId="77777777" w:rsidR="006B3370" w:rsidRDefault="006B3370" w:rsidP="00595CED">
      <w:pPr>
        <w:spacing w:after="0"/>
      </w:pPr>
      <w:r>
        <w:separator/>
      </w:r>
    </w:p>
  </w:footnote>
  <w:footnote w:type="continuationSeparator" w:id="0">
    <w:p w14:paraId="7888F716" w14:textId="77777777" w:rsidR="006B3370" w:rsidRDefault="006B3370"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0FAB5" w14:textId="1692914F" w:rsidR="00B03DF4" w:rsidRDefault="00B03DF4">
    <w:pPr>
      <w:pStyle w:val="Header"/>
    </w:pPr>
  </w:p>
  <w:p w14:paraId="0FDD4D0F" w14:textId="77777777" w:rsidR="00B03DF4" w:rsidRDefault="00B0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E5F231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5C6F09"/>
    <w:multiLevelType w:val="multilevel"/>
    <w:tmpl w:val="DD186918"/>
    <w:lvl w:ilvl="0">
      <w:start w:val="1"/>
      <w:numFmt w:val="decimal"/>
      <w:pStyle w:val="Heading1"/>
      <w:lvlText w:val="%1"/>
      <w:lvlJc w:val="left"/>
      <w:pPr>
        <w:ind w:left="432" w:hanging="432"/>
      </w:pPr>
      <w:rPr>
        <w:rFonts w:ascii="Times New Roman" w:hAnsi="Times New Roman" w:cs="Times New Roman" w:hint="default"/>
      </w:rPr>
    </w:lvl>
    <w:lvl w:ilvl="1">
      <w:start w:val="1"/>
      <w:numFmt w:val="decimal"/>
      <w:pStyle w:val="Heading2"/>
      <w:lvlText w:val="%1.%2"/>
      <w:lvlJc w:val="left"/>
      <w:pPr>
        <w:ind w:left="576" w:hanging="576"/>
      </w:pPr>
    </w:lvl>
    <w:lvl w:ilvl="2">
      <w:start w:val="1"/>
      <w:numFmt w:val="decimal"/>
      <w:pStyle w:val="Heading3"/>
      <w:lvlText w:val="%1.%2.%3"/>
      <w:lvlJc w:val="left"/>
      <w:pPr>
        <w:ind w:left="426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393A5D"/>
    <w:multiLevelType w:val="hybridMultilevel"/>
    <w:tmpl w:val="C08AE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B236A"/>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FDB0380"/>
    <w:multiLevelType w:val="hybridMultilevel"/>
    <w:tmpl w:val="F540410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5220E"/>
    <w:multiLevelType w:val="hybridMultilevel"/>
    <w:tmpl w:val="40DA43F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3" w15:restartNumberingAfterBreak="0">
    <w:nsid w:val="2C711C9C"/>
    <w:multiLevelType w:val="hybridMultilevel"/>
    <w:tmpl w:val="AC20E4BE"/>
    <w:lvl w:ilvl="0" w:tplc="F16ED15E">
      <w:start w:val="1"/>
      <w:numFmt w:val="bullet"/>
      <w:lvlText w:val="•"/>
      <w:lvlJc w:val="left"/>
      <w:pPr>
        <w:tabs>
          <w:tab w:val="num" w:pos="720"/>
        </w:tabs>
        <w:ind w:left="720" w:hanging="360"/>
      </w:pPr>
      <w:rPr>
        <w:rFonts w:ascii="Arial" w:hAnsi="Arial" w:hint="default"/>
      </w:rPr>
    </w:lvl>
    <w:lvl w:ilvl="1" w:tplc="A240F6E2" w:tentative="1">
      <w:start w:val="1"/>
      <w:numFmt w:val="bullet"/>
      <w:lvlText w:val="•"/>
      <w:lvlJc w:val="left"/>
      <w:pPr>
        <w:tabs>
          <w:tab w:val="num" w:pos="1440"/>
        </w:tabs>
        <w:ind w:left="1440" w:hanging="360"/>
      </w:pPr>
      <w:rPr>
        <w:rFonts w:ascii="Arial" w:hAnsi="Arial" w:hint="default"/>
      </w:rPr>
    </w:lvl>
    <w:lvl w:ilvl="2" w:tplc="E12E2CE4" w:tentative="1">
      <w:start w:val="1"/>
      <w:numFmt w:val="bullet"/>
      <w:lvlText w:val="•"/>
      <w:lvlJc w:val="left"/>
      <w:pPr>
        <w:tabs>
          <w:tab w:val="num" w:pos="2160"/>
        </w:tabs>
        <w:ind w:left="2160" w:hanging="360"/>
      </w:pPr>
      <w:rPr>
        <w:rFonts w:ascii="Arial" w:hAnsi="Arial" w:hint="default"/>
      </w:rPr>
    </w:lvl>
    <w:lvl w:ilvl="3" w:tplc="918ABE8A" w:tentative="1">
      <w:start w:val="1"/>
      <w:numFmt w:val="bullet"/>
      <w:lvlText w:val="•"/>
      <w:lvlJc w:val="left"/>
      <w:pPr>
        <w:tabs>
          <w:tab w:val="num" w:pos="2880"/>
        </w:tabs>
        <w:ind w:left="2880" w:hanging="360"/>
      </w:pPr>
      <w:rPr>
        <w:rFonts w:ascii="Arial" w:hAnsi="Arial" w:hint="default"/>
      </w:rPr>
    </w:lvl>
    <w:lvl w:ilvl="4" w:tplc="5CA20526" w:tentative="1">
      <w:start w:val="1"/>
      <w:numFmt w:val="bullet"/>
      <w:lvlText w:val="•"/>
      <w:lvlJc w:val="left"/>
      <w:pPr>
        <w:tabs>
          <w:tab w:val="num" w:pos="3600"/>
        </w:tabs>
        <w:ind w:left="3600" w:hanging="360"/>
      </w:pPr>
      <w:rPr>
        <w:rFonts w:ascii="Arial" w:hAnsi="Arial" w:hint="default"/>
      </w:rPr>
    </w:lvl>
    <w:lvl w:ilvl="5" w:tplc="F0D6E05E" w:tentative="1">
      <w:start w:val="1"/>
      <w:numFmt w:val="bullet"/>
      <w:lvlText w:val="•"/>
      <w:lvlJc w:val="left"/>
      <w:pPr>
        <w:tabs>
          <w:tab w:val="num" w:pos="4320"/>
        </w:tabs>
        <w:ind w:left="4320" w:hanging="360"/>
      </w:pPr>
      <w:rPr>
        <w:rFonts w:ascii="Arial" w:hAnsi="Arial" w:hint="default"/>
      </w:rPr>
    </w:lvl>
    <w:lvl w:ilvl="6" w:tplc="017C53D2" w:tentative="1">
      <w:start w:val="1"/>
      <w:numFmt w:val="bullet"/>
      <w:lvlText w:val="•"/>
      <w:lvlJc w:val="left"/>
      <w:pPr>
        <w:tabs>
          <w:tab w:val="num" w:pos="5040"/>
        </w:tabs>
        <w:ind w:left="5040" w:hanging="360"/>
      </w:pPr>
      <w:rPr>
        <w:rFonts w:ascii="Arial" w:hAnsi="Arial" w:hint="default"/>
      </w:rPr>
    </w:lvl>
    <w:lvl w:ilvl="7" w:tplc="FD6A6CE8" w:tentative="1">
      <w:start w:val="1"/>
      <w:numFmt w:val="bullet"/>
      <w:lvlText w:val="•"/>
      <w:lvlJc w:val="left"/>
      <w:pPr>
        <w:tabs>
          <w:tab w:val="num" w:pos="5760"/>
        </w:tabs>
        <w:ind w:left="5760" w:hanging="360"/>
      </w:pPr>
      <w:rPr>
        <w:rFonts w:ascii="Arial" w:hAnsi="Arial" w:hint="default"/>
      </w:rPr>
    </w:lvl>
    <w:lvl w:ilvl="8" w:tplc="6408FC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3272"/>
        </w:tabs>
        <w:ind w:left="327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7673B9C"/>
    <w:multiLevelType w:val="hybridMultilevel"/>
    <w:tmpl w:val="349CAEB4"/>
    <w:lvl w:ilvl="0" w:tplc="4009000F">
      <w:start w:val="1"/>
      <w:numFmt w:val="decimal"/>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8" w15:restartNumberingAfterBreak="0">
    <w:nsid w:val="37D82033"/>
    <w:multiLevelType w:val="hybridMultilevel"/>
    <w:tmpl w:val="D4A691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EF7399"/>
    <w:multiLevelType w:val="hybridMultilevel"/>
    <w:tmpl w:val="F24610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89656EB"/>
    <w:multiLevelType w:val="hybridMultilevel"/>
    <w:tmpl w:val="F2647978"/>
    <w:lvl w:ilvl="0" w:tplc="A732D31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4AE212DD"/>
    <w:multiLevelType w:val="hybridMultilevel"/>
    <w:tmpl w:val="6E4830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652463F"/>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89A5A63"/>
    <w:multiLevelType w:val="hybridMultilevel"/>
    <w:tmpl w:val="7F927D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7D2710"/>
    <w:multiLevelType w:val="hybridMultilevel"/>
    <w:tmpl w:val="B00C4C4C"/>
    <w:lvl w:ilvl="0" w:tplc="4009000F">
      <w:start w:val="1"/>
      <w:numFmt w:val="decimal"/>
      <w:lvlText w:val="%1."/>
      <w:lvlJc w:val="left"/>
      <w:pPr>
        <w:ind w:left="1008" w:hanging="360"/>
      </w:pPr>
    </w:lvl>
    <w:lvl w:ilvl="1" w:tplc="40090019" w:tentative="1">
      <w:start w:val="1"/>
      <w:numFmt w:val="lowerLetter"/>
      <w:lvlText w:val="%2."/>
      <w:lvlJc w:val="left"/>
      <w:pPr>
        <w:ind w:left="1728" w:hanging="360"/>
      </w:pPr>
    </w:lvl>
    <w:lvl w:ilvl="2" w:tplc="4009001B" w:tentative="1">
      <w:start w:val="1"/>
      <w:numFmt w:val="lowerRoman"/>
      <w:lvlText w:val="%3."/>
      <w:lvlJc w:val="right"/>
      <w:pPr>
        <w:ind w:left="2448" w:hanging="180"/>
      </w:pPr>
    </w:lvl>
    <w:lvl w:ilvl="3" w:tplc="4009000F" w:tentative="1">
      <w:start w:val="1"/>
      <w:numFmt w:val="decimal"/>
      <w:lvlText w:val="%4."/>
      <w:lvlJc w:val="left"/>
      <w:pPr>
        <w:ind w:left="3168" w:hanging="360"/>
      </w:pPr>
    </w:lvl>
    <w:lvl w:ilvl="4" w:tplc="40090019" w:tentative="1">
      <w:start w:val="1"/>
      <w:numFmt w:val="lowerLetter"/>
      <w:lvlText w:val="%5."/>
      <w:lvlJc w:val="left"/>
      <w:pPr>
        <w:ind w:left="3888" w:hanging="360"/>
      </w:pPr>
    </w:lvl>
    <w:lvl w:ilvl="5" w:tplc="4009001B" w:tentative="1">
      <w:start w:val="1"/>
      <w:numFmt w:val="lowerRoman"/>
      <w:lvlText w:val="%6."/>
      <w:lvlJc w:val="right"/>
      <w:pPr>
        <w:ind w:left="4608" w:hanging="180"/>
      </w:pPr>
    </w:lvl>
    <w:lvl w:ilvl="6" w:tplc="4009000F" w:tentative="1">
      <w:start w:val="1"/>
      <w:numFmt w:val="decimal"/>
      <w:lvlText w:val="%7."/>
      <w:lvlJc w:val="left"/>
      <w:pPr>
        <w:ind w:left="5328" w:hanging="360"/>
      </w:pPr>
    </w:lvl>
    <w:lvl w:ilvl="7" w:tplc="40090019" w:tentative="1">
      <w:start w:val="1"/>
      <w:numFmt w:val="lowerLetter"/>
      <w:lvlText w:val="%8."/>
      <w:lvlJc w:val="left"/>
      <w:pPr>
        <w:ind w:left="6048" w:hanging="360"/>
      </w:pPr>
    </w:lvl>
    <w:lvl w:ilvl="8" w:tplc="4009001B" w:tentative="1">
      <w:start w:val="1"/>
      <w:numFmt w:val="lowerRoman"/>
      <w:lvlText w:val="%9."/>
      <w:lvlJc w:val="right"/>
      <w:pPr>
        <w:ind w:left="6768" w:hanging="180"/>
      </w:pPr>
    </w:lvl>
  </w:abstractNum>
  <w:abstractNum w:abstractNumId="27"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8" w15:restartNumberingAfterBreak="0">
    <w:nsid w:val="66EF3B33"/>
    <w:multiLevelType w:val="hybridMultilevel"/>
    <w:tmpl w:val="EAFC4A48"/>
    <w:lvl w:ilvl="0" w:tplc="867A76CA">
      <w:start w:val="1"/>
      <w:numFmt w:val="bullet"/>
      <w:lvlText w:val="­"/>
      <w:lvlJc w:val="left"/>
      <w:pPr>
        <w:ind w:left="420" w:hanging="420"/>
      </w:pPr>
      <w:rPr>
        <w:rFonts w:ascii="Arial Unicode MS" w:eastAsia="Arial Unicode MS" w:hAnsi="Arial Unicode MS"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5E03D2"/>
    <w:multiLevelType w:val="hybridMultilevel"/>
    <w:tmpl w:val="60D2B25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1" w15:restartNumberingAfterBreak="0">
    <w:nsid w:val="71AE67BE"/>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26D0571"/>
    <w:multiLevelType w:val="hybridMultilevel"/>
    <w:tmpl w:val="03287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2"/>
  </w:num>
  <w:num w:numId="9">
    <w:abstractNumId w:val="20"/>
  </w:num>
  <w:num w:numId="10">
    <w:abstractNumId w:val="31"/>
  </w:num>
  <w:num w:numId="11">
    <w:abstractNumId w:val="8"/>
  </w:num>
  <w:num w:numId="12">
    <w:abstractNumId w:val="18"/>
  </w:num>
  <w:num w:numId="13">
    <w:abstractNumId w:val="5"/>
  </w:num>
  <w:num w:numId="14">
    <w:abstractNumId w:val="5"/>
  </w:num>
  <w:num w:numId="15">
    <w:abstractNumId w:val="23"/>
  </w:num>
  <w:num w:numId="16">
    <w:abstractNumId w:val="19"/>
  </w:num>
  <w:num w:numId="17">
    <w:abstractNumId w:val="25"/>
  </w:num>
  <w:num w:numId="18">
    <w:abstractNumId w:val="9"/>
  </w:num>
  <w:num w:numId="19">
    <w:abstractNumId w:val="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1"/>
  </w:num>
  <w:num w:numId="22">
    <w:abstractNumId w:val="28"/>
  </w:num>
  <w:num w:numId="23">
    <w:abstractNumId w:val="7"/>
  </w:num>
  <w:num w:numId="24">
    <w:abstractNumId w:val="1"/>
  </w:num>
  <w:num w:numId="25">
    <w:abstractNumId w:val="6"/>
  </w:num>
  <w:num w:numId="26">
    <w:abstractNumId w:val="13"/>
  </w:num>
  <w:num w:numId="27">
    <w:abstractNumId w:val="17"/>
  </w:num>
  <w:num w:numId="28">
    <w:abstractNumId w:val="24"/>
  </w:num>
  <w:num w:numId="29">
    <w:abstractNumId w:val="7"/>
  </w:num>
  <w:num w:numId="30">
    <w:abstractNumId w:val="11"/>
  </w:num>
  <w:num w:numId="31">
    <w:abstractNumId w:val="30"/>
  </w:num>
  <w:num w:numId="32">
    <w:abstractNumId w:val="22"/>
  </w:num>
  <w:num w:numId="33">
    <w:abstractNumId w:val="5"/>
  </w:num>
  <w:num w:numId="34">
    <w:abstractNumId w:val="10"/>
  </w:num>
  <w:num w:numId="35">
    <w:abstractNumId w:val="15"/>
  </w:num>
  <w:num w:numId="36">
    <w:abstractNumId w:val="12"/>
  </w:num>
  <w:num w:numId="37">
    <w:abstractNumId w:val="2"/>
  </w:num>
  <w:num w:numId="38">
    <w:abstractNumId w:val="27"/>
  </w:num>
  <w:num w:numId="39">
    <w:abstractNumId w:val="33"/>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16DF"/>
    <w:rsid w:val="00001CA9"/>
    <w:rsid w:val="0000280C"/>
    <w:rsid w:val="00002879"/>
    <w:rsid w:val="000056FD"/>
    <w:rsid w:val="00006043"/>
    <w:rsid w:val="000103E1"/>
    <w:rsid w:val="00010F94"/>
    <w:rsid w:val="00011E73"/>
    <w:rsid w:val="00013B5E"/>
    <w:rsid w:val="000140D3"/>
    <w:rsid w:val="00032EE5"/>
    <w:rsid w:val="00033336"/>
    <w:rsid w:val="000340F6"/>
    <w:rsid w:val="000357A2"/>
    <w:rsid w:val="00035C75"/>
    <w:rsid w:val="000378B7"/>
    <w:rsid w:val="00040C54"/>
    <w:rsid w:val="000420CC"/>
    <w:rsid w:val="00042613"/>
    <w:rsid w:val="000445CC"/>
    <w:rsid w:val="000463F5"/>
    <w:rsid w:val="000478BB"/>
    <w:rsid w:val="00050F0C"/>
    <w:rsid w:val="00052217"/>
    <w:rsid w:val="0006045F"/>
    <w:rsid w:val="000610DA"/>
    <w:rsid w:val="000619EE"/>
    <w:rsid w:val="00062F25"/>
    <w:rsid w:val="0006490E"/>
    <w:rsid w:val="0006597F"/>
    <w:rsid w:val="00066421"/>
    <w:rsid w:val="00080324"/>
    <w:rsid w:val="00081AD5"/>
    <w:rsid w:val="00082F7C"/>
    <w:rsid w:val="00083DE3"/>
    <w:rsid w:val="00084DDE"/>
    <w:rsid w:val="00084F3A"/>
    <w:rsid w:val="0008532A"/>
    <w:rsid w:val="00085901"/>
    <w:rsid w:val="0008702F"/>
    <w:rsid w:val="00087DDF"/>
    <w:rsid w:val="00091016"/>
    <w:rsid w:val="00091DB9"/>
    <w:rsid w:val="000942C7"/>
    <w:rsid w:val="00095BB8"/>
    <w:rsid w:val="00095F1B"/>
    <w:rsid w:val="00096CC9"/>
    <w:rsid w:val="000970C6"/>
    <w:rsid w:val="000A09C4"/>
    <w:rsid w:val="000A3AD4"/>
    <w:rsid w:val="000A3D31"/>
    <w:rsid w:val="000A5BF3"/>
    <w:rsid w:val="000A6073"/>
    <w:rsid w:val="000A6498"/>
    <w:rsid w:val="000A681A"/>
    <w:rsid w:val="000A7065"/>
    <w:rsid w:val="000A75F5"/>
    <w:rsid w:val="000B1226"/>
    <w:rsid w:val="000B3D12"/>
    <w:rsid w:val="000B557C"/>
    <w:rsid w:val="000B5AE9"/>
    <w:rsid w:val="000B5D47"/>
    <w:rsid w:val="000B6CFF"/>
    <w:rsid w:val="000C031A"/>
    <w:rsid w:val="000C1549"/>
    <w:rsid w:val="000C1B66"/>
    <w:rsid w:val="000C51A6"/>
    <w:rsid w:val="000C5685"/>
    <w:rsid w:val="000C5787"/>
    <w:rsid w:val="000C60AF"/>
    <w:rsid w:val="000C78B9"/>
    <w:rsid w:val="000D190E"/>
    <w:rsid w:val="000D2120"/>
    <w:rsid w:val="000D2863"/>
    <w:rsid w:val="000D3A6F"/>
    <w:rsid w:val="000D439F"/>
    <w:rsid w:val="000D447D"/>
    <w:rsid w:val="000D5857"/>
    <w:rsid w:val="000D5965"/>
    <w:rsid w:val="000D5B88"/>
    <w:rsid w:val="000D6147"/>
    <w:rsid w:val="000D6302"/>
    <w:rsid w:val="000D6B2A"/>
    <w:rsid w:val="000D7D66"/>
    <w:rsid w:val="000E1022"/>
    <w:rsid w:val="000E23BF"/>
    <w:rsid w:val="000E2BA1"/>
    <w:rsid w:val="000E33BE"/>
    <w:rsid w:val="000E3834"/>
    <w:rsid w:val="000E5957"/>
    <w:rsid w:val="000E6A0D"/>
    <w:rsid w:val="000F0BF5"/>
    <w:rsid w:val="000F10F7"/>
    <w:rsid w:val="000F4B22"/>
    <w:rsid w:val="0010102C"/>
    <w:rsid w:val="001010AC"/>
    <w:rsid w:val="00102459"/>
    <w:rsid w:val="00102BA9"/>
    <w:rsid w:val="00103D66"/>
    <w:rsid w:val="00105E97"/>
    <w:rsid w:val="00106555"/>
    <w:rsid w:val="0010669E"/>
    <w:rsid w:val="00107D5E"/>
    <w:rsid w:val="00107E00"/>
    <w:rsid w:val="001109FA"/>
    <w:rsid w:val="001110C7"/>
    <w:rsid w:val="0011165B"/>
    <w:rsid w:val="0011302F"/>
    <w:rsid w:val="001134FD"/>
    <w:rsid w:val="001152EB"/>
    <w:rsid w:val="00117ACE"/>
    <w:rsid w:val="00125504"/>
    <w:rsid w:val="00125DAE"/>
    <w:rsid w:val="00127F9C"/>
    <w:rsid w:val="00130772"/>
    <w:rsid w:val="00131051"/>
    <w:rsid w:val="001313B2"/>
    <w:rsid w:val="00132BC4"/>
    <w:rsid w:val="001349C2"/>
    <w:rsid w:val="001349FE"/>
    <w:rsid w:val="001373A9"/>
    <w:rsid w:val="00137A45"/>
    <w:rsid w:val="001415EF"/>
    <w:rsid w:val="0014170B"/>
    <w:rsid w:val="00141ED9"/>
    <w:rsid w:val="00142F5A"/>
    <w:rsid w:val="00143D07"/>
    <w:rsid w:val="0014527B"/>
    <w:rsid w:val="00146CF4"/>
    <w:rsid w:val="00150380"/>
    <w:rsid w:val="001526DC"/>
    <w:rsid w:val="00152B54"/>
    <w:rsid w:val="001539DC"/>
    <w:rsid w:val="00157DB4"/>
    <w:rsid w:val="00160C9C"/>
    <w:rsid w:val="0016147D"/>
    <w:rsid w:val="001618F2"/>
    <w:rsid w:val="00161968"/>
    <w:rsid w:val="001658A5"/>
    <w:rsid w:val="00167172"/>
    <w:rsid w:val="00167207"/>
    <w:rsid w:val="001676A1"/>
    <w:rsid w:val="00167C6E"/>
    <w:rsid w:val="00170805"/>
    <w:rsid w:val="001710CE"/>
    <w:rsid w:val="00172F4C"/>
    <w:rsid w:val="001741A0"/>
    <w:rsid w:val="0017459F"/>
    <w:rsid w:val="001752E2"/>
    <w:rsid w:val="001758BC"/>
    <w:rsid w:val="00176F27"/>
    <w:rsid w:val="0017700A"/>
    <w:rsid w:val="00181D58"/>
    <w:rsid w:val="00181E19"/>
    <w:rsid w:val="001824FA"/>
    <w:rsid w:val="00182FA2"/>
    <w:rsid w:val="001837A4"/>
    <w:rsid w:val="0018498A"/>
    <w:rsid w:val="00185467"/>
    <w:rsid w:val="00186CE4"/>
    <w:rsid w:val="00192631"/>
    <w:rsid w:val="00192A57"/>
    <w:rsid w:val="00192E99"/>
    <w:rsid w:val="001934FC"/>
    <w:rsid w:val="00193E64"/>
    <w:rsid w:val="0019481F"/>
    <w:rsid w:val="00194B19"/>
    <w:rsid w:val="0019716A"/>
    <w:rsid w:val="00197B78"/>
    <w:rsid w:val="001A178D"/>
    <w:rsid w:val="001A1FF0"/>
    <w:rsid w:val="001A38AB"/>
    <w:rsid w:val="001A4861"/>
    <w:rsid w:val="001A4ED8"/>
    <w:rsid w:val="001A7E6F"/>
    <w:rsid w:val="001B0241"/>
    <w:rsid w:val="001B0F17"/>
    <w:rsid w:val="001B111E"/>
    <w:rsid w:val="001B38C1"/>
    <w:rsid w:val="001B5B64"/>
    <w:rsid w:val="001B625A"/>
    <w:rsid w:val="001B69BB"/>
    <w:rsid w:val="001C69CB"/>
    <w:rsid w:val="001C70B8"/>
    <w:rsid w:val="001D49E6"/>
    <w:rsid w:val="001D4B34"/>
    <w:rsid w:val="001D7D2A"/>
    <w:rsid w:val="001E4377"/>
    <w:rsid w:val="001E4C2D"/>
    <w:rsid w:val="001E7480"/>
    <w:rsid w:val="001E76A8"/>
    <w:rsid w:val="001F35ED"/>
    <w:rsid w:val="001F416D"/>
    <w:rsid w:val="001F468A"/>
    <w:rsid w:val="001F547A"/>
    <w:rsid w:val="001F5830"/>
    <w:rsid w:val="001F7247"/>
    <w:rsid w:val="001F7B3A"/>
    <w:rsid w:val="001F7E60"/>
    <w:rsid w:val="00200567"/>
    <w:rsid w:val="0020102E"/>
    <w:rsid w:val="00202362"/>
    <w:rsid w:val="00203574"/>
    <w:rsid w:val="00203D05"/>
    <w:rsid w:val="00204756"/>
    <w:rsid w:val="00204DFD"/>
    <w:rsid w:val="00206161"/>
    <w:rsid w:val="0020775F"/>
    <w:rsid w:val="002078FC"/>
    <w:rsid w:val="00207B02"/>
    <w:rsid w:val="00210CF9"/>
    <w:rsid w:val="00212105"/>
    <w:rsid w:val="002144D1"/>
    <w:rsid w:val="00216A24"/>
    <w:rsid w:val="00216DDC"/>
    <w:rsid w:val="0022052E"/>
    <w:rsid w:val="00220D1D"/>
    <w:rsid w:val="00221136"/>
    <w:rsid w:val="002246B8"/>
    <w:rsid w:val="00224F9E"/>
    <w:rsid w:val="00225AD5"/>
    <w:rsid w:val="00226A4C"/>
    <w:rsid w:val="0023289E"/>
    <w:rsid w:val="0023367B"/>
    <w:rsid w:val="002337D4"/>
    <w:rsid w:val="002356A0"/>
    <w:rsid w:val="00235A06"/>
    <w:rsid w:val="00235CEB"/>
    <w:rsid w:val="00240A93"/>
    <w:rsid w:val="00243067"/>
    <w:rsid w:val="00243FA3"/>
    <w:rsid w:val="00244438"/>
    <w:rsid w:val="00244906"/>
    <w:rsid w:val="00244D23"/>
    <w:rsid w:val="00244EA2"/>
    <w:rsid w:val="002451DA"/>
    <w:rsid w:val="00245D85"/>
    <w:rsid w:val="00246725"/>
    <w:rsid w:val="00250FE3"/>
    <w:rsid w:val="002525D3"/>
    <w:rsid w:val="00252631"/>
    <w:rsid w:val="00252ED2"/>
    <w:rsid w:val="00254B27"/>
    <w:rsid w:val="00255CF4"/>
    <w:rsid w:val="00256398"/>
    <w:rsid w:val="00256F14"/>
    <w:rsid w:val="00260084"/>
    <w:rsid w:val="0026205E"/>
    <w:rsid w:val="00264BCA"/>
    <w:rsid w:val="00265935"/>
    <w:rsid w:val="00265E67"/>
    <w:rsid w:val="00265F80"/>
    <w:rsid w:val="00266229"/>
    <w:rsid w:val="002663A0"/>
    <w:rsid w:val="0027186E"/>
    <w:rsid w:val="00271F69"/>
    <w:rsid w:val="002729E5"/>
    <w:rsid w:val="002769D8"/>
    <w:rsid w:val="00280776"/>
    <w:rsid w:val="002824DB"/>
    <w:rsid w:val="002827FD"/>
    <w:rsid w:val="002842E5"/>
    <w:rsid w:val="00284527"/>
    <w:rsid w:val="0028607C"/>
    <w:rsid w:val="00286A44"/>
    <w:rsid w:val="00286B35"/>
    <w:rsid w:val="002900BD"/>
    <w:rsid w:val="002905E4"/>
    <w:rsid w:val="00290B24"/>
    <w:rsid w:val="002915A9"/>
    <w:rsid w:val="00291DEE"/>
    <w:rsid w:val="002950E2"/>
    <w:rsid w:val="00295380"/>
    <w:rsid w:val="0029645A"/>
    <w:rsid w:val="00296623"/>
    <w:rsid w:val="00296950"/>
    <w:rsid w:val="002A26F9"/>
    <w:rsid w:val="002A3163"/>
    <w:rsid w:val="002A4E4C"/>
    <w:rsid w:val="002A5465"/>
    <w:rsid w:val="002A7D2F"/>
    <w:rsid w:val="002B1BE4"/>
    <w:rsid w:val="002B1CF5"/>
    <w:rsid w:val="002B20B1"/>
    <w:rsid w:val="002B3598"/>
    <w:rsid w:val="002B66A0"/>
    <w:rsid w:val="002B6B5D"/>
    <w:rsid w:val="002C01CB"/>
    <w:rsid w:val="002C13E1"/>
    <w:rsid w:val="002C18FC"/>
    <w:rsid w:val="002C2695"/>
    <w:rsid w:val="002C3FFB"/>
    <w:rsid w:val="002C40E8"/>
    <w:rsid w:val="002C50F9"/>
    <w:rsid w:val="002C668B"/>
    <w:rsid w:val="002C7F1B"/>
    <w:rsid w:val="002D0888"/>
    <w:rsid w:val="002D1EA5"/>
    <w:rsid w:val="002D2DE8"/>
    <w:rsid w:val="002D6B39"/>
    <w:rsid w:val="002D74DC"/>
    <w:rsid w:val="002D7A6D"/>
    <w:rsid w:val="002E062F"/>
    <w:rsid w:val="002E0F74"/>
    <w:rsid w:val="002E2624"/>
    <w:rsid w:val="002E2640"/>
    <w:rsid w:val="002E3416"/>
    <w:rsid w:val="002E3564"/>
    <w:rsid w:val="002E5485"/>
    <w:rsid w:val="002E63C0"/>
    <w:rsid w:val="002E6B97"/>
    <w:rsid w:val="002E771F"/>
    <w:rsid w:val="002E7C2F"/>
    <w:rsid w:val="002F144D"/>
    <w:rsid w:val="002F1ED3"/>
    <w:rsid w:val="002F2FE4"/>
    <w:rsid w:val="002F3132"/>
    <w:rsid w:val="002F3ABA"/>
    <w:rsid w:val="002F55E6"/>
    <w:rsid w:val="002F5A02"/>
    <w:rsid w:val="002F5D2C"/>
    <w:rsid w:val="002F6120"/>
    <w:rsid w:val="00300581"/>
    <w:rsid w:val="003011AD"/>
    <w:rsid w:val="0030239E"/>
    <w:rsid w:val="0030275A"/>
    <w:rsid w:val="0030283D"/>
    <w:rsid w:val="00302D7C"/>
    <w:rsid w:val="00302E54"/>
    <w:rsid w:val="00303BCD"/>
    <w:rsid w:val="00306719"/>
    <w:rsid w:val="0031464B"/>
    <w:rsid w:val="003147E1"/>
    <w:rsid w:val="00314DCF"/>
    <w:rsid w:val="00315F1C"/>
    <w:rsid w:val="00320EB0"/>
    <w:rsid w:val="0032176C"/>
    <w:rsid w:val="00323D19"/>
    <w:rsid w:val="00324539"/>
    <w:rsid w:val="0032585D"/>
    <w:rsid w:val="0032619A"/>
    <w:rsid w:val="00326DA0"/>
    <w:rsid w:val="003272AC"/>
    <w:rsid w:val="0033095E"/>
    <w:rsid w:val="00332526"/>
    <w:rsid w:val="00333524"/>
    <w:rsid w:val="00335345"/>
    <w:rsid w:val="00337613"/>
    <w:rsid w:val="0034256E"/>
    <w:rsid w:val="00344326"/>
    <w:rsid w:val="00344896"/>
    <w:rsid w:val="00344A01"/>
    <w:rsid w:val="00344DBD"/>
    <w:rsid w:val="00346B43"/>
    <w:rsid w:val="00356A1B"/>
    <w:rsid w:val="00356FA4"/>
    <w:rsid w:val="0035705B"/>
    <w:rsid w:val="00357BF5"/>
    <w:rsid w:val="00361E57"/>
    <w:rsid w:val="00363ABD"/>
    <w:rsid w:val="00363C09"/>
    <w:rsid w:val="00364308"/>
    <w:rsid w:val="00364BDB"/>
    <w:rsid w:val="00365747"/>
    <w:rsid w:val="00366994"/>
    <w:rsid w:val="003673CF"/>
    <w:rsid w:val="0037098B"/>
    <w:rsid w:val="00370C33"/>
    <w:rsid w:val="003720F9"/>
    <w:rsid w:val="00372174"/>
    <w:rsid w:val="00372627"/>
    <w:rsid w:val="00373020"/>
    <w:rsid w:val="00374E22"/>
    <w:rsid w:val="00377A8F"/>
    <w:rsid w:val="003817FE"/>
    <w:rsid w:val="003820C3"/>
    <w:rsid w:val="003831AE"/>
    <w:rsid w:val="003832CF"/>
    <w:rsid w:val="003844C3"/>
    <w:rsid w:val="003847F0"/>
    <w:rsid w:val="00384E1E"/>
    <w:rsid w:val="003861EC"/>
    <w:rsid w:val="00386F71"/>
    <w:rsid w:val="0039011D"/>
    <w:rsid w:val="003902A5"/>
    <w:rsid w:val="00391901"/>
    <w:rsid w:val="0039211C"/>
    <w:rsid w:val="00393018"/>
    <w:rsid w:val="0039316B"/>
    <w:rsid w:val="0039382C"/>
    <w:rsid w:val="00394529"/>
    <w:rsid w:val="00394AE5"/>
    <w:rsid w:val="00395A46"/>
    <w:rsid w:val="0039740B"/>
    <w:rsid w:val="00397C87"/>
    <w:rsid w:val="003A008C"/>
    <w:rsid w:val="003A0AAB"/>
    <w:rsid w:val="003A2D0F"/>
    <w:rsid w:val="003A40F2"/>
    <w:rsid w:val="003A499D"/>
    <w:rsid w:val="003B0AB5"/>
    <w:rsid w:val="003B391A"/>
    <w:rsid w:val="003B3E5A"/>
    <w:rsid w:val="003B42EC"/>
    <w:rsid w:val="003B47BD"/>
    <w:rsid w:val="003B5E65"/>
    <w:rsid w:val="003B6430"/>
    <w:rsid w:val="003B6612"/>
    <w:rsid w:val="003B7272"/>
    <w:rsid w:val="003B7DE1"/>
    <w:rsid w:val="003C0546"/>
    <w:rsid w:val="003C0C06"/>
    <w:rsid w:val="003C33A1"/>
    <w:rsid w:val="003C378F"/>
    <w:rsid w:val="003C3D8E"/>
    <w:rsid w:val="003C6224"/>
    <w:rsid w:val="003D34C1"/>
    <w:rsid w:val="003D7550"/>
    <w:rsid w:val="003E1FD9"/>
    <w:rsid w:val="003E735E"/>
    <w:rsid w:val="003E7596"/>
    <w:rsid w:val="003F3000"/>
    <w:rsid w:val="003F334E"/>
    <w:rsid w:val="003F33E5"/>
    <w:rsid w:val="003F35E7"/>
    <w:rsid w:val="003F48D7"/>
    <w:rsid w:val="003F5FC3"/>
    <w:rsid w:val="00400181"/>
    <w:rsid w:val="0040057A"/>
    <w:rsid w:val="00401355"/>
    <w:rsid w:val="0040279A"/>
    <w:rsid w:val="00403579"/>
    <w:rsid w:val="00404345"/>
    <w:rsid w:val="004066C7"/>
    <w:rsid w:val="00412375"/>
    <w:rsid w:val="0041384C"/>
    <w:rsid w:val="00414D0E"/>
    <w:rsid w:val="004151DD"/>
    <w:rsid w:val="004166B0"/>
    <w:rsid w:val="00416C68"/>
    <w:rsid w:val="00417EAD"/>
    <w:rsid w:val="00425F99"/>
    <w:rsid w:val="004270CB"/>
    <w:rsid w:val="00427448"/>
    <w:rsid w:val="004275C5"/>
    <w:rsid w:val="00430B77"/>
    <w:rsid w:val="0043276E"/>
    <w:rsid w:val="004338ED"/>
    <w:rsid w:val="004363A4"/>
    <w:rsid w:val="00436549"/>
    <w:rsid w:val="00436603"/>
    <w:rsid w:val="00442EEB"/>
    <w:rsid w:val="004463DF"/>
    <w:rsid w:val="00446480"/>
    <w:rsid w:val="0044701E"/>
    <w:rsid w:val="00447FD8"/>
    <w:rsid w:val="004513ED"/>
    <w:rsid w:val="0045258A"/>
    <w:rsid w:val="00453668"/>
    <w:rsid w:val="0045450D"/>
    <w:rsid w:val="00460D96"/>
    <w:rsid w:val="00464472"/>
    <w:rsid w:val="00465048"/>
    <w:rsid w:val="0046511A"/>
    <w:rsid w:val="00465272"/>
    <w:rsid w:val="004663C9"/>
    <w:rsid w:val="004664D3"/>
    <w:rsid w:val="0046780B"/>
    <w:rsid w:val="00470F26"/>
    <w:rsid w:val="00470F38"/>
    <w:rsid w:val="00473278"/>
    <w:rsid w:val="00473BD5"/>
    <w:rsid w:val="00475A1C"/>
    <w:rsid w:val="0048095E"/>
    <w:rsid w:val="00480ABC"/>
    <w:rsid w:val="00482F9E"/>
    <w:rsid w:val="00484429"/>
    <w:rsid w:val="00486B12"/>
    <w:rsid w:val="00490326"/>
    <w:rsid w:val="00491069"/>
    <w:rsid w:val="00493D12"/>
    <w:rsid w:val="0049483C"/>
    <w:rsid w:val="004963B2"/>
    <w:rsid w:val="004A1485"/>
    <w:rsid w:val="004A2072"/>
    <w:rsid w:val="004A2BCA"/>
    <w:rsid w:val="004B2C0E"/>
    <w:rsid w:val="004B55C0"/>
    <w:rsid w:val="004B74AB"/>
    <w:rsid w:val="004C0F9F"/>
    <w:rsid w:val="004C64FA"/>
    <w:rsid w:val="004C6F01"/>
    <w:rsid w:val="004C72BD"/>
    <w:rsid w:val="004C77AF"/>
    <w:rsid w:val="004D1D0A"/>
    <w:rsid w:val="004D2E95"/>
    <w:rsid w:val="004D4059"/>
    <w:rsid w:val="004D4798"/>
    <w:rsid w:val="004D4B5F"/>
    <w:rsid w:val="004D6898"/>
    <w:rsid w:val="004D6CE6"/>
    <w:rsid w:val="004D7330"/>
    <w:rsid w:val="004E0DDE"/>
    <w:rsid w:val="004E3C91"/>
    <w:rsid w:val="004E3E79"/>
    <w:rsid w:val="004E3F22"/>
    <w:rsid w:val="004E6A97"/>
    <w:rsid w:val="004F18AA"/>
    <w:rsid w:val="004F5118"/>
    <w:rsid w:val="0050046E"/>
    <w:rsid w:val="00501E4F"/>
    <w:rsid w:val="005034F8"/>
    <w:rsid w:val="00503907"/>
    <w:rsid w:val="0050416E"/>
    <w:rsid w:val="00505881"/>
    <w:rsid w:val="00505B38"/>
    <w:rsid w:val="00505EE9"/>
    <w:rsid w:val="0050732B"/>
    <w:rsid w:val="005078E6"/>
    <w:rsid w:val="00511630"/>
    <w:rsid w:val="005129D9"/>
    <w:rsid w:val="0051379F"/>
    <w:rsid w:val="00514C6F"/>
    <w:rsid w:val="00514F8C"/>
    <w:rsid w:val="00515044"/>
    <w:rsid w:val="005176A0"/>
    <w:rsid w:val="00517C30"/>
    <w:rsid w:val="005206B6"/>
    <w:rsid w:val="005236EA"/>
    <w:rsid w:val="005254E1"/>
    <w:rsid w:val="00526E4E"/>
    <w:rsid w:val="0052749A"/>
    <w:rsid w:val="00527630"/>
    <w:rsid w:val="005330D7"/>
    <w:rsid w:val="00533A2D"/>
    <w:rsid w:val="00533C9B"/>
    <w:rsid w:val="00535B81"/>
    <w:rsid w:val="00535C9F"/>
    <w:rsid w:val="00540959"/>
    <w:rsid w:val="005431A9"/>
    <w:rsid w:val="00544241"/>
    <w:rsid w:val="0054446C"/>
    <w:rsid w:val="00544DF9"/>
    <w:rsid w:val="00546A19"/>
    <w:rsid w:val="00547947"/>
    <w:rsid w:val="005506DC"/>
    <w:rsid w:val="00553576"/>
    <w:rsid w:val="00557B59"/>
    <w:rsid w:val="005604BF"/>
    <w:rsid w:val="00561407"/>
    <w:rsid w:val="00562D26"/>
    <w:rsid w:val="005646F8"/>
    <w:rsid w:val="00567C4D"/>
    <w:rsid w:val="00571776"/>
    <w:rsid w:val="0057257A"/>
    <w:rsid w:val="005733FE"/>
    <w:rsid w:val="00577109"/>
    <w:rsid w:val="0057741A"/>
    <w:rsid w:val="00581217"/>
    <w:rsid w:val="005812BE"/>
    <w:rsid w:val="00581A22"/>
    <w:rsid w:val="00582CD7"/>
    <w:rsid w:val="005853D3"/>
    <w:rsid w:val="005879FF"/>
    <w:rsid w:val="0059180A"/>
    <w:rsid w:val="0059291B"/>
    <w:rsid w:val="005946C9"/>
    <w:rsid w:val="005949C6"/>
    <w:rsid w:val="00595CED"/>
    <w:rsid w:val="00595E52"/>
    <w:rsid w:val="005973F1"/>
    <w:rsid w:val="005A2635"/>
    <w:rsid w:val="005A2A4E"/>
    <w:rsid w:val="005A4A76"/>
    <w:rsid w:val="005A6EE5"/>
    <w:rsid w:val="005B2BB5"/>
    <w:rsid w:val="005B3418"/>
    <w:rsid w:val="005B452C"/>
    <w:rsid w:val="005B5B93"/>
    <w:rsid w:val="005B6FEB"/>
    <w:rsid w:val="005B7B5E"/>
    <w:rsid w:val="005C16F0"/>
    <w:rsid w:val="005C312E"/>
    <w:rsid w:val="005C368D"/>
    <w:rsid w:val="005C388B"/>
    <w:rsid w:val="005C40F0"/>
    <w:rsid w:val="005C5296"/>
    <w:rsid w:val="005C67F4"/>
    <w:rsid w:val="005D47B3"/>
    <w:rsid w:val="005E025E"/>
    <w:rsid w:val="005E1DBD"/>
    <w:rsid w:val="005E2CCD"/>
    <w:rsid w:val="005E3419"/>
    <w:rsid w:val="005E3D8B"/>
    <w:rsid w:val="005E44DE"/>
    <w:rsid w:val="005E4C92"/>
    <w:rsid w:val="005E5865"/>
    <w:rsid w:val="005F35B3"/>
    <w:rsid w:val="006001BE"/>
    <w:rsid w:val="00601DF9"/>
    <w:rsid w:val="0060522E"/>
    <w:rsid w:val="00605A8C"/>
    <w:rsid w:val="00606D97"/>
    <w:rsid w:val="00607B1F"/>
    <w:rsid w:val="00610C45"/>
    <w:rsid w:val="00611C22"/>
    <w:rsid w:val="006131FA"/>
    <w:rsid w:val="006134FB"/>
    <w:rsid w:val="006175FF"/>
    <w:rsid w:val="006209B4"/>
    <w:rsid w:val="00622C76"/>
    <w:rsid w:val="006244C9"/>
    <w:rsid w:val="00627BBC"/>
    <w:rsid w:val="00632225"/>
    <w:rsid w:val="00635570"/>
    <w:rsid w:val="0064016D"/>
    <w:rsid w:val="006415AB"/>
    <w:rsid w:val="00643954"/>
    <w:rsid w:val="006442B3"/>
    <w:rsid w:val="006529A8"/>
    <w:rsid w:val="00652A22"/>
    <w:rsid w:val="006539DC"/>
    <w:rsid w:val="00654771"/>
    <w:rsid w:val="00654F5A"/>
    <w:rsid w:val="00655DEC"/>
    <w:rsid w:val="006606ED"/>
    <w:rsid w:val="00662115"/>
    <w:rsid w:val="00665389"/>
    <w:rsid w:val="00666090"/>
    <w:rsid w:val="0066631D"/>
    <w:rsid w:val="006663D0"/>
    <w:rsid w:val="0067058B"/>
    <w:rsid w:val="00671CAE"/>
    <w:rsid w:val="00672821"/>
    <w:rsid w:val="0067288B"/>
    <w:rsid w:val="0067499D"/>
    <w:rsid w:val="0067749C"/>
    <w:rsid w:val="00677761"/>
    <w:rsid w:val="00677F7A"/>
    <w:rsid w:val="00681B51"/>
    <w:rsid w:val="00681C99"/>
    <w:rsid w:val="006822B3"/>
    <w:rsid w:val="00683562"/>
    <w:rsid w:val="00683AAE"/>
    <w:rsid w:val="0068479D"/>
    <w:rsid w:val="00684A27"/>
    <w:rsid w:val="00685144"/>
    <w:rsid w:val="006867F7"/>
    <w:rsid w:val="00687233"/>
    <w:rsid w:val="00687B51"/>
    <w:rsid w:val="00690DFE"/>
    <w:rsid w:val="006910C9"/>
    <w:rsid w:val="006932F1"/>
    <w:rsid w:val="00693FF7"/>
    <w:rsid w:val="00697E48"/>
    <w:rsid w:val="006A1AE8"/>
    <w:rsid w:val="006A2057"/>
    <w:rsid w:val="006A2FD2"/>
    <w:rsid w:val="006A3830"/>
    <w:rsid w:val="006A607D"/>
    <w:rsid w:val="006B3370"/>
    <w:rsid w:val="006B4A8B"/>
    <w:rsid w:val="006B4FDA"/>
    <w:rsid w:val="006B5E5E"/>
    <w:rsid w:val="006B7877"/>
    <w:rsid w:val="006C060D"/>
    <w:rsid w:val="006C0EF0"/>
    <w:rsid w:val="006C20C1"/>
    <w:rsid w:val="006C2C7C"/>
    <w:rsid w:val="006C36F7"/>
    <w:rsid w:val="006C7E08"/>
    <w:rsid w:val="006D0531"/>
    <w:rsid w:val="006D14F9"/>
    <w:rsid w:val="006D35CC"/>
    <w:rsid w:val="006D547E"/>
    <w:rsid w:val="006E08A4"/>
    <w:rsid w:val="006E0CD6"/>
    <w:rsid w:val="006E200A"/>
    <w:rsid w:val="006E5EC1"/>
    <w:rsid w:val="006E68E7"/>
    <w:rsid w:val="006E7EEC"/>
    <w:rsid w:val="006F111F"/>
    <w:rsid w:val="006F69C9"/>
    <w:rsid w:val="006F749F"/>
    <w:rsid w:val="006F7808"/>
    <w:rsid w:val="007002F5"/>
    <w:rsid w:val="00704FFB"/>
    <w:rsid w:val="00705D98"/>
    <w:rsid w:val="007076C3"/>
    <w:rsid w:val="007102AC"/>
    <w:rsid w:val="007113C6"/>
    <w:rsid w:val="00711B37"/>
    <w:rsid w:val="00712D81"/>
    <w:rsid w:val="00714028"/>
    <w:rsid w:val="00714BAE"/>
    <w:rsid w:val="00714D4F"/>
    <w:rsid w:val="00717646"/>
    <w:rsid w:val="00717AA2"/>
    <w:rsid w:val="0072061F"/>
    <w:rsid w:val="00720666"/>
    <w:rsid w:val="00720C4B"/>
    <w:rsid w:val="00721374"/>
    <w:rsid w:val="00723264"/>
    <w:rsid w:val="00723EEE"/>
    <w:rsid w:val="007240EB"/>
    <w:rsid w:val="007245CD"/>
    <w:rsid w:val="00724C14"/>
    <w:rsid w:val="00730C22"/>
    <w:rsid w:val="0073360E"/>
    <w:rsid w:val="00733ECD"/>
    <w:rsid w:val="007347AC"/>
    <w:rsid w:val="007347ED"/>
    <w:rsid w:val="00734AD4"/>
    <w:rsid w:val="0073508B"/>
    <w:rsid w:val="00735B9E"/>
    <w:rsid w:val="00737025"/>
    <w:rsid w:val="007375C5"/>
    <w:rsid w:val="0074005C"/>
    <w:rsid w:val="007403FA"/>
    <w:rsid w:val="00742AD1"/>
    <w:rsid w:val="00746744"/>
    <w:rsid w:val="0074714B"/>
    <w:rsid w:val="007474BF"/>
    <w:rsid w:val="00747C4F"/>
    <w:rsid w:val="00750599"/>
    <w:rsid w:val="00751502"/>
    <w:rsid w:val="0075485C"/>
    <w:rsid w:val="0075688E"/>
    <w:rsid w:val="00760D06"/>
    <w:rsid w:val="007631D3"/>
    <w:rsid w:val="00763259"/>
    <w:rsid w:val="00765B89"/>
    <w:rsid w:val="00766C68"/>
    <w:rsid w:val="007674DB"/>
    <w:rsid w:val="00774499"/>
    <w:rsid w:val="0077742E"/>
    <w:rsid w:val="007826D2"/>
    <w:rsid w:val="007836CF"/>
    <w:rsid w:val="00784F3A"/>
    <w:rsid w:val="007860B6"/>
    <w:rsid w:val="00791341"/>
    <w:rsid w:val="00791421"/>
    <w:rsid w:val="00791D39"/>
    <w:rsid w:val="007935F8"/>
    <w:rsid w:val="007941E8"/>
    <w:rsid w:val="0079486C"/>
    <w:rsid w:val="007957F2"/>
    <w:rsid w:val="0079606D"/>
    <w:rsid w:val="00796691"/>
    <w:rsid w:val="0079676B"/>
    <w:rsid w:val="007976BA"/>
    <w:rsid w:val="007977DF"/>
    <w:rsid w:val="00797C07"/>
    <w:rsid w:val="00797D2A"/>
    <w:rsid w:val="007A09AF"/>
    <w:rsid w:val="007A0AFE"/>
    <w:rsid w:val="007A197F"/>
    <w:rsid w:val="007A2795"/>
    <w:rsid w:val="007A34CB"/>
    <w:rsid w:val="007A42B2"/>
    <w:rsid w:val="007A5DD9"/>
    <w:rsid w:val="007B01F4"/>
    <w:rsid w:val="007B06E6"/>
    <w:rsid w:val="007B076E"/>
    <w:rsid w:val="007B0BB4"/>
    <w:rsid w:val="007B10B4"/>
    <w:rsid w:val="007B170C"/>
    <w:rsid w:val="007B17CA"/>
    <w:rsid w:val="007B2D97"/>
    <w:rsid w:val="007B44BA"/>
    <w:rsid w:val="007B4AC0"/>
    <w:rsid w:val="007B58A8"/>
    <w:rsid w:val="007B70D5"/>
    <w:rsid w:val="007C2B17"/>
    <w:rsid w:val="007C4913"/>
    <w:rsid w:val="007C4919"/>
    <w:rsid w:val="007C5BE7"/>
    <w:rsid w:val="007C64BB"/>
    <w:rsid w:val="007C695D"/>
    <w:rsid w:val="007C7B64"/>
    <w:rsid w:val="007D2A83"/>
    <w:rsid w:val="007E0499"/>
    <w:rsid w:val="007E06A9"/>
    <w:rsid w:val="007E06DB"/>
    <w:rsid w:val="007E0BEB"/>
    <w:rsid w:val="007E19F3"/>
    <w:rsid w:val="007E19FF"/>
    <w:rsid w:val="007E2279"/>
    <w:rsid w:val="007E2DD7"/>
    <w:rsid w:val="007E43B0"/>
    <w:rsid w:val="007E6D83"/>
    <w:rsid w:val="007E6D86"/>
    <w:rsid w:val="007E7AD0"/>
    <w:rsid w:val="007F4209"/>
    <w:rsid w:val="007F47D9"/>
    <w:rsid w:val="007F51A6"/>
    <w:rsid w:val="007F589F"/>
    <w:rsid w:val="007F5B02"/>
    <w:rsid w:val="00802C05"/>
    <w:rsid w:val="00802C0B"/>
    <w:rsid w:val="00802D0D"/>
    <w:rsid w:val="00802F73"/>
    <w:rsid w:val="0080396D"/>
    <w:rsid w:val="00803F74"/>
    <w:rsid w:val="00806F9B"/>
    <w:rsid w:val="00810B0E"/>
    <w:rsid w:val="00812DF4"/>
    <w:rsid w:val="008134DA"/>
    <w:rsid w:val="0081624A"/>
    <w:rsid w:val="008208A8"/>
    <w:rsid w:val="008258EE"/>
    <w:rsid w:val="00827C2C"/>
    <w:rsid w:val="008315C6"/>
    <w:rsid w:val="0083175E"/>
    <w:rsid w:val="00831934"/>
    <w:rsid w:val="00832BA4"/>
    <w:rsid w:val="00835742"/>
    <w:rsid w:val="00836B3F"/>
    <w:rsid w:val="008402FB"/>
    <w:rsid w:val="00843595"/>
    <w:rsid w:val="00845825"/>
    <w:rsid w:val="00845A79"/>
    <w:rsid w:val="00845DE0"/>
    <w:rsid w:val="008463B0"/>
    <w:rsid w:val="0084671D"/>
    <w:rsid w:val="0084766C"/>
    <w:rsid w:val="00847EC0"/>
    <w:rsid w:val="00850C77"/>
    <w:rsid w:val="00851070"/>
    <w:rsid w:val="0085177A"/>
    <w:rsid w:val="00851A8C"/>
    <w:rsid w:val="00853E28"/>
    <w:rsid w:val="0085413C"/>
    <w:rsid w:val="0085471A"/>
    <w:rsid w:val="0085705D"/>
    <w:rsid w:val="00857F0D"/>
    <w:rsid w:val="0086003E"/>
    <w:rsid w:val="008603AE"/>
    <w:rsid w:val="008607B8"/>
    <w:rsid w:val="00860FD0"/>
    <w:rsid w:val="00861D20"/>
    <w:rsid w:val="00865D45"/>
    <w:rsid w:val="00865FE4"/>
    <w:rsid w:val="00867298"/>
    <w:rsid w:val="00867369"/>
    <w:rsid w:val="00867BBE"/>
    <w:rsid w:val="008701DA"/>
    <w:rsid w:val="00870DC1"/>
    <w:rsid w:val="00871DEE"/>
    <w:rsid w:val="00871EA1"/>
    <w:rsid w:val="00872E29"/>
    <w:rsid w:val="00874078"/>
    <w:rsid w:val="00877318"/>
    <w:rsid w:val="008774F4"/>
    <w:rsid w:val="008777EF"/>
    <w:rsid w:val="00877CE4"/>
    <w:rsid w:val="0088043C"/>
    <w:rsid w:val="00881BDD"/>
    <w:rsid w:val="008835F5"/>
    <w:rsid w:val="00885AD8"/>
    <w:rsid w:val="00893537"/>
    <w:rsid w:val="0089408E"/>
    <w:rsid w:val="00894875"/>
    <w:rsid w:val="008949CC"/>
    <w:rsid w:val="00897EAE"/>
    <w:rsid w:val="008A0146"/>
    <w:rsid w:val="008A0496"/>
    <w:rsid w:val="008A05E2"/>
    <w:rsid w:val="008A0EEE"/>
    <w:rsid w:val="008A240A"/>
    <w:rsid w:val="008A27AA"/>
    <w:rsid w:val="008A3B16"/>
    <w:rsid w:val="008A5135"/>
    <w:rsid w:val="008A6A7F"/>
    <w:rsid w:val="008A752D"/>
    <w:rsid w:val="008A7968"/>
    <w:rsid w:val="008B00C6"/>
    <w:rsid w:val="008B0F0F"/>
    <w:rsid w:val="008B104D"/>
    <w:rsid w:val="008B1878"/>
    <w:rsid w:val="008B39D2"/>
    <w:rsid w:val="008B3CC9"/>
    <w:rsid w:val="008B4F4B"/>
    <w:rsid w:val="008B5147"/>
    <w:rsid w:val="008B6ACE"/>
    <w:rsid w:val="008B7872"/>
    <w:rsid w:val="008C03E6"/>
    <w:rsid w:val="008C13C1"/>
    <w:rsid w:val="008C206D"/>
    <w:rsid w:val="008C47B2"/>
    <w:rsid w:val="008C4B5D"/>
    <w:rsid w:val="008D052D"/>
    <w:rsid w:val="008D09CD"/>
    <w:rsid w:val="008D0F22"/>
    <w:rsid w:val="008D26EF"/>
    <w:rsid w:val="008D32E5"/>
    <w:rsid w:val="008D74B1"/>
    <w:rsid w:val="008D7C40"/>
    <w:rsid w:val="008E0174"/>
    <w:rsid w:val="008E1CBF"/>
    <w:rsid w:val="008E34EB"/>
    <w:rsid w:val="008E411E"/>
    <w:rsid w:val="008E7067"/>
    <w:rsid w:val="008F19E3"/>
    <w:rsid w:val="008F392D"/>
    <w:rsid w:val="008F446B"/>
    <w:rsid w:val="008F7979"/>
    <w:rsid w:val="00900274"/>
    <w:rsid w:val="00902880"/>
    <w:rsid w:val="009035D5"/>
    <w:rsid w:val="0090739C"/>
    <w:rsid w:val="009129A1"/>
    <w:rsid w:val="00912CDF"/>
    <w:rsid w:val="0091366B"/>
    <w:rsid w:val="0091706C"/>
    <w:rsid w:val="009207B4"/>
    <w:rsid w:val="00925F50"/>
    <w:rsid w:val="009306A2"/>
    <w:rsid w:val="00931577"/>
    <w:rsid w:val="009318B2"/>
    <w:rsid w:val="00931C5A"/>
    <w:rsid w:val="00934FA5"/>
    <w:rsid w:val="00935DED"/>
    <w:rsid w:val="00937346"/>
    <w:rsid w:val="009373CA"/>
    <w:rsid w:val="009374B6"/>
    <w:rsid w:val="00937ACD"/>
    <w:rsid w:val="00940CA1"/>
    <w:rsid w:val="00941063"/>
    <w:rsid w:val="0094199D"/>
    <w:rsid w:val="00942EE9"/>
    <w:rsid w:val="00944DCC"/>
    <w:rsid w:val="00951149"/>
    <w:rsid w:val="00952328"/>
    <w:rsid w:val="00952FA7"/>
    <w:rsid w:val="009542DD"/>
    <w:rsid w:val="00956492"/>
    <w:rsid w:val="00962C27"/>
    <w:rsid w:val="00963AAA"/>
    <w:rsid w:val="00963AD9"/>
    <w:rsid w:val="009650B8"/>
    <w:rsid w:val="00966D21"/>
    <w:rsid w:val="00972944"/>
    <w:rsid w:val="00972DEB"/>
    <w:rsid w:val="009736CB"/>
    <w:rsid w:val="00975EFC"/>
    <w:rsid w:val="00975FF5"/>
    <w:rsid w:val="009763A2"/>
    <w:rsid w:val="00976449"/>
    <w:rsid w:val="00976C81"/>
    <w:rsid w:val="009771F3"/>
    <w:rsid w:val="00977305"/>
    <w:rsid w:val="00977A88"/>
    <w:rsid w:val="00977C3C"/>
    <w:rsid w:val="00981A5C"/>
    <w:rsid w:val="009822BC"/>
    <w:rsid w:val="00982D88"/>
    <w:rsid w:val="009863B3"/>
    <w:rsid w:val="009866A8"/>
    <w:rsid w:val="00990BB7"/>
    <w:rsid w:val="00992F50"/>
    <w:rsid w:val="00994F0B"/>
    <w:rsid w:val="00996081"/>
    <w:rsid w:val="0099619A"/>
    <w:rsid w:val="009A3703"/>
    <w:rsid w:val="009A42AB"/>
    <w:rsid w:val="009A571F"/>
    <w:rsid w:val="009A6CB4"/>
    <w:rsid w:val="009B21A4"/>
    <w:rsid w:val="009B43B8"/>
    <w:rsid w:val="009B43F6"/>
    <w:rsid w:val="009B513D"/>
    <w:rsid w:val="009B5EB8"/>
    <w:rsid w:val="009B6127"/>
    <w:rsid w:val="009B62DC"/>
    <w:rsid w:val="009B6F5D"/>
    <w:rsid w:val="009B7049"/>
    <w:rsid w:val="009C06EF"/>
    <w:rsid w:val="009C180B"/>
    <w:rsid w:val="009C437C"/>
    <w:rsid w:val="009D050F"/>
    <w:rsid w:val="009D23CB"/>
    <w:rsid w:val="009D51AA"/>
    <w:rsid w:val="009D60FB"/>
    <w:rsid w:val="009D655D"/>
    <w:rsid w:val="009D6C50"/>
    <w:rsid w:val="009D75F5"/>
    <w:rsid w:val="009D768C"/>
    <w:rsid w:val="009E17BA"/>
    <w:rsid w:val="009E26F3"/>
    <w:rsid w:val="009E2A14"/>
    <w:rsid w:val="009E3E9F"/>
    <w:rsid w:val="009E46AE"/>
    <w:rsid w:val="009E4A93"/>
    <w:rsid w:val="009E4ED4"/>
    <w:rsid w:val="009E66D3"/>
    <w:rsid w:val="009F0E85"/>
    <w:rsid w:val="009F6F36"/>
    <w:rsid w:val="009F7785"/>
    <w:rsid w:val="00A023AE"/>
    <w:rsid w:val="00A02CA1"/>
    <w:rsid w:val="00A0412F"/>
    <w:rsid w:val="00A05579"/>
    <w:rsid w:val="00A05BFB"/>
    <w:rsid w:val="00A05E5B"/>
    <w:rsid w:val="00A12191"/>
    <w:rsid w:val="00A12310"/>
    <w:rsid w:val="00A14935"/>
    <w:rsid w:val="00A15560"/>
    <w:rsid w:val="00A16220"/>
    <w:rsid w:val="00A164DF"/>
    <w:rsid w:val="00A168BB"/>
    <w:rsid w:val="00A17E33"/>
    <w:rsid w:val="00A20AF8"/>
    <w:rsid w:val="00A212CD"/>
    <w:rsid w:val="00A25541"/>
    <w:rsid w:val="00A25FF8"/>
    <w:rsid w:val="00A26783"/>
    <w:rsid w:val="00A353A7"/>
    <w:rsid w:val="00A40AF8"/>
    <w:rsid w:val="00A413B3"/>
    <w:rsid w:val="00A41E8B"/>
    <w:rsid w:val="00A45547"/>
    <w:rsid w:val="00A50520"/>
    <w:rsid w:val="00A527B6"/>
    <w:rsid w:val="00A52AEE"/>
    <w:rsid w:val="00A554CB"/>
    <w:rsid w:val="00A56DFB"/>
    <w:rsid w:val="00A576A0"/>
    <w:rsid w:val="00A604B6"/>
    <w:rsid w:val="00A61055"/>
    <w:rsid w:val="00A62B87"/>
    <w:rsid w:val="00A64747"/>
    <w:rsid w:val="00A678EC"/>
    <w:rsid w:val="00A67F05"/>
    <w:rsid w:val="00A7128F"/>
    <w:rsid w:val="00A72C00"/>
    <w:rsid w:val="00A73819"/>
    <w:rsid w:val="00A746DC"/>
    <w:rsid w:val="00A75186"/>
    <w:rsid w:val="00A77C7F"/>
    <w:rsid w:val="00A80566"/>
    <w:rsid w:val="00A832D4"/>
    <w:rsid w:val="00A83C7A"/>
    <w:rsid w:val="00A86807"/>
    <w:rsid w:val="00A86C52"/>
    <w:rsid w:val="00A933B5"/>
    <w:rsid w:val="00A933CC"/>
    <w:rsid w:val="00A94018"/>
    <w:rsid w:val="00AA0DE6"/>
    <w:rsid w:val="00AA2ACD"/>
    <w:rsid w:val="00AA5D19"/>
    <w:rsid w:val="00AB00CB"/>
    <w:rsid w:val="00AB2CEF"/>
    <w:rsid w:val="00AB5A9B"/>
    <w:rsid w:val="00AB72F1"/>
    <w:rsid w:val="00AB7EEB"/>
    <w:rsid w:val="00AC1CE0"/>
    <w:rsid w:val="00AC3D08"/>
    <w:rsid w:val="00AC5579"/>
    <w:rsid w:val="00AC6E57"/>
    <w:rsid w:val="00AC7B93"/>
    <w:rsid w:val="00AD28F5"/>
    <w:rsid w:val="00AD56E3"/>
    <w:rsid w:val="00AD57A8"/>
    <w:rsid w:val="00AD594C"/>
    <w:rsid w:val="00AD651C"/>
    <w:rsid w:val="00AE286A"/>
    <w:rsid w:val="00AE451B"/>
    <w:rsid w:val="00AE5EAA"/>
    <w:rsid w:val="00AF42FE"/>
    <w:rsid w:val="00AF51D5"/>
    <w:rsid w:val="00AF7CE3"/>
    <w:rsid w:val="00B009F3"/>
    <w:rsid w:val="00B01D85"/>
    <w:rsid w:val="00B03DF4"/>
    <w:rsid w:val="00B04086"/>
    <w:rsid w:val="00B04A71"/>
    <w:rsid w:val="00B10106"/>
    <w:rsid w:val="00B12837"/>
    <w:rsid w:val="00B12D6E"/>
    <w:rsid w:val="00B143C8"/>
    <w:rsid w:val="00B15026"/>
    <w:rsid w:val="00B1567D"/>
    <w:rsid w:val="00B15C01"/>
    <w:rsid w:val="00B17514"/>
    <w:rsid w:val="00B17A7D"/>
    <w:rsid w:val="00B17CAF"/>
    <w:rsid w:val="00B20174"/>
    <w:rsid w:val="00B2347E"/>
    <w:rsid w:val="00B23BF3"/>
    <w:rsid w:val="00B24877"/>
    <w:rsid w:val="00B25829"/>
    <w:rsid w:val="00B318D8"/>
    <w:rsid w:val="00B31BE7"/>
    <w:rsid w:val="00B330BF"/>
    <w:rsid w:val="00B34AC2"/>
    <w:rsid w:val="00B35EFB"/>
    <w:rsid w:val="00B365E5"/>
    <w:rsid w:val="00B36743"/>
    <w:rsid w:val="00B374D8"/>
    <w:rsid w:val="00B410D8"/>
    <w:rsid w:val="00B46F03"/>
    <w:rsid w:val="00B5102F"/>
    <w:rsid w:val="00B51421"/>
    <w:rsid w:val="00B51FE6"/>
    <w:rsid w:val="00B52DC0"/>
    <w:rsid w:val="00B530B6"/>
    <w:rsid w:val="00B53372"/>
    <w:rsid w:val="00B5354E"/>
    <w:rsid w:val="00B55211"/>
    <w:rsid w:val="00B56A43"/>
    <w:rsid w:val="00B5709E"/>
    <w:rsid w:val="00B5734C"/>
    <w:rsid w:val="00B575BE"/>
    <w:rsid w:val="00B57732"/>
    <w:rsid w:val="00B6082D"/>
    <w:rsid w:val="00B6128F"/>
    <w:rsid w:val="00B642D5"/>
    <w:rsid w:val="00B64653"/>
    <w:rsid w:val="00B67595"/>
    <w:rsid w:val="00B804E9"/>
    <w:rsid w:val="00B822FF"/>
    <w:rsid w:val="00B82A19"/>
    <w:rsid w:val="00B83E4A"/>
    <w:rsid w:val="00B83FC6"/>
    <w:rsid w:val="00B90706"/>
    <w:rsid w:val="00B9209C"/>
    <w:rsid w:val="00BA2C64"/>
    <w:rsid w:val="00BA37D5"/>
    <w:rsid w:val="00BA4106"/>
    <w:rsid w:val="00BA5F1B"/>
    <w:rsid w:val="00BA7272"/>
    <w:rsid w:val="00BB7E8E"/>
    <w:rsid w:val="00BD1DC7"/>
    <w:rsid w:val="00BD282A"/>
    <w:rsid w:val="00BD2D03"/>
    <w:rsid w:val="00BD5467"/>
    <w:rsid w:val="00BD5695"/>
    <w:rsid w:val="00BD5856"/>
    <w:rsid w:val="00BE207C"/>
    <w:rsid w:val="00BE21F8"/>
    <w:rsid w:val="00BE48DB"/>
    <w:rsid w:val="00BE49D5"/>
    <w:rsid w:val="00BE5652"/>
    <w:rsid w:val="00BE6A1A"/>
    <w:rsid w:val="00BF0044"/>
    <w:rsid w:val="00BF067B"/>
    <w:rsid w:val="00BF07CB"/>
    <w:rsid w:val="00BF12A9"/>
    <w:rsid w:val="00BF1D6E"/>
    <w:rsid w:val="00BF2C0E"/>
    <w:rsid w:val="00BF326A"/>
    <w:rsid w:val="00BF575B"/>
    <w:rsid w:val="00BF595D"/>
    <w:rsid w:val="00BF5B06"/>
    <w:rsid w:val="00BF6061"/>
    <w:rsid w:val="00C01354"/>
    <w:rsid w:val="00C02F11"/>
    <w:rsid w:val="00C03CF3"/>
    <w:rsid w:val="00C0480D"/>
    <w:rsid w:val="00C06732"/>
    <w:rsid w:val="00C077C2"/>
    <w:rsid w:val="00C13021"/>
    <w:rsid w:val="00C17C3E"/>
    <w:rsid w:val="00C17C4C"/>
    <w:rsid w:val="00C202D3"/>
    <w:rsid w:val="00C204AE"/>
    <w:rsid w:val="00C20D62"/>
    <w:rsid w:val="00C22D44"/>
    <w:rsid w:val="00C23C03"/>
    <w:rsid w:val="00C25371"/>
    <w:rsid w:val="00C26403"/>
    <w:rsid w:val="00C3079C"/>
    <w:rsid w:val="00C3195D"/>
    <w:rsid w:val="00C353B7"/>
    <w:rsid w:val="00C3584F"/>
    <w:rsid w:val="00C35EEF"/>
    <w:rsid w:val="00C363E1"/>
    <w:rsid w:val="00C40E0F"/>
    <w:rsid w:val="00C41778"/>
    <w:rsid w:val="00C4235F"/>
    <w:rsid w:val="00C46A8C"/>
    <w:rsid w:val="00C5072C"/>
    <w:rsid w:val="00C51A65"/>
    <w:rsid w:val="00C52C35"/>
    <w:rsid w:val="00C5632B"/>
    <w:rsid w:val="00C5654E"/>
    <w:rsid w:val="00C56AB8"/>
    <w:rsid w:val="00C62925"/>
    <w:rsid w:val="00C63280"/>
    <w:rsid w:val="00C64C70"/>
    <w:rsid w:val="00C65081"/>
    <w:rsid w:val="00C651E3"/>
    <w:rsid w:val="00C65AD2"/>
    <w:rsid w:val="00C70F8E"/>
    <w:rsid w:val="00C72A0A"/>
    <w:rsid w:val="00C73068"/>
    <w:rsid w:val="00C7352D"/>
    <w:rsid w:val="00C73790"/>
    <w:rsid w:val="00C73F36"/>
    <w:rsid w:val="00C74342"/>
    <w:rsid w:val="00C75E2D"/>
    <w:rsid w:val="00C77173"/>
    <w:rsid w:val="00C7782D"/>
    <w:rsid w:val="00C8049A"/>
    <w:rsid w:val="00C80A83"/>
    <w:rsid w:val="00C810A2"/>
    <w:rsid w:val="00C81A5B"/>
    <w:rsid w:val="00C84CEB"/>
    <w:rsid w:val="00C85BC3"/>
    <w:rsid w:val="00C91CC9"/>
    <w:rsid w:val="00C91DD8"/>
    <w:rsid w:val="00C93C3D"/>
    <w:rsid w:val="00C93D44"/>
    <w:rsid w:val="00C97346"/>
    <w:rsid w:val="00CA7C6C"/>
    <w:rsid w:val="00CA7F44"/>
    <w:rsid w:val="00CB2BD9"/>
    <w:rsid w:val="00CB446C"/>
    <w:rsid w:val="00CB4718"/>
    <w:rsid w:val="00CB4C00"/>
    <w:rsid w:val="00CC0B81"/>
    <w:rsid w:val="00CC0E2F"/>
    <w:rsid w:val="00CC1087"/>
    <w:rsid w:val="00CC5D6B"/>
    <w:rsid w:val="00CC6564"/>
    <w:rsid w:val="00CC6869"/>
    <w:rsid w:val="00CC6C2E"/>
    <w:rsid w:val="00CC7D6E"/>
    <w:rsid w:val="00CD13A2"/>
    <w:rsid w:val="00CD22F5"/>
    <w:rsid w:val="00CD387A"/>
    <w:rsid w:val="00CD4548"/>
    <w:rsid w:val="00CD4EA2"/>
    <w:rsid w:val="00CD715B"/>
    <w:rsid w:val="00CD7904"/>
    <w:rsid w:val="00CD7BD5"/>
    <w:rsid w:val="00CD7F9E"/>
    <w:rsid w:val="00CE0D99"/>
    <w:rsid w:val="00CE1B51"/>
    <w:rsid w:val="00CE3913"/>
    <w:rsid w:val="00CE75BC"/>
    <w:rsid w:val="00CE785F"/>
    <w:rsid w:val="00CF0557"/>
    <w:rsid w:val="00CF0C85"/>
    <w:rsid w:val="00CF23B9"/>
    <w:rsid w:val="00CF4264"/>
    <w:rsid w:val="00CF6D38"/>
    <w:rsid w:val="00D008B6"/>
    <w:rsid w:val="00D00AE6"/>
    <w:rsid w:val="00D01123"/>
    <w:rsid w:val="00D01ACC"/>
    <w:rsid w:val="00D02395"/>
    <w:rsid w:val="00D07C48"/>
    <w:rsid w:val="00D07C77"/>
    <w:rsid w:val="00D103D3"/>
    <w:rsid w:val="00D11796"/>
    <w:rsid w:val="00D11A25"/>
    <w:rsid w:val="00D13052"/>
    <w:rsid w:val="00D14692"/>
    <w:rsid w:val="00D1563D"/>
    <w:rsid w:val="00D166D1"/>
    <w:rsid w:val="00D174E0"/>
    <w:rsid w:val="00D21B48"/>
    <w:rsid w:val="00D230B4"/>
    <w:rsid w:val="00D23666"/>
    <w:rsid w:val="00D2515F"/>
    <w:rsid w:val="00D261B8"/>
    <w:rsid w:val="00D2678A"/>
    <w:rsid w:val="00D302C4"/>
    <w:rsid w:val="00D30A78"/>
    <w:rsid w:val="00D30D4C"/>
    <w:rsid w:val="00D3235E"/>
    <w:rsid w:val="00D41CA8"/>
    <w:rsid w:val="00D437A5"/>
    <w:rsid w:val="00D441F2"/>
    <w:rsid w:val="00D45943"/>
    <w:rsid w:val="00D47401"/>
    <w:rsid w:val="00D47598"/>
    <w:rsid w:val="00D47815"/>
    <w:rsid w:val="00D50E25"/>
    <w:rsid w:val="00D5211E"/>
    <w:rsid w:val="00D5567E"/>
    <w:rsid w:val="00D5727F"/>
    <w:rsid w:val="00D60A4F"/>
    <w:rsid w:val="00D61E39"/>
    <w:rsid w:val="00D6479F"/>
    <w:rsid w:val="00D64DFC"/>
    <w:rsid w:val="00D65BD6"/>
    <w:rsid w:val="00D6748A"/>
    <w:rsid w:val="00D67616"/>
    <w:rsid w:val="00D73F54"/>
    <w:rsid w:val="00D742CA"/>
    <w:rsid w:val="00D74365"/>
    <w:rsid w:val="00D74991"/>
    <w:rsid w:val="00D74BA4"/>
    <w:rsid w:val="00D76996"/>
    <w:rsid w:val="00D80AC4"/>
    <w:rsid w:val="00D81868"/>
    <w:rsid w:val="00D81F6D"/>
    <w:rsid w:val="00D81FFD"/>
    <w:rsid w:val="00D8382E"/>
    <w:rsid w:val="00D8434A"/>
    <w:rsid w:val="00D84505"/>
    <w:rsid w:val="00D87ECB"/>
    <w:rsid w:val="00D90C08"/>
    <w:rsid w:val="00D91D98"/>
    <w:rsid w:val="00D95C89"/>
    <w:rsid w:val="00D9608D"/>
    <w:rsid w:val="00D96268"/>
    <w:rsid w:val="00D96292"/>
    <w:rsid w:val="00D96FFB"/>
    <w:rsid w:val="00DA042E"/>
    <w:rsid w:val="00DA200F"/>
    <w:rsid w:val="00DA3066"/>
    <w:rsid w:val="00DA43A3"/>
    <w:rsid w:val="00DA46B3"/>
    <w:rsid w:val="00DA4D63"/>
    <w:rsid w:val="00DA5859"/>
    <w:rsid w:val="00DA6BBB"/>
    <w:rsid w:val="00DA6D30"/>
    <w:rsid w:val="00DB349D"/>
    <w:rsid w:val="00DB6779"/>
    <w:rsid w:val="00DC11C6"/>
    <w:rsid w:val="00DC2E05"/>
    <w:rsid w:val="00DC34CD"/>
    <w:rsid w:val="00DC48DF"/>
    <w:rsid w:val="00DC6D3A"/>
    <w:rsid w:val="00DC7D73"/>
    <w:rsid w:val="00DD149F"/>
    <w:rsid w:val="00DD1FC2"/>
    <w:rsid w:val="00DD2D94"/>
    <w:rsid w:val="00DD5C1D"/>
    <w:rsid w:val="00DE049F"/>
    <w:rsid w:val="00DE113B"/>
    <w:rsid w:val="00DE1F26"/>
    <w:rsid w:val="00DE573D"/>
    <w:rsid w:val="00DE6A85"/>
    <w:rsid w:val="00DE711A"/>
    <w:rsid w:val="00DF6109"/>
    <w:rsid w:val="00DF7A12"/>
    <w:rsid w:val="00DF7DC7"/>
    <w:rsid w:val="00E013F3"/>
    <w:rsid w:val="00E02842"/>
    <w:rsid w:val="00E039EB"/>
    <w:rsid w:val="00E066E4"/>
    <w:rsid w:val="00E11053"/>
    <w:rsid w:val="00E11216"/>
    <w:rsid w:val="00E12466"/>
    <w:rsid w:val="00E13FEB"/>
    <w:rsid w:val="00E14CCB"/>
    <w:rsid w:val="00E15089"/>
    <w:rsid w:val="00E154C5"/>
    <w:rsid w:val="00E15D99"/>
    <w:rsid w:val="00E17DE8"/>
    <w:rsid w:val="00E212F1"/>
    <w:rsid w:val="00E217CF"/>
    <w:rsid w:val="00E23FBF"/>
    <w:rsid w:val="00E25983"/>
    <w:rsid w:val="00E279C5"/>
    <w:rsid w:val="00E336F4"/>
    <w:rsid w:val="00E33807"/>
    <w:rsid w:val="00E33A69"/>
    <w:rsid w:val="00E33ADB"/>
    <w:rsid w:val="00E34328"/>
    <w:rsid w:val="00E35C2F"/>
    <w:rsid w:val="00E36953"/>
    <w:rsid w:val="00E36E3B"/>
    <w:rsid w:val="00E40574"/>
    <w:rsid w:val="00E41D18"/>
    <w:rsid w:val="00E44479"/>
    <w:rsid w:val="00E45119"/>
    <w:rsid w:val="00E45725"/>
    <w:rsid w:val="00E457EF"/>
    <w:rsid w:val="00E458AE"/>
    <w:rsid w:val="00E45C92"/>
    <w:rsid w:val="00E465D3"/>
    <w:rsid w:val="00E46991"/>
    <w:rsid w:val="00E47434"/>
    <w:rsid w:val="00E475EC"/>
    <w:rsid w:val="00E478D3"/>
    <w:rsid w:val="00E508E5"/>
    <w:rsid w:val="00E52135"/>
    <w:rsid w:val="00E53AB5"/>
    <w:rsid w:val="00E54645"/>
    <w:rsid w:val="00E54B73"/>
    <w:rsid w:val="00E55736"/>
    <w:rsid w:val="00E55AFA"/>
    <w:rsid w:val="00E65067"/>
    <w:rsid w:val="00E65D70"/>
    <w:rsid w:val="00E716B1"/>
    <w:rsid w:val="00E72E12"/>
    <w:rsid w:val="00E7435E"/>
    <w:rsid w:val="00E74498"/>
    <w:rsid w:val="00E76841"/>
    <w:rsid w:val="00E76D80"/>
    <w:rsid w:val="00E837EE"/>
    <w:rsid w:val="00E879CF"/>
    <w:rsid w:val="00E926BB"/>
    <w:rsid w:val="00E93907"/>
    <w:rsid w:val="00E957BA"/>
    <w:rsid w:val="00E962DE"/>
    <w:rsid w:val="00E975B2"/>
    <w:rsid w:val="00E977A1"/>
    <w:rsid w:val="00EA2144"/>
    <w:rsid w:val="00EA27D6"/>
    <w:rsid w:val="00EA3510"/>
    <w:rsid w:val="00EA3C7C"/>
    <w:rsid w:val="00EA6C73"/>
    <w:rsid w:val="00EA7D52"/>
    <w:rsid w:val="00EB0E34"/>
    <w:rsid w:val="00EB25AB"/>
    <w:rsid w:val="00EB2AFF"/>
    <w:rsid w:val="00EB32E9"/>
    <w:rsid w:val="00EB34FF"/>
    <w:rsid w:val="00EB4202"/>
    <w:rsid w:val="00EB7C7D"/>
    <w:rsid w:val="00EB7DC5"/>
    <w:rsid w:val="00EC08CF"/>
    <w:rsid w:val="00EC09B8"/>
    <w:rsid w:val="00EC0E23"/>
    <w:rsid w:val="00EC105A"/>
    <w:rsid w:val="00EC43E1"/>
    <w:rsid w:val="00EC5524"/>
    <w:rsid w:val="00EC56A0"/>
    <w:rsid w:val="00EC5A8D"/>
    <w:rsid w:val="00EC62D5"/>
    <w:rsid w:val="00EC6ED6"/>
    <w:rsid w:val="00EC7ADE"/>
    <w:rsid w:val="00ED0F6F"/>
    <w:rsid w:val="00ED1289"/>
    <w:rsid w:val="00ED2DDC"/>
    <w:rsid w:val="00ED3238"/>
    <w:rsid w:val="00ED4520"/>
    <w:rsid w:val="00ED5407"/>
    <w:rsid w:val="00ED65D5"/>
    <w:rsid w:val="00ED77F6"/>
    <w:rsid w:val="00ED7AE2"/>
    <w:rsid w:val="00EE14A6"/>
    <w:rsid w:val="00EE352F"/>
    <w:rsid w:val="00EE4161"/>
    <w:rsid w:val="00EE4D71"/>
    <w:rsid w:val="00EE571E"/>
    <w:rsid w:val="00EE6CF4"/>
    <w:rsid w:val="00EE71B7"/>
    <w:rsid w:val="00EF0108"/>
    <w:rsid w:val="00EF0813"/>
    <w:rsid w:val="00EF2B52"/>
    <w:rsid w:val="00EF3CFD"/>
    <w:rsid w:val="00EF4626"/>
    <w:rsid w:val="00EF4D4B"/>
    <w:rsid w:val="00F01A1A"/>
    <w:rsid w:val="00F02271"/>
    <w:rsid w:val="00F026F6"/>
    <w:rsid w:val="00F02DC2"/>
    <w:rsid w:val="00F030FF"/>
    <w:rsid w:val="00F03457"/>
    <w:rsid w:val="00F0390E"/>
    <w:rsid w:val="00F04F76"/>
    <w:rsid w:val="00F06349"/>
    <w:rsid w:val="00F07535"/>
    <w:rsid w:val="00F10561"/>
    <w:rsid w:val="00F124F1"/>
    <w:rsid w:val="00F12A11"/>
    <w:rsid w:val="00F12D07"/>
    <w:rsid w:val="00F14D45"/>
    <w:rsid w:val="00F15415"/>
    <w:rsid w:val="00F16A39"/>
    <w:rsid w:val="00F16D8C"/>
    <w:rsid w:val="00F20604"/>
    <w:rsid w:val="00F20DFA"/>
    <w:rsid w:val="00F214DE"/>
    <w:rsid w:val="00F2173F"/>
    <w:rsid w:val="00F2199D"/>
    <w:rsid w:val="00F22DF1"/>
    <w:rsid w:val="00F23294"/>
    <w:rsid w:val="00F244D0"/>
    <w:rsid w:val="00F24F00"/>
    <w:rsid w:val="00F25B44"/>
    <w:rsid w:val="00F2749D"/>
    <w:rsid w:val="00F30BD7"/>
    <w:rsid w:val="00F32BB1"/>
    <w:rsid w:val="00F33986"/>
    <w:rsid w:val="00F33F3B"/>
    <w:rsid w:val="00F36446"/>
    <w:rsid w:val="00F3683D"/>
    <w:rsid w:val="00F36C0E"/>
    <w:rsid w:val="00F3733D"/>
    <w:rsid w:val="00F41942"/>
    <w:rsid w:val="00F422CD"/>
    <w:rsid w:val="00F42851"/>
    <w:rsid w:val="00F43733"/>
    <w:rsid w:val="00F469AB"/>
    <w:rsid w:val="00F47D47"/>
    <w:rsid w:val="00F50E8A"/>
    <w:rsid w:val="00F512C6"/>
    <w:rsid w:val="00F53CA6"/>
    <w:rsid w:val="00F568DE"/>
    <w:rsid w:val="00F60E01"/>
    <w:rsid w:val="00F63C86"/>
    <w:rsid w:val="00F643AA"/>
    <w:rsid w:val="00F65D7E"/>
    <w:rsid w:val="00F6614D"/>
    <w:rsid w:val="00F669FF"/>
    <w:rsid w:val="00F66E7E"/>
    <w:rsid w:val="00F67FF8"/>
    <w:rsid w:val="00F71181"/>
    <w:rsid w:val="00F7361A"/>
    <w:rsid w:val="00F737CB"/>
    <w:rsid w:val="00F739C6"/>
    <w:rsid w:val="00F76000"/>
    <w:rsid w:val="00F811D1"/>
    <w:rsid w:val="00F81286"/>
    <w:rsid w:val="00F824C2"/>
    <w:rsid w:val="00F8312E"/>
    <w:rsid w:val="00F83DE4"/>
    <w:rsid w:val="00F83E8A"/>
    <w:rsid w:val="00F867C5"/>
    <w:rsid w:val="00F868C2"/>
    <w:rsid w:val="00F86985"/>
    <w:rsid w:val="00F90051"/>
    <w:rsid w:val="00F9110E"/>
    <w:rsid w:val="00F91AA5"/>
    <w:rsid w:val="00F91DE0"/>
    <w:rsid w:val="00F92610"/>
    <w:rsid w:val="00F9368B"/>
    <w:rsid w:val="00F96C06"/>
    <w:rsid w:val="00F978FC"/>
    <w:rsid w:val="00FA11DB"/>
    <w:rsid w:val="00FA2B48"/>
    <w:rsid w:val="00FA3B7E"/>
    <w:rsid w:val="00FA556A"/>
    <w:rsid w:val="00FB00FC"/>
    <w:rsid w:val="00FB0463"/>
    <w:rsid w:val="00FB3C84"/>
    <w:rsid w:val="00FB60F3"/>
    <w:rsid w:val="00FB644D"/>
    <w:rsid w:val="00FB6510"/>
    <w:rsid w:val="00FC12B1"/>
    <w:rsid w:val="00FC276B"/>
    <w:rsid w:val="00FC29D9"/>
    <w:rsid w:val="00FC581B"/>
    <w:rsid w:val="00FC58E5"/>
    <w:rsid w:val="00FD09D8"/>
    <w:rsid w:val="00FD0D58"/>
    <w:rsid w:val="00FD16C0"/>
    <w:rsid w:val="00FD1B35"/>
    <w:rsid w:val="00FD4C99"/>
    <w:rsid w:val="00FD562F"/>
    <w:rsid w:val="00FD5C8A"/>
    <w:rsid w:val="00FE1675"/>
    <w:rsid w:val="00FE1F16"/>
    <w:rsid w:val="00FE2FC9"/>
    <w:rsid w:val="00FE3123"/>
    <w:rsid w:val="00FE4EC9"/>
    <w:rsid w:val="00FF010C"/>
    <w:rsid w:val="00FF0B00"/>
    <w:rsid w:val="00FF12D1"/>
    <w:rsid w:val="00FF2360"/>
    <w:rsid w:val="00FF25D4"/>
    <w:rsid w:val="00FF2B68"/>
    <w:rsid w:val="00FF2CEC"/>
    <w:rsid w:val="00FF4695"/>
    <w:rsid w:val="00FF5B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E55AFA"/>
    <w:pPr>
      <w:numPr>
        <w:ilvl w:val="2"/>
      </w:numPr>
      <w:tabs>
        <w:tab w:val="num" w:pos="360"/>
      </w:tabs>
      <w:spacing w:before="120"/>
      <w:ind w:left="720"/>
      <w:outlineLvl w:val="2"/>
    </w:pPr>
    <w:rPr>
      <w:sz w:val="28"/>
    </w:rPr>
  </w:style>
  <w:style w:type="paragraph" w:styleId="Heading4">
    <w:name w:val="heading 4"/>
    <w:aliases w:val="h4"/>
    <w:basedOn w:val="Heading3"/>
    <w:next w:val="Normal"/>
    <w:link w:val="Heading4Char"/>
    <w:qFormat/>
    <w:rsid w:val="00E55AFA"/>
    <w:pPr>
      <w:numPr>
        <w:ilvl w:val="3"/>
      </w:numPr>
      <w:tabs>
        <w:tab w:val="num" w:pos="360"/>
      </w:tabs>
      <w:outlineLvl w:val="3"/>
    </w:pPr>
    <w:rPr>
      <w:sz w:val="24"/>
    </w:rPr>
  </w:style>
  <w:style w:type="paragraph" w:styleId="Heading5">
    <w:name w:val="heading 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E55AFA"/>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E55AFA"/>
    <w:pPr>
      <w:numPr>
        <w:ilvl w:val="7"/>
      </w:numPr>
      <w:tabs>
        <w:tab w:val="num" w:pos="360"/>
      </w:tabs>
      <w:outlineLvl w:val="7"/>
    </w:pPr>
  </w:style>
  <w:style w:type="paragraph" w:styleId="Heading9">
    <w:name w:val="heading 9"/>
    <w:basedOn w:val="Heading8"/>
    <w:next w:val="Normal"/>
    <w:link w:val="Heading9Char"/>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55AFA"/>
    <w:rPr>
      <w:rFonts w:ascii="Arial" w:eastAsia="SimSun" w:hAnsi="Arial" w:cs="Times New Roman"/>
      <w:sz w:val="36"/>
      <w:szCs w:val="20"/>
      <w:lang w:val="en-GB"/>
    </w:rPr>
  </w:style>
  <w:style w:type="character" w:customStyle="1" w:styleId="Heading2Char">
    <w:name w:val="Heading 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列表段落 Char,列出段落1 Char,¥¡¡¡¡ì¬º¥¹¥È¶ÎÂä Char,ÁÐ³ö¶ÎÂä Char,列表段落1 Char,—ño’i—Ž Char,¥ê¥¹¥È¶ÎÂä Char,1st level - Bullet List Paragraph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列表段落,列出段落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semiHidden/>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 w:type="paragraph" w:styleId="BalloonText">
    <w:name w:val="Balloon Text"/>
    <w:basedOn w:val="Normal"/>
    <w:link w:val="BalloonTextChar"/>
    <w:uiPriority w:val="99"/>
    <w:semiHidden/>
    <w:unhideWhenUsed/>
    <w:rsid w:val="003931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16B"/>
    <w:rPr>
      <w:rFonts w:ascii="Segoe UI" w:eastAsia="SimSun" w:hAnsi="Segoe UI" w:cs="Segoe UI"/>
      <w:sz w:val="18"/>
      <w:szCs w:val="18"/>
      <w:lang w:val="en-US"/>
    </w:rPr>
  </w:style>
  <w:style w:type="character" w:styleId="Hyperlink">
    <w:name w:val="Hyperlink"/>
    <w:uiPriority w:val="99"/>
    <w:rsid w:val="008F392D"/>
    <w:rPr>
      <w:color w:val="0000FF"/>
      <w:u w:val="single"/>
    </w:rPr>
  </w:style>
  <w:style w:type="paragraph" w:customStyle="1" w:styleId="Proposal">
    <w:name w:val="Proposal"/>
    <w:basedOn w:val="Normal"/>
    <w:link w:val="ProposalChar"/>
    <w:qFormat/>
    <w:rsid w:val="008F392D"/>
    <w:pPr>
      <w:numPr>
        <w:numId w:val="16"/>
      </w:numPr>
      <w:tabs>
        <w:tab w:val="left" w:pos="1701"/>
      </w:tabs>
      <w:spacing w:after="120"/>
      <w:jc w:val="both"/>
    </w:pPr>
    <w:rPr>
      <w:rFonts w:ascii="Arial" w:eastAsia="Times New Roman" w:hAnsi="Arial"/>
      <w:b/>
      <w:bCs/>
      <w:lang w:val="en-GB" w:eastAsia="zh-CN"/>
    </w:rPr>
  </w:style>
  <w:style w:type="character" w:customStyle="1" w:styleId="ProposalChar">
    <w:name w:val="Proposal Char"/>
    <w:link w:val="Proposal"/>
    <w:qFormat/>
    <w:rsid w:val="008F392D"/>
    <w:rPr>
      <w:rFonts w:ascii="Arial" w:eastAsia="Times New Roman" w:hAnsi="Arial" w:cs="Times New Roman"/>
      <w:b/>
      <w:bCs/>
      <w:sz w:val="20"/>
      <w:szCs w:val="20"/>
      <w:lang w:val="en-GB" w:eastAsia="zh-CN"/>
    </w:rPr>
  </w:style>
  <w:style w:type="table" w:styleId="TableGridLight">
    <w:name w:val="Grid Table Light"/>
    <w:basedOn w:val="TableNormal"/>
    <w:uiPriority w:val="40"/>
    <w:rsid w:val="00831934"/>
    <w:pPr>
      <w:spacing w:after="0" w:line="240" w:lineRule="auto"/>
    </w:pPr>
    <w:rPr>
      <w:rFonts w:ascii="CG Times (WN)" w:eastAsia="SimSun" w:hAnsi="CG Times (W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Q">
    <w:name w:val="EQ"/>
    <w:basedOn w:val="Normal"/>
    <w:next w:val="Normal"/>
    <w:link w:val="EQChar"/>
    <w:qFormat/>
    <w:rsid w:val="00E15D99"/>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Normal"/>
    <w:link w:val="B10"/>
    <w:qFormat/>
    <w:rsid w:val="00E15D99"/>
    <w:pPr>
      <w:overflowPunct/>
      <w:autoSpaceDE/>
      <w:autoSpaceDN/>
      <w:adjustRightInd/>
      <w:ind w:left="568" w:hanging="284"/>
      <w:textAlignment w:val="auto"/>
    </w:pPr>
    <w:rPr>
      <w:rFonts w:eastAsia="Times New Roman"/>
      <w:lang w:val="en-GB"/>
    </w:rPr>
  </w:style>
  <w:style w:type="character" w:customStyle="1" w:styleId="B10">
    <w:name w:val="B1 (文字)"/>
    <w:link w:val="B1"/>
    <w:qFormat/>
    <w:locked/>
    <w:rsid w:val="00E15D99"/>
    <w:rPr>
      <w:rFonts w:ascii="Times New Roman" w:eastAsia="Times New Roman" w:hAnsi="Times New Roman" w:cs="Times New Roman"/>
      <w:sz w:val="20"/>
      <w:szCs w:val="20"/>
      <w:lang w:val="en-GB"/>
    </w:rPr>
  </w:style>
  <w:style w:type="paragraph" w:customStyle="1" w:styleId="RAN1bullet2">
    <w:name w:val="RAN1 bullet2"/>
    <w:basedOn w:val="Normal"/>
    <w:qFormat/>
    <w:rsid w:val="00E15D99"/>
    <w:pPr>
      <w:numPr>
        <w:ilvl w:val="1"/>
        <w:numId w:val="19"/>
      </w:numPr>
      <w:tabs>
        <w:tab w:val="left" w:pos="1440"/>
      </w:tabs>
      <w:overflowPunct/>
      <w:autoSpaceDE/>
      <w:autoSpaceDN/>
      <w:adjustRightInd/>
      <w:spacing w:after="0"/>
      <w:textAlignment w:val="auto"/>
    </w:pPr>
    <w:rPr>
      <w:rFonts w:ascii="Times" w:eastAsia="Batang" w:hAnsi="Times"/>
    </w:rPr>
  </w:style>
  <w:style w:type="paragraph" w:customStyle="1" w:styleId="H6">
    <w:name w:val="H6"/>
    <w:basedOn w:val="Heading5"/>
    <w:next w:val="Normal"/>
    <w:rsid w:val="006539DC"/>
    <w:pPr>
      <w:numPr>
        <w:ilvl w:val="0"/>
        <w:numId w:val="0"/>
      </w:numPr>
      <w:overflowPunct/>
      <w:autoSpaceDE/>
      <w:autoSpaceDN/>
      <w:adjustRightInd/>
      <w:ind w:left="1985" w:hanging="1985"/>
      <w:textAlignment w:val="auto"/>
      <w:outlineLvl w:val="9"/>
    </w:pPr>
    <w:rPr>
      <w:rFonts w:eastAsia="Times New Roman"/>
      <w:sz w:val="20"/>
    </w:rPr>
  </w:style>
  <w:style w:type="character" w:customStyle="1" w:styleId="B2Char">
    <w:name w:val="B2 Char"/>
    <w:link w:val="B2"/>
    <w:uiPriority w:val="99"/>
    <w:qFormat/>
    <w:locked/>
    <w:rsid w:val="004664D3"/>
  </w:style>
  <w:style w:type="paragraph" w:customStyle="1" w:styleId="B2">
    <w:name w:val="B2"/>
    <w:basedOn w:val="Normal"/>
    <w:link w:val="B2Char"/>
    <w:uiPriority w:val="99"/>
    <w:qFormat/>
    <w:rsid w:val="004664D3"/>
    <w:pPr>
      <w:overflowPunct/>
      <w:autoSpaceDE/>
      <w:autoSpaceDN/>
      <w:adjustRightInd/>
      <w:ind w:left="851" w:hanging="284"/>
      <w:textAlignment w:val="auto"/>
    </w:pPr>
    <w:rPr>
      <w:rFonts w:asciiTheme="minorHAnsi" w:eastAsiaTheme="minorHAnsi" w:hAnsiTheme="minorHAnsi" w:cstheme="minorBidi"/>
      <w:sz w:val="22"/>
      <w:szCs w:val="22"/>
      <w:lang w:val="en-IN"/>
    </w:rPr>
  </w:style>
  <w:style w:type="paragraph" w:customStyle="1" w:styleId="TAH">
    <w:name w:val="TAH"/>
    <w:basedOn w:val="TAC"/>
    <w:link w:val="TAHCar"/>
    <w:rsid w:val="006C36F7"/>
    <w:rPr>
      <w:b/>
    </w:rPr>
  </w:style>
  <w:style w:type="paragraph" w:customStyle="1" w:styleId="TAC">
    <w:name w:val="TAC"/>
    <w:basedOn w:val="Normal"/>
    <w:link w:val="TACChar"/>
    <w:rsid w:val="006C36F7"/>
    <w:pPr>
      <w:keepNext/>
      <w:keepLines/>
      <w:spacing w:after="0"/>
      <w:jc w:val="center"/>
    </w:pPr>
    <w:rPr>
      <w:rFonts w:ascii="Arial" w:eastAsia="Times New Roman" w:hAnsi="Arial"/>
      <w:sz w:val="18"/>
      <w:lang w:val="en-GB" w:eastAsia="en-GB"/>
    </w:rPr>
  </w:style>
  <w:style w:type="paragraph" w:customStyle="1" w:styleId="TF">
    <w:name w:val="TF"/>
    <w:aliases w:val="left"/>
    <w:basedOn w:val="TH"/>
    <w:link w:val="TFChar"/>
    <w:rsid w:val="006C36F7"/>
    <w:pPr>
      <w:keepNext w:val="0"/>
      <w:spacing w:before="0" w:after="240"/>
    </w:pPr>
  </w:style>
  <w:style w:type="paragraph" w:customStyle="1" w:styleId="TH">
    <w:name w:val="TH"/>
    <w:basedOn w:val="Normal"/>
    <w:link w:val="THChar"/>
    <w:rsid w:val="006C36F7"/>
    <w:pPr>
      <w:keepNext/>
      <w:keepLines/>
      <w:spacing w:before="60"/>
      <w:jc w:val="center"/>
    </w:pPr>
    <w:rPr>
      <w:rFonts w:ascii="Arial" w:eastAsia="Times New Roman" w:hAnsi="Arial"/>
      <w:b/>
      <w:lang w:val="en-GB" w:eastAsia="en-GB"/>
    </w:rPr>
  </w:style>
  <w:style w:type="paragraph" w:customStyle="1" w:styleId="TAN">
    <w:name w:val="TAN"/>
    <w:basedOn w:val="Normal"/>
    <w:link w:val="TANChar"/>
    <w:rsid w:val="006C36F7"/>
    <w:pPr>
      <w:keepNext/>
      <w:keepLines/>
      <w:spacing w:after="0"/>
      <w:ind w:left="851" w:hanging="851"/>
    </w:pPr>
    <w:rPr>
      <w:rFonts w:ascii="Arial" w:eastAsia="Times New Roman" w:hAnsi="Arial"/>
      <w:sz w:val="18"/>
      <w:lang w:val="en-GB" w:eastAsia="en-GB"/>
    </w:rPr>
  </w:style>
  <w:style w:type="paragraph" w:customStyle="1" w:styleId="EditorsNote">
    <w:name w:val="Editor's Note"/>
    <w:basedOn w:val="Normal"/>
    <w:rsid w:val="006C36F7"/>
    <w:pPr>
      <w:keepLines/>
      <w:ind w:left="1135" w:hanging="851"/>
    </w:pPr>
    <w:rPr>
      <w:rFonts w:eastAsia="Times New Roman"/>
      <w:color w:val="FF0000"/>
      <w:lang w:val="en-GB" w:eastAsia="en-GB"/>
    </w:rPr>
  </w:style>
  <w:style w:type="character" w:customStyle="1" w:styleId="TACChar">
    <w:name w:val="TAC Char"/>
    <w:link w:val="TAC"/>
    <w:qFormat/>
    <w:rsid w:val="006C36F7"/>
    <w:rPr>
      <w:rFonts w:ascii="Arial" w:eastAsia="Times New Roman" w:hAnsi="Arial" w:cs="Times New Roman"/>
      <w:sz w:val="18"/>
      <w:szCs w:val="20"/>
      <w:lang w:val="en-GB" w:eastAsia="en-GB"/>
    </w:rPr>
  </w:style>
  <w:style w:type="character" w:customStyle="1" w:styleId="THChar">
    <w:name w:val="TH Char"/>
    <w:link w:val="TH"/>
    <w:qFormat/>
    <w:rsid w:val="006C36F7"/>
    <w:rPr>
      <w:rFonts w:ascii="Arial" w:eastAsia="Times New Roman" w:hAnsi="Arial" w:cs="Times New Roman"/>
      <w:b/>
      <w:sz w:val="20"/>
      <w:szCs w:val="20"/>
      <w:lang w:val="en-GB" w:eastAsia="en-GB"/>
    </w:rPr>
  </w:style>
  <w:style w:type="character" w:customStyle="1" w:styleId="TAHCar">
    <w:name w:val="TAH Car"/>
    <w:link w:val="TAH"/>
    <w:qFormat/>
    <w:rsid w:val="006C36F7"/>
    <w:rPr>
      <w:rFonts w:ascii="Arial" w:eastAsia="Times New Roman" w:hAnsi="Arial" w:cs="Times New Roman"/>
      <w:b/>
      <w:sz w:val="18"/>
      <w:szCs w:val="20"/>
      <w:lang w:val="en-GB" w:eastAsia="en-GB"/>
    </w:rPr>
  </w:style>
  <w:style w:type="character" w:customStyle="1" w:styleId="TANChar">
    <w:name w:val="TAN Char"/>
    <w:link w:val="TAN"/>
    <w:qFormat/>
    <w:rsid w:val="006C36F7"/>
    <w:rPr>
      <w:rFonts w:ascii="Arial" w:eastAsia="Times New Roman" w:hAnsi="Arial" w:cs="Times New Roman"/>
      <w:sz w:val="18"/>
      <w:szCs w:val="20"/>
      <w:lang w:val="en-GB" w:eastAsia="en-GB"/>
    </w:rPr>
  </w:style>
  <w:style w:type="character" w:customStyle="1" w:styleId="TFChar">
    <w:name w:val="TF Char"/>
    <w:link w:val="TF"/>
    <w:rsid w:val="006C36F7"/>
    <w:rPr>
      <w:rFonts w:ascii="Arial" w:eastAsia="Times New Roman" w:hAnsi="Arial" w:cs="Times New Roman"/>
      <w:b/>
      <w:sz w:val="20"/>
      <w:szCs w:val="20"/>
      <w:lang w:val="en-GB" w:eastAsia="en-GB"/>
    </w:rPr>
  </w:style>
  <w:style w:type="character" w:customStyle="1" w:styleId="EQChar">
    <w:name w:val="EQ Char"/>
    <w:link w:val="EQ"/>
    <w:rsid w:val="006C36F7"/>
    <w:rPr>
      <w:rFonts w:ascii="Times New Roman" w:eastAsia="Times New Roman" w:hAnsi="Times New Roman" w:cs="Times New Roman"/>
      <w:noProof/>
      <w:sz w:val="20"/>
      <w:szCs w:val="20"/>
      <w:lang w:val="en-GB"/>
    </w:rPr>
  </w:style>
  <w:style w:type="paragraph" w:customStyle="1" w:styleId="CRCoverPage">
    <w:name w:val="CR Cover Page"/>
    <w:rsid w:val="006932F1"/>
    <w:pPr>
      <w:spacing w:after="120" w:line="240" w:lineRule="auto"/>
    </w:pPr>
    <w:rPr>
      <w:rFonts w:ascii="Arial" w:eastAsia="SimSun" w:hAnsi="Arial" w:cs="Times New Roman"/>
      <w:sz w:val="20"/>
      <w:szCs w:val="20"/>
      <w:lang w:val="en-GB"/>
    </w:rPr>
  </w:style>
  <w:style w:type="character" w:styleId="Emphasis">
    <w:name w:val="Emphasis"/>
    <w:uiPriority w:val="20"/>
    <w:qFormat/>
    <w:rsid w:val="00436603"/>
    <w:rPr>
      <w:i/>
      <w:iCs/>
    </w:rPr>
  </w:style>
  <w:style w:type="character" w:styleId="Strong">
    <w:name w:val="Strong"/>
    <w:uiPriority w:val="22"/>
    <w:qFormat/>
    <w:rsid w:val="004366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68978203">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471556973">
      <w:bodyDiv w:val="1"/>
      <w:marLeft w:val="0"/>
      <w:marRight w:val="0"/>
      <w:marTop w:val="0"/>
      <w:marBottom w:val="0"/>
      <w:divBdr>
        <w:top w:val="none" w:sz="0" w:space="0" w:color="auto"/>
        <w:left w:val="none" w:sz="0" w:space="0" w:color="auto"/>
        <w:bottom w:val="none" w:sz="0" w:space="0" w:color="auto"/>
        <w:right w:val="none" w:sz="0" w:space="0" w:color="auto"/>
      </w:divBdr>
    </w:div>
    <w:div w:id="1063917017">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171794894">
      <w:bodyDiv w:val="1"/>
      <w:marLeft w:val="0"/>
      <w:marRight w:val="0"/>
      <w:marTop w:val="0"/>
      <w:marBottom w:val="0"/>
      <w:divBdr>
        <w:top w:val="none" w:sz="0" w:space="0" w:color="auto"/>
        <w:left w:val="none" w:sz="0" w:space="0" w:color="auto"/>
        <w:bottom w:val="none" w:sz="0" w:space="0" w:color="auto"/>
        <w:right w:val="none" w:sz="0" w:space="0" w:color="auto"/>
      </w:divBdr>
    </w:div>
    <w:div w:id="1182010485">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251618457">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413816224">
      <w:bodyDiv w:val="1"/>
      <w:marLeft w:val="0"/>
      <w:marRight w:val="0"/>
      <w:marTop w:val="0"/>
      <w:marBottom w:val="0"/>
      <w:divBdr>
        <w:top w:val="none" w:sz="0" w:space="0" w:color="auto"/>
        <w:left w:val="none" w:sz="0" w:space="0" w:color="auto"/>
        <w:bottom w:val="none" w:sz="0" w:space="0" w:color="auto"/>
        <w:right w:val="none" w:sz="0" w:space="0" w:color="auto"/>
      </w:divBdr>
    </w:div>
    <w:div w:id="1452867684">
      <w:bodyDiv w:val="1"/>
      <w:marLeft w:val="0"/>
      <w:marRight w:val="0"/>
      <w:marTop w:val="0"/>
      <w:marBottom w:val="0"/>
      <w:divBdr>
        <w:top w:val="none" w:sz="0" w:space="0" w:color="auto"/>
        <w:left w:val="none" w:sz="0" w:space="0" w:color="auto"/>
        <w:bottom w:val="none" w:sz="0" w:space="0" w:color="auto"/>
        <w:right w:val="none" w:sz="0" w:space="0" w:color="auto"/>
      </w:divBdr>
    </w:div>
    <w:div w:id="1860269621">
      <w:bodyDiv w:val="1"/>
      <w:marLeft w:val="0"/>
      <w:marRight w:val="0"/>
      <w:marTop w:val="0"/>
      <w:marBottom w:val="0"/>
      <w:divBdr>
        <w:top w:val="none" w:sz="0" w:space="0" w:color="auto"/>
        <w:left w:val="none" w:sz="0" w:space="0" w:color="auto"/>
        <w:bottom w:val="none" w:sz="0" w:space="0" w:color="auto"/>
        <w:right w:val="none" w:sz="0" w:space="0" w:color="auto"/>
      </w:divBdr>
    </w:div>
    <w:div w:id="2101832372">
      <w:bodyDiv w:val="1"/>
      <w:marLeft w:val="0"/>
      <w:marRight w:val="0"/>
      <w:marTop w:val="0"/>
      <w:marBottom w:val="0"/>
      <w:divBdr>
        <w:top w:val="none" w:sz="0" w:space="0" w:color="auto"/>
        <w:left w:val="none" w:sz="0" w:space="0" w:color="auto"/>
        <w:bottom w:val="none" w:sz="0" w:space="0" w:color="auto"/>
        <w:right w:val="none" w:sz="0" w:space="0" w:color="auto"/>
      </w:divBdr>
      <w:divsChild>
        <w:div w:id="12165496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B5494-2343-43A5-9049-5F415AD96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Pages>
  <Words>1411</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 Rao</dc:creator>
  <cp:keywords/>
  <dc:description/>
  <cp:lastModifiedBy>IITH</cp:lastModifiedBy>
  <cp:revision>80</cp:revision>
  <dcterms:created xsi:type="dcterms:W3CDTF">2021-04-01T14:05:00Z</dcterms:created>
  <dcterms:modified xsi:type="dcterms:W3CDTF">2021-04-06T15:48:00Z</dcterms:modified>
</cp:coreProperties>
</file>