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4FA4C9" w14:textId="006F460F" w:rsidR="008C36FE" w:rsidRPr="00D22981" w:rsidRDefault="008C36FE" w:rsidP="008C36FE">
      <w:pPr>
        <w:tabs>
          <w:tab w:val="right" w:pos="9216"/>
        </w:tabs>
        <w:spacing w:after="0"/>
        <w:jc w:val="left"/>
        <w:rPr>
          <w:rFonts w:ascii="Arial" w:hAnsi="Arial" w:cs="Arial"/>
          <w:b/>
          <w:kern w:val="2"/>
          <w:lang w:eastAsia="zh-CN"/>
        </w:rPr>
      </w:pPr>
      <w:r w:rsidRPr="00D22981">
        <w:rPr>
          <w:rFonts w:ascii="Arial" w:hAnsi="Arial" w:cs="Arial"/>
          <w:b/>
          <w:noProof/>
          <w:kern w:val="2"/>
        </w:rPr>
        <mc:AlternateContent>
          <mc:Choice Requires="wps">
            <w:drawing>
              <wp:anchor distT="0" distB="0" distL="114300" distR="114300" simplePos="0" relativeHeight="251659264" behindDoc="0" locked="1" layoutInCell="1" allowOverlap="1" wp14:anchorId="351189A4" wp14:editId="7CDA3376">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A88E7"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2981">
        <w:rPr>
          <w:rFonts w:ascii="Arial" w:hAnsi="Arial" w:cs="Arial"/>
          <w:b/>
          <w:kern w:val="2"/>
          <w:lang w:eastAsia="zh-CN"/>
        </w:rPr>
        <w:t>3GPP TSG RAN WG1 Meeting #10</w:t>
      </w:r>
      <w:r>
        <w:rPr>
          <w:rFonts w:ascii="Arial" w:hAnsi="Arial" w:cs="Arial"/>
          <w:b/>
          <w:kern w:val="2"/>
          <w:lang w:eastAsia="zh-CN"/>
        </w:rPr>
        <w:t>4</w:t>
      </w:r>
      <w:r w:rsidRPr="00D22981">
        <w:rPr>
          <w:rFonts w:ascii="Arial" w:hAnsi="Arial" w:cs="Arial"/>
          <w:b/>
          <w:kern w:val="2"/>
          <w:lang w:eastAsia="zh-CN"/>
        </w:rPr>
        <w:t>-</w:t>
      </w:r>
      <w:r>
        <w:rPr>
          <w:rFonts w:ascii="Arial" w:hAnsi="Arial" w:cs="Arial"/>
          <w:b/>
          <w:kern w:val="2"/>
          <w:lang w:eastAsia="zh-CN"/>
        </w:rPr>
        <w:t>bis-e</w:t>
      </w:r>
      <w:r w:rsidRPr="00D22981">
        <w:rPr>
          <w:rFonts w:ascii="Arial" w:hAnsi="Arial" w:cs="Arial"/>
          <w:b/>
          <w:kern w:val="2"/>
          <w:lang w:eastAsia="zh-CN"/>
        </w:rPr>
        <w:tab/>
      </w:r>
      <w:r w:rsidRPr="00C33534">
        <w:rPr>
          <w:rFonts w:ascii="Arial" w:hAnsi="Arial" w:cs="Arial"/>
          <w:b/>
          <w:kern w:val="2"/>
          <w:lang w:eastAsia="zh-CN"/>
        </w:rPr>
        <w:t>R1-</w:t>
      </w:r>
      <w:r w:rsidR="00157D2A">
        <w:rPr>
          <w:rFonts w:ascii="Arial" w:hAnsi="Arial" w:cs="Arial"/>
          <w:b/>
          <w:kern w:val="2"/>
          <w:lang w:eastAsia="zh-CN"/>
        </w:rPr>
        <w:t>2102776</w:t>
      </w:r>
    </w:p>
    <w:p w14:paraId="62718CC8" w14:textId="4968BEE2" w:rsidR="008C36FE" w:rsidRPr="00D22981" w:rsidRDefault="008C36FE" w:rsidP="008C36FE">
      <w:pPr>
        <w:jc w:val="left"/>
        <w:rPr>
          <w:rFonts w:ascii="Arial" w:hAnsi="Arial" w:cs="Arial"/>
          <w:b/>
          <w:kern w:val="2"/>
          <w:lang w:eastAsia="zh-CN"/>
        </w:rPr>
      </w:pPr>
      <w:r w:rsidRPr="00D22981">
        <w:rPr>
          <w:rFonts w:ascii="Arial" w:hAnsi="Arial" w:cs="Arial"/>
          <w:b/>
          <w:kern w:val="2"/>
          <w:lang w:eastAsia="zh-CN"/>
        </w:rPr>
        <w:t xml:space="preserve">eMeeting, </w:t>
      </w:r>
      <w:r>
        <w:rPr>
          <w:rFonts w:ascii="Arial" w:hAnsi="Arial" w:cs="Arial"/>
          <w:b/>
          <w:kern w:val="2"/>
          <w:lang w:eastAsia="zh-CN"/>
        </w:rPr>
        <w:t>April 12 – April 20</w:t>
      </w:r>
      <w:r w:rsidRPr="00D22981">
        <w:rPr>
          <w:rFonts w:ascii="Arial" w:hAnsi="Arial" w:cs="Arial"/>
          <w:b/>
          <w:kern w:val="2"/>
          <w:lang w:eastAsia="zh-CN"/>
        </w:rPr>
        <w:t>, 202</w:t>
      </w:r>
      <w:r>
        <w:rPr>
          <w:rFonts w:ascii="Arial" w:hAnsi="Arial" w:cs="Arial"/>
          <w:b/>
          <w:kern w:val="2"/>
          <w:lang w:eastAsia="zh-CN"/>
        </w:rPr>
        <w:t>1</w:t>
      </w:r>
    </w:p>
    <w:p w14:paraId="3932C5B9" w14:textId="2428D1A4" w:rsidR="008C36FE" w:rsidRPr="00D74B92" w:rsidRDefault="008C36FE" w:rsidP="008C36FE">
      <w:pPr>
        <w:spacing w:after="60"/>
        <w:ind w:left="1555" w:hanging="1555"/>
        <w:jc w:val="left"/>
        <w:rPr>
          <w:rFonts w:ascii="Arial" w:hAnsi="Arial" w:cs="Arial"/>
          <w:b/>
          <w:lang w:eastAsia="zh-CN"/>
        </w:rPr>
      </w:pPr>
      <w:r w:rsidRPr="00D74B92">
        <w:rPr>
          <w:rFonts w:ascii="Arial" w:hAnsi="Arial" w:cs="Arial"/>
          <w:b/>
          <w:lang w:eastAsia="zh-CN"/>
        </w:rPr>
        <w:t>Agenda Item:</w:t>
      </w:r>
      <w:r>
        <w:rPr>
          <w:rFonts w:ascii="Arial" w:hAnsi="Arial" w:cs="Arial"/>
          <w:b/>
          <w:lang w:eastAsia="zh-CN"/>
        </w:rPr>
        <w:tab/>
        <w:t>8.2.5</w:t>
      </w:r>
    </w:p>
    <w:p w14:paraId="6BD827B7" w14:textId="77777777" w:rsidR="008C36FE" w:rsidRPr="007F5EC6" w:rsidRDefault="008C36FE" w:rsidP="008C36FE">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Pr="00F113E9">
        <w:rPr>
          <w:rFonts w:ascii="Arial" w:hAnsi="Arial" w:cs="Arial"/>
          <w:b/>
          <w:bCs/>
          <w:caps/>
        </w:rPr>
        <w:t>FUTUREWEI</w:t>
      </w:r>
    </w:p>
    <w:p w14:paraId="5E788BB1" w14:textId="666AC988" w:rsidR="008C36FE" w:rsidRPr="00D74B92" w:rsidRDefault="008C36FE" w:rsidP="008C36FE">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E13C49" w:rsidRPr="00E13C49">
        <w:rPr>
          <w:rFonts w:ascii="Arial" w:hAnsi="Arial" w:cs="Arial"/>
          <w:b/>
          <w:lang w:eastAsia="zh-CN"/>
        </w:rPr>
        <w:t>Considerations on PDSCH/PUSCH enhancements</w:t>
      </w:r>
    </w:p>
    <w:p w14:paraId="5193FB03" w14:textId="77777777" w:rsidR="008C36FE" w:rsidRPr="00D74B92" w:rsidRDefault="008C36FE" w:rsidP="008C36FE">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t xml:space="preserve">Discussion and decision </w:t>
      </w:r>
    </w:p>
    <w:p w14:paraId="2E02880E" w14:textId="77777777" w:rsidR="002F3B6E" w:rsidRPr="007F5EC6" w:rsidRDefault="002F3B6E" w:rsidP="002F3B6E"/>
    <w:p w14:paraId="312992B1" w14:textId="77777777" w:rsidR="002F3B6E" w:rsidRPr="007F5EC6" w:rsidRDefault="002F3B6E" w:rsidP="002F3B6E"/>
    <w:p w14:paraId="22ED5529" w14:textId="77777777" w:rsidR="002F3B6E" w:rsidRPr="00D74B92" w:rsidRDefault="002F3B6E" w:rsidP="002F3B6E">
      <w:pPr>
        <w:pStyle w:val="Heading1"/>
        <w:rPr>
          <w:rFonts w:cs="Arial"/>
        </w:rPr>
      </w:pPr>
      <w:bookmarkStart w:id="0" w:name="_Ref124589705"/>
      <w:bookmarkStart w:id="1" w:name="_Ref129681862"/>
      <w:r w:rsidRPr="00D74B92">
        <w:rPr>
          <w:rFonts w:cs="Arial"/>
        </w:rPr>
        <w:t>Introduction</w:t>
      </w:r>
      <w:bookmarkEnd w:id="0"/>
      <w:bookmarkEnd w:id="1"/>
    </w:p>
    <w:p w14:paraId="3A4E5E28" w14:textId="77D08E68" w:rsidR="00EB19A1" w:rsidRDefault="0094415B" w:rsidP="0094415B">
      <w:pPr>
        <w:snapToGrid/>
        <w:spacing w:after="0"/>
      </w:pPr>
      <w:r w:rsidRPr="0094415B">
        <w:rPr>
          <w:rFonts w:eastAsia="CIDFont+F6"/>
          <w:lang w:eastAsia="zh-CN"/>
        </w:rPr>
        <w:t xml:space="preserve">For supporting NR operation in both licensed and unlicensed bands in the frequency </w:t>
      </w:r>
      <w:r>
        <w:rPr>
          <w:rFonts w:eastAsia="CIDFont+F6"/>
          <w:lang w:eastAsia="zh-CN"/>
        </w:rPr>
        <w:t>beyond</w:t>
      </w:r>
      <w:r w:rsidRPr="0094415B">
        <w:rPr>
          <w:rFonts w:eastAsia="CIDFont+F6"/>
          <w:lang w:eastAsia="zh-CN"/>
        </w:rPr>
        <w:t xml:space="preserve"> 52.6 GHz, FR2 numerologies and additional numerologies beyond that are supported currently in NR </w:t>
      </w:r>
      <w:r>
        <w:rPr>
          <w:rFonts w:eastAsia="CIDFont+F6"/>
          <w:lang w:eastAsia="zh-CN"/>
        </w:rPr>
        <w:t xml:space="preserve">were </w:t>
      </w:r>
      <w:r w:rsidRPr="0094415B">
        <w:rPr>
          <w:rFonts w:eastAsia="CIDFont+F6"/>
          <w:lang w:eastAsia="zh-CN"/>
        </w:rPr>
        <w:t>studied</w:t>
      </w:r>
      <w:r>
        <w:rPr>
          <w:rFonts w:eastAsia="CIDFont+F6"/>
          <w:lang w:eastAsia="zh-CN"/>
        </w:rPr>
        <w:t xml:space="preserve"> and concluded by</w:t>
      </w:r>
      <w:r>
        <w:rPr>
          <w:bCs/>
        </w:rPr>
        <w:t xml:space="preserve"> </w:t>
      </w:r>
      <w:r w:rsidR="00D041EB">
        <w:rPr>
          <w:bCs/>
        </w:rPr>
        <w:t>[1]</w:t>
      </w:r>
      <w:r>
        <w:t>, based on which</w:t>
      </w:r>
      <w:r w:rsidR="00D041EB" w:rsidRPr="00EE3DF3">
        <w:t xml:space="preserve"> </w:t>
      </w:r>
      <w:r>
        <w:t>a</w:t>
      </w:r>
      <w:r w:rsidR="00D041EB">
        <w:t xml:space="preserve"> working item (WI) has been approved with the aim to extending NR up to 71 GHz by</w:t>
      </w:r>
      <w:r w:rsidR="00D041EB" w:rsidRPr="00EE3DF3">
        <w:t xml:space="preserve"> 3GPP TSG RAN Meeting #</w:t>
      </w:r>
      <w:r w:rsidR="00D041EB">
        <w:t xml:space="preserve">90 [2]. </w:t>
      </w:r>
      <w:r w:rsidR="00D041EB" w:rsidRPr="00EE3DF3">
        <w:t xml:space="preserve">As </w:t>
      </w:r>
      <w:r w:rsidR="00947AF9">
        <w:t xml:space="preserve">a </w:t>
      </w:r>
      <w:r w:rsidR="00D041EB" w:rsidRPr="00EE3DF3">
        <w:t xml:space="preserve">part of the objectives of the </w:t>
      </w:r>
      <w:r w:rsidR="00D041EB">
        <w:t>WI,</w:t>
      </w:r>
      <w:r w:rsidR="00D041EB" w:rsidRPr="00EE3DF3">
        <w:t xml:space="preserve"> the following aspects were included:</w:t>
      </w:r>
    </w:p>
    <w:p w14:paraId="34236DC8" w14:textId="77777777" w:rsidR="0094415B" w:rsidRPr="0094415B" w:rsidRDefault="0094415B" w:rsidP="0094415B">
      <w:pPr>
        <w:snapToGrid/>
        <w:spacing w:after="0"/>
        <w:rPr>
          <w:rFonts w:ascii="CIDFont+F6" w:eastAsia="CIDFont+F6" w:hAnsiTheme="minorHAnsi" w:cs="CIDFont+F6"/>
          <w:sz w:val="19"/>
          <w:szCs w:val="19"/>
          <w:lang w:eastAsia="zh-CN"/>
        </w:rPr>
      </w:pPr>
    </w:p>
    <w:p w14:paraId="04BF5AC5" w14:textId="77777777" w:rsidR="00EB19A1" w:rsidRPr="00EB19A1" w:rsidRDefault="00EB19A1" w:rsidP="00EB19A1">
      <w:pPr>
        <w:pStyle w:val="B1"/>
        <w:numPr>
          <w:ilvl w:val="1"/>
          <w:numId w:val="19"/>
        </w:numPr>
        <w:overflowPunct w:val="0"/>
        <w:autoSpaceDE w:val="0"/>
        <w:autoSpaceDN w:val="0"/>
        <w:adjustRightInd w:val="0"/>
        <w:spacing w:after="0"/>
        <w:ind w:left="720"/>
        <w:textAlignment w:val="baseline"/>
        <w:rPr>
          <w:rFonts w:asciiTheme="majorBidi" w:hAnsiTheme="majorBidi" w:cstheme="majorBidi"/>
          <w:i/>
          <w:iCs/>
          <w:lang w:eastAsia="ja-JP"/>
        </w:rPr>
      </w:pPr>
      <w:bookmarkStart w:id="2" w:name="_Hlk26996217"/>
      <w:r w:rsidRPr="00C2418B">
        <w:rPr>
          <w:lang w:eastAsia="ja-JP"/>
        </w:rPr>
        <w:t xml:space="preserve">In addition to 120kHz SCS, specify </w:t>
      </w:r>
      <w:r w:rsidRPr="00C2418B">
        <w:rPr>
          <w:lang w:eastAsia="zh-CN"/>
        </w:rPr>
        <w:t xml:space="preserve">new SCS, </w:t>
      </w:r>
      <w:r w:rsidRPr="00C2418B">
        <w:rPr>
          <w:lang w:eastAsia="ja-JP"/>
        </w:rPr>
        <w:t xml:space="preserve">480kHz and 960kHz, and define maximum bandwidth(s), for operation in this frequency range for data and control channels and reference signals, only NCP supported. </w:t>
      </w:r>
    </w:p>
    <w:p w14:paraId="1A7D1AE8" w14:textId="13D24575" w:rsidR="00EB19A1" w:rsidRPr="00EB19A1" w:rsidRDefault="00EB19A1" w:rsidP="00EB19A1">
      <w:pPr>
        <w:pStyle w:val="B1"/>
        <w:overflowPunct w:val="0"/>
        <w:autoSpaceDE w:val="0"/>
        <w:autoSpaceDN w:val="0"/>
        <w:adjustRightInd w:val="0"/>
        <w:spacing w:after="0"/>
        <w:ind w:left="720" w:firstLine="0"/>
        <w:textAlignment w:val="baseline"/>
        <w:rPr>
          <w:rFonts w:asciiTheme="majorBidi" w:hAnsiTheme="majorBidi" w:cstheme="majorBidi"/>
          <w:i/>
          <w:iCs/>
          <w:lang w:eastAsia="ja-JP"/>
        </w:rPr>
      </w:pPr>
      <w:r w:rsidRPr="00C2418B">
        <w:rPr>
          <w:lang w:eastAsia="ja-JP"/>
        </w:rPr>
        <w:t>Note: Except for timing line related aspects, a common design framework shall be adopted for 480kHz to 960kHz</w:t>
      </w:r>
    </w:p>
    <w:bookmarkEnd w:id="2"/>
    <w:p w14:paraId="2FE322A0" w14:textId="4AC21A64" w:rsidR="00EB19A1" w:rsidRPr="00EB19A1" w:rsidRDefault="00EB19A1" w:rsidP="00EB19A1">
      <w:pPr>
        <w:pStyle w:val="B1"/>
        <w:numPr>
          <w:ilvl w:val="1"/>
          <w:numId w:val="19"/>
        </w:numPr>
        <w:overflowPunct w:val="0"/>
        <w:autoSpaceDE w:val="0"/>
        <w:autoSpaceDN w:val="0"/>
        <w:adjustRightInd w:val="0"/>
        <w:spacing w:after="0"/>
        <w:ind w:left="720"/>
        <w:textAlignment w:val="baseline"/>
        <w:rPr>
          <w:rFonts w:asciiTheme="majorBidi" w:hAnsiTheme="majorBidi" w:cstheme="majorBidi"/>
          <w:i/>
          <w:iCs/>
          <w:lang w:eastAsia="ja-JP"/>
        </w:rPr>
      </w:pPr>
      <w:r w:rsidRPr="00C2418B">
        <w:rPr>
          <w:lang w:eastAsia="ja-JP"/>
        </w:rPr>
        <w:t xml:space="preserve">Time line related aspects adapted to 480kHz and 960kHz, e.g., BWP and beam switching timing, HARQ timing, UE processing, preparation and computation timelines for PDSCH, PUSCH/SRS and CSI, respectively. </w:t>
      </w:r>
    </w:p>
    <w:p w14:paraId="3BCACD56" w14:textId="77777777" w:rsidR="00EB19A1" w:rsidRPr="00EB19A1" w:rsidRDefault="00EB19A1" w:rsidP="00EB19A1">
      <w:pPr>
        <w:pStyle w:val="B1"/>
        <w:numPr>
          <w:ilvl w:val="1"/>
          <w:numId w:val="19"/>
        </w:numPr>
        <w:overflowPunct w:val="0"/>
        <w:autoSpaceDE w:val="0"/>
        <w:autoSpaceDN w:val="0"/>
        <w:adjustRightInd w:val="0"/>
        <w:spacing w:after="0"/>
        <w:ind w:left="720"/>
        <w:textAlignment w:val="baseline"/>
        <w:rPr>
          <w:rFonts w:asciiTheme="majorBidi" w:hAnsiTheme="majorBidi" w:cstheme="majorBidi"/>
          <w:i/>
          <w:iCs/>
          <w:lang w:eastAsia="ja-JP"/>
        </w:rPr>
      </w:pPr>
      <w:r w:rsidRPr="00C2418B">
        <w:rPr>
          <w:lang w:eastAsia="ja-JP"/>
        </w:rPr>
        <w:t>Support enhancements for multi-PDSCH/PUSCH scheduling and HARQ support with a single DCI</w:t>
      </w:r>
    </w:p>
    <w:p w14:paraId="5F8CFFEE" w14:textId="31B304C5" w:rsidR="00EB19A1" w:rsidRPr="00EB19A1" w:rsidRDefault="00EB19A1" w:rsidP="00EB19A1">
      <w:pPr>
        <w:pStyle w:val="B1"/>
        <w:overflowPunct w:val="0"/>
        <w:autoSpaceDE w:val="0"/>
        <w:autoSpaceDN w:val="0"/>
        <w:adjustRightInd w:val="0"/>
        <w:spacing w:after="0"/>
        <w:ind w:left="720" w:firstLine="0"/>
        <w:textAlignment w:val="baseline"/>
        <w:rPr>
          <w:rFonts w:asciiTheme="majorBidi" w:hAnsiTheme="majorBidi" w:cstheme="majorBidi"/>
          <w:i/>
          <w:iCs/>
          <w:lang w:eastAsia="ja-JP"/>
        </w:rPr>
      </w:pPr>
      <w:r w:rsidRPr="0009443F">
        <w:rPr>
          <w:lang w:eastAsia="ja-JP"/>
        </w:rPr>
        <w:t>Note: coverage enhancement for multi-PDSCH/PUSCH scheduling is not pursued</w:t>
      </w:r>
    </w:p>
    <w:p w14:paraId="34CF604A" w14:textId="77777777" w:rsidR="00EB19A1" w:rsidRPr="00EB19A1" w:rsidRDefault="00EB19A1" w:rsidP="00EB19A1">
      <w:pPr>
        <w:pStyle w:val="B1"/>
        <w:numPr>
          <w:ilvl w:val="1"/>
          <w:numId w:val="19"/>
        </w:numPr>
        <w:overflowPunct w:val="0"/>
        <w:autoSpaceDE w:val="0"/>
        <w:autoSpaceDN w:val="0"/>
        <w:adjustRightInd w:val="0"/>
        <w:spacing w:after="0"/>
        <w:ind w:left="720"/>
        <w:textAlignment w:val="baseline"/>
        <w:rPr>
          <w:rFonts w:asciiTheme="majorBidi" w:hAnsiTheme="majorBidi" w:cstheme="majorBidi"/>
          <w:i/>
          <w:iCs/>
          <w:lang w:eastAsia="ja-JP"/>
        </w:rPr>
      </w:pPr>
      <w:r w:rsidRPr="00C2418B">
        <w:rPr>
          <w:lang w:eastAsia="ja-JP"/>
        </w:rPr>
        <w:t>Support enhancements for multi-PDSCH/PUSCH scheduling and HARQ support with a single DCI</w:t>
      </w:r>
    </w:p>
    <w:p w14:paraId="56BA9E0F" w14:textId="7B061E8F" w:rsidR="00EB19A1" w:rsidRPr="00EB19A1" w:rsidRDefault="00EB19A1" w:rsidP="00EB19A1">
      <w:pPr>
        <w:pStyle w:val="B1"/>
        <w:overflowPunct w:val="0"/>
        <w:autoSpaceDE w:val="0"/>
        <w:autoSpaceDN w:val="0"/>
        <w:adjustRightInd w:val="0"/>
        <w:spacing w:after="0"/>
        <w:ind w:left="720" w:firstLine="0"/>
        <w:textAlignment w:val="baseline"/>
        <w:rPr>
          <w:rFonts w:asciiTheme="majorBidi" w:hAnsiTheme="majorBidi" w:cstheme="majorBidi"/>
          <w:i/>
          <w:iCs/>
          <w:lang w:eastAsia="ja-JP"/>
        </w:rPr>
      </w:pPr>
      <w:r w:rsidRPr="0009443F">
        <w:rPr>
          <w:lang w:eastAsia="ja-JP"/>
        </w:rPr>
        <w:t>Note: coverage enhancement for multi-PDSCH/PUSCH scheduling is not pursued</w:t>
      </w:r>
    </w:p>
    <w:p w14:paraId="12ADD8F8" w14:textId="732A2371" w:rsidR="00EB19A1" w:rsidRPr="00EB19A1" w:rsidRDefault="00EB19A1" w:rsidP="00EB19A1">
      <w:pPr>
        <w:pStyle w:val="B1"/>
        <w:numPr>
          <w:ilvl w:val="1"/>
          <w:numId w:val="19"/>
        </w:numPr>
        <w:overflowPunct w:val="0"/>
        <w:autoSpaceDE w:val="0"/>
        <w:autoSpaceDN w:val="0"/>
        <w:adjustRightInd w:val="0"/>
        <w:spacing w:after="0"/>
        <w:ind w:left="720"/>
        <w:textAlignment w:val="baseline"/>
        <w:rPr>
          <w:rFonts w:asciiTheme="majorBidi" w:hAnsiTheme="majorBidi" w:cstheme="majorBidi"/>
          <w:i/>
          <w:iCs/>
          <w:lang w:eastAsia="ja-JP"/>
        </w:rPr>
      </w:pPr>
      <w:r w:rsidRPr="00B81694">
        <w:rPr>
          <w:lang w:eastAsia="ja-JP"/>
        </w:rPr>
        <w:t xml:space="preserve">Evaluate, and if needed, specify the </w:t>
      </w:r>
      <w:r w:rsidR="005C4090">
        <w:rPr>
          <w:lang w:eastAsia="ja-JP"/>
        </w:rPr>
        <w:t>PT-RS</w:t>
      </w:r>
      <w:r w:rsidRPr="00B81694">
        <w:rPr>
          <w:lang w:eastAsia="ja-JP"/>
        </w:rPr>
        <w:t xml:space="preserve"> enhancement for 120kHz SCS, 480kHz SCS and/or 960kHz SCS, as well as DMRS enhancement for 480kHz SCS and/or 960kHz SCS.</w:t>
      </w:r>
    </w:p>
    <w:p w14:paraId="1056CDA3" w14:textId="77777777" w:rsidR="00D041EB" w:rsidRPr="00EB19A1" w:rsidRDefault="00D041EB" w:rsidP="00EB19A1">
      <w:pPr>
        <w:pStyle w:val="B1"/>
        <w:overflowPunct w:val="0"/>
        <w:autoSpaceDE w:val="0"/>
        <w:autoSpaceDN w:val="0"/>
        <w:adjustRightInd w:val="0"/>
        <w:spacing w:after="0"/>
        <w:ind w:left="1080" w:firstLine="0"/>
        <w:textAlignment w:val="baseline"/>
        <w:rPr>
          <w:rFonts w:asciiTheme="majorBidi" w:hAnsiTheme="majorBidi" w:cstheme="majorBidi"/>
          <w:i/>
          <w:iCs/>
          <w:lang w:eastAsia="zh-CN"/>
        </w:rPr>
      </w:pPr>
    </w:p>
    <w:p w14:paraId="58709B20" w14:textId="329E9685" w:rsidR="00D041EB" w:rsidRPr="00FD0441" w:rsidRDefault="00D041EB" w:rsidP="00FD0441">
      <w:pPr>
        <w:pStyle w:val="BodyText"/>
        <w:rPr>
          <w:sz w:val="22"/>
          <w:szCs w:val="22"/>
        </w:rPr>
      </w:pPr>
      <w:r w:rsidRPr="00A82EBD">
        <w:rPr>
          <w:sz w:val="22"/>
          <w:szCs w:val="22"/>
        </w:rPr>
        <w:t xml:space="preserve">In the </w:t>
      </w:r>
      <w:r w:rsidRPr="00A82EBD">
        <w:rPr>
          <w:rFonts w:eastAsia="Yu Mincho"/>
          <w:bCs/>
          <w:iCs/>
          <w:sz w:val="22"/>
          <w:szCs w:val="22"/>
          <w:lang w:eastAsia="ja-JP"/>
        </w:rPr>
        <w:t xml:space="preserve">contribution, </w:t>
      </w:r>
      <w:r w:rsidR="00A82EBD" w:rsidRPr="00A82EBD">
        <w:rPr>
          <w:sz w:val="22"/>
          <w:szCs w:val="22"/>
        </w:rPr>
        <w:t xml:space="preserve">we discuss </w:t>
      </w:r>
      <w:r w:rsidR="00A82EBD">
        <w:rPr>
          <w:sz w:val="22"/>
          <w:szCs w:val="22"/>
        </w:rPr>
        <w:t xml:space="preserve">aspects including DMRS enhancement and </w:t>
      </w:r>
      <w:r w:rsidR="005C4090">
        <w:rPr>
          <w:sz w:val="22"/>
          <w:szCs w:val="22"/>
        </w:rPr>
        <w:t>PT-RS</w:t>
      </w:r>
      <w:r w:rsidR="00A82EBD">
        <w:rPr>
          <w:sz w:val="22"/>
          <w:szCs w:val="22"/>
        </w:rPr>
        <w:t xml:space="preserve"> enhancement for PDSCH, DMRS time-domain re</w:t>
      </w:r>
      <w:r w:rsidR="00EB5E13">
        <w:rPr>
          <w:sz w:val="22"/>
          <w:szCs w:val="22"/>
        </w:rPr>
        <w:t>allocation</w:t>
      </w:r>
      <w:r w:rsidR="00A82EBD">
        <w:rPr>
          <w:sz w:val="22"/>
          <w:szCs w:val="22"/>
        </w:rPr>
        <w:t xml:space="preserve"> for multi-PDSCH, and HARQ-ACK feedback aspect for multi-PDSCH. </w:t>
      </w:r>
    </w:p>
    <w:p w14:paraId="60FCB3F9" w14:textId="77777777" w:rsidR="002F3B6E" w:rsidRPr="007F5EC6" w:rsidRDefault="002F3B6E" w:rsidP="002F3B6E"/>
    <w:p w14:paraId="59913292" w14:textId="44EB1FAB" w:rsidR="002F3B6E" w:rsidRDefault="005E20DD" w:rsidP="002F3B6E">
      <w:pPr>
        <w:pStyle w:val="Heading1"/>
        <w:rPr>
          <w:rFonts w:cs="Arial"/>
        </w:rPr>
      </w:pPr>
      <w:r>
        <w:rPr>
          <w:rFonts w:cs="Arial"/>
        </w:rPr>
        <w:t>RS Enhancement for single-PDSCH</w:t>
      </w:r>
    </w:p>
    <w:p w14:paraId="3D127B63" w14:textId="5EC30A7B" w:rsidR="00C717F4" w:rsidRPr="00C717F4" w:rsidRDefault="00C717F4" w:rsidP="00C717F4">
      <w:pPr>
        <w:pStyle w:val="Heading2"/>
      </w:pPr>
      <w:r>
        <w:t>DMRS Enhancement</w:t>
      </w:r>
    </w:p>
    <w:p w14:paraId="20C043E8" w14:textId="34B35089" w:rsidR="00EA48C1" w:rsidRDefault="00EA48C1" w:rsidP="00EA48C1">
      <w:r w:rsidRPr="00A82EBD">
        <w:rPr>
          <w:rFonts w:eastAsia="Yu Mincho"/>
          <w:bCs/>
          <w:iCs/>
          <w:lang w:eastAsia="ja-JP"/>
        </w:rPr>
        <w:t xml:space="preserve">During the RAN1#104-e meeting, several agreements </w:t>
      </w:r>
      <w:r w:rsidRPr="00A82EBD">
        <w:t xml:space="preserve">were made on enhancement </w:t>
      </w:r>
      <w:r w:rsidR="00C60767">
        <w:t>of the</w:t>
      </w:r>
      <w:r w:rsidRPr="00A82EBD">
        <w:t xml:space="preserve"> PDSCH/PUSCH </w:t>
      </w:r>
      <w:r w:rsidRPr="00A82EBD">
        <w:fldChar w:fldCharType="begin"/>
      </w:r>
      <w:r w:rsidRPr="00A82EBD">
        <w:instrText xml:space="preserve"> REF _Ref60908883 \r \h </w:instrText>
      </w:r>
      <w:r>
        <w:instrText xml:space="preserve"> \* MERGEFORMAT </w:instrText>
      </w:r>
      <w:r w:rsidRPr="00A82EBD">
        <w:fldChar w:fldCharType="separate"/>
      </w:r>
      <w:r w:rsidRPr="00A82EBD">
        <w:t>[3]</w:t>
      </w:r>
      <w:r w:rsidRPr="00A82EBD">
        <w:fldChar w:fldCharType="end"/>
      </w:r>
      <w:r w:rsidRPr="00A82EBD">
        <w:t xml:space="preserve">, </w:t>
      </w:r>
      <w:r w:rsidR="00C60767">
        <w:t xml:space="preserve">of which the ones related to DMRS </w:t>
      </w:r>
      <w:r w:rsidR="008E7338">
        <w:t xml:space="preserve">design discussed in this contribution are listed below. </w:t>
      </w:r>
    </w:p>
    <w:tbl>
      <w:tblPr>
        <w:tblStyle w:val="TableGrid"/>
        <w:tblW w:w="0" w:type="auto"/>
        <w:tblLook w:val="04A0" w:firstRow="1" w:lastRow="0" w:firstColumn="1" w:lastColumn="0" w:noHBand="0" w:noVBand="1"/>
      </w:tblPr>
      <w:tblGrid>
        <w:gridCol w:w="9307"/>
      </w:tblGrid>
      <w:tr w:rsidR="00EA48C1" w14:paraId="74E9283D" w14:textId="77777777" w:rsidTr="00521308">
        <w:tc>
          <w:tcPr>
            <w:tcW w:w="9307" w:type="dxa"/>
          </w:tcPr>
          <w:p w14:paraId="3A0A58C3" w14:textId="77777777" w:rsidR="00EA48C1" w:rsidRPr="00E378A0" w:rsidRDefault="00EA48C1" w:rsidP="00EA48C1">
            <w:pPr>
              <w:spacing w:after="60"/>
              <w:rPr>
                <w:sz w:val="18"/>
                <w:szCs w:val="18"/>
              </w:rPr>
            </w:pPr>
            <w:r w:rsidRPr="00E378A0">
              <w:rPr>
                <w:szCs w:val="18"/>
                <w:highlight w:val="green"/>
              </w:rPr>
              <w:t>Agreement</w:t>
            </w:r>
            <w:r w:rsidRPr="00E378A0">
              <w:rPr>
                <w:szCs w:val="18"/>
              </w:rPr>
              <w:t>:</w:t>
            </w:r>
          </w:p>
          <w:p w14:paraId="29FF0CD9" w14:textId="77777777" w:rsidR="00EA48C1" w:rsidRPr="008C36FE" w:rsidRDefault="00EA48C1" w:rsidP="00EA48C1">
            <w:pPr>
              <w:numPr>
                <w:ilvl w:val="0"/>
                <w:numId w:val="7"/>
              </w:numPr>
              <w:autoSpaceDE/>
              <w:autoSpaceDN/>
              <w:adjustRightInd/>
              <w:snapToGrid/>
              <w:spacing w:after="0"/>
              <w:jc w:val="left"/>
              <w:rPr>
                <w:lang w:eastAsia="x-none"/>
              </w:rPr>
            </w:pPr>
            <w:r w:rsidRPr="008C36FE">
              <w:rPr>
                <w:lang w:eastAsia="x-none"/>
              </w:rPr>
              <w:t xml:space="preserve">From RAN1 perspective, for NR operation in 52.6 GHz to 71 GHz, at least the following options on minimum channel bandwidth are identified. </w:t>
            </w:r>
          </w:p>
          <w:p w14:paraId="389C9FCE" w14:textId="77777777" w:rsidR="00EA48C1" w:rsidRPr="008C36FE" w:rsidRDefault="00EA48C1" w:rsidP="00EA48C1">
            <w:pPr>
              <w:numPr>
                <w:ilvl w:val="1"/>
                <w:numId w:val="7"/>
              </w:numPr>
              <w:autoSpaceDE/>
              <w:autoSpaceDN/>
              <w:adjustRightInd/>
              <w:snapToGrid/>
              <w:spacing w:after="0"/>
              <w:jc w:val="left"/>
              <w:rPr>
                <w:lang w:eastAsia="x-none"/>
              </w:rPr>
            </w:pPr>
            <w:r w:rsidRPr="008C36FE">
              <w:rPr>
                <w:lang w:eastAsia="x-none"/>
              </w:rPr>
              <w:t>for 120 kHz SCS</w:t>
            </w:r>
          </w:p>
          <w:p w14:paraId="6BAB7A83"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1-1: 100 MHz</w:t>
            </w:r>
          </w:p>
          <w:p w14:paraId="2C87DF7D"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1-2: 200 MHz</w:t>
            </w:r>
          </w:p>
          <w:p w14:paraId="73958776"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1-3: 400 MHz</w:t>
            </w:r>
          </w:p>
          <w:p w14:paraId="4A7ABDE4" w14:textId="77777777" w:rsidR="00EA48C1" w:rsidRPr="008C36FE" w:rsidRDefault="00EA48C1" w:rsidP="00EA48C1">
            <w:pPr>
              <w:numPr>
                <w:ilvl w:val="1"/>
                <w:numId w:val="7"/>
              </w:numPr>
              <w:autoSpaceDE/>
              <w:autoSpaceDN/>
              <w:adjustRightInd/>
              <w:snapToGrid/>
              <w:spacing w:after="0"/>
              <w:jc w:val="left"/>
              <w:rPr>
                <w:lang w:eastAsia="x-none"/>
              </w:rPr>
            </w:pPr>
            <w:r w:rsidRPr="008C36FE">
              <w:rPr>
                <w:lang w:eastAsia="x-none"/>
              </w:rPr>
              <w:t>for 480 kHz SCS</w:t>
            </w:r>
          </w:p>
          <w:p w14:paraId="61D3AFC3"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2-1: 200 MHz</w:t>
            </w:r>
          </w:p>
          <w:p w14:paraId="110AC72D"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2-2: 400 MHz</w:t>
            </w:r>
          </w:p>
          <w:p w14:paraId="6587BC12" w14:textId="77777777" w:rsidR="00EA48C1" w:rsidRPr="008C36FE" w:rsidRDefault="00EA48C1" w:rsidP="00EA48C1">
            <w:pPr>
              <w:numPr>
                <w:ilvl w:val="1"/>
                <w:numId w:val="7"/>
              </w:numPr>
              <w:autoSpaceDE/>
              <w:autoSpaceDN/>
              <w:adjustRightInd/>
              <w:snapToGrid/>
              <w:spacing w:after="0"/>
              <w:jc w:val="left"/>
              <w:rPr>
                <w:lang w:eastAsia="x-none"/>
              </w:rPr>
            </w:pPr>
            <w:r w:rsidRPr="008C36FE">
              <w:rPr>
                <w:lang w:eastAsia="x-none"/>
              </w:rPr>
              <w:t>for 960 kHz SCS</w:t>
            </w:r>
          </w:p>
          <w:p w14:paraId="2346FD9F"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3-1: 400 MHz</w:t>
            </w:r>
          </w:p>
          <w:p w14:paraId="757C72A2"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lastRenderedPageBreak/>
              <w:t>Option 3-2: 800 MHz</w:t>
            </w:r>
          </w:p>
          <w:p w14:paraId="4246A1B2" w14:textId="77777777" w:rsidR="00EA48C1" w:rsidRPr="008C36FE" w:rsidRDefault="00EA48C1" w:rsidP="00EA48C1">
            <w:pPr>
              <w:numPr>
                <w:ilvl w:val="2"/>
                <w:numId w:val="7"/>
              </w:numPr>
              <w:autoSpaceDE/>
              <w:autoSpaceDN/>
              <w:adjustRightInd/>
              <w:snapToGrid/>
              <w:spacing w:after="0"/>
              <w:jc w:val="left"/>
              <w:rPr>
                <w:lang w:eastAsia="x-none"/>
              </w:rPr>
            </w:pPr>
            <w:r w:rsidRPr="008C36FE">
              <w:rPr>
                <w:lang w:eastAsia="x-none"/>
              </w:rPr>
              <w:t>Option 3-3: same value as the maximum channel bandwidth for 960 kHz SCS</w:t>
            </w:r>
          </w:p>
          <w:p w14:paraId="2AB5F26C" w14:textId="77777777" w:rsidR="00EA48C1" w:rsidRPr="008C36FE" w:rsidRDefault="00EA48C1" w:rsidP="00EA48C1">
            <w:pPr>
              <w:numPr>
                <w:ilvl w:val="0"/>
                <w:numId w:val="7"/>
              </w:numPr>
              <w:autoSpaceDE/>
              <w:autoSpaceDN/>
              <w:adjustRightInd/>
              <w:snapToGrid/>
              <w:spacing w:after="0"/>
              <w:jc w:val="left"/>
              <w:rPr>
                <w:lang w:eastAsia="x-none"/>
              </w:rPr>
            </w:pPr>
            <w:r w:rsidRPr="008C36FE">
              <w:rPr>
                <w:lang w:eastAsia="x-none"/>
              </w:rPr>
              <w:t>Further study in RAN1 the above options’ implications on RAN1 design and specification</w:t>
            </w:r>
          </w:p>
          <w:p w14:paraId="2824CCEB" w14:textId="6E307728" w:rsidR="00EA48C1" w:rsidRPr="00EA48C1" w:rsidRDefault="00EA48C1" w:rsidP="00EA48C1">
            <w:pPr>
              <w:numPr>
                <w:ilvl w:val="0"/>
                <w:numId w:val="7"/>
              </w:numPr>
              <w:autoSpaceDE/>
              <w:autoSpaceDN/>
              <w:adjustRightInd/>
              <w:snapToGrid/>
              <w:spacing w:after="0"/>
              <w:jc w:val="left"/>
              <w:rPr>
                <w:lang w:eastAsia="x-none"/>
              </w:rPr>
            </w:pPr>
            <w:r w:rsidRPr="008C36FE">
              <w:rPr>
                <w:lang w:eastAsia="x-none"/>
              </w:rPr>
              <w:t>Send LS to RAN4 to inform about RAN1’s identified options of minimum channel bandwidth and ask RAN4 to decide and feedback the minimum channel bandwidth.</w:t>
            </w:r>
          </w:p>
          <w:p w14:paraId="0185C2CF" w14:textId="77777777" w:rsidR="00EA48C1" w:rsidRDefault="00EA48C1" w:rsidP="00521308">
            <w:pPr>
              <w:spacing w:after="60"/>
              <w:rPr>
                <w:szCs w:val="18"/>
                <w:highlight w:val="green"/>
              </w:rPr>
            </w:pPr>
          </w:p>
          <w:p w14:paraId="0AF9DA73" w14:textId="26D62CEA" w:rsidR="00EA48C1" w:rsidRPr="00E378A0" w:rsidRDefault="00EA48C1" w:rsidP="00521308">
            <w:pPr>
              <w:spacing w:after="60"/>
              <w:rPr>
                <w:sz w:val="18"/>
                <w:szCs w:val="18"/>
              </w:rPr>
            </w:pPr>
            <w:r w:rsidRPr="00E378A0">
              <w:rPr>
                <w:szCs w:val="18"/>
                <w:highlight w:val="green"/>
              </w:rPr>
              <w:t>Agreement</w:t>
            </w:r>
            <w:r w:rsidRPr="00E378A0">
              <w:rPr>
                <w:szCs w:val="18"/>
              </w:rPr>
              <w:t>:</w:t>
            </w:r>
          </w:p>
          <w:p w14:paraId="6E57AC1A" w14:textId="77777777" w:rsidR="00EA48C1" w:rsidRPr="008C36FE" w:rsidRDefault="00EA48C1" w:rsidP="00EA48C1">
            <w:pPr>
              <w:pStyle w:val="ListParagraph"/>
              <w:numPr>
                <w:ilvl w:val="0"/>
                <w:numId w:val="9"/>
              </w:numPr>
              <w:spacing w:after="0" w:line="252" w:lineRule="auto"/>
              <w:contextualSpacing w:val="0"/>
              <w:jc w:val="left"/>
            </w:pPr>
            <w:r w:rsidRPr="008C36FE">
              <w:t>Existing DMRS patterns are supported for NR operation in 52.6 to 71 GHz with 120 kHz SCS.</w:t>
            </w:r>
          </w:p>
          <w:p w14:paraId="34725416" w14:textId="77777777" w:rsidR="00EA48C1" w:rsidRPr="008C36FE" w:rsidRDefault="00EA48C1" w:rsidP="00EA48C1">
            <w:pPr>
              <w:pStyle w:val="ListParagraph"/>
              <w:numPr>
                <w:ilvl w:val="0"/>
                <w:numId w:val="9"/>
              </w:numPr>
              <w:spacing w:after="0" w:line="252" w:lineRule="auto"/>
              <w:contextualSpacing w:val="0"/>
              <w:jc w:val="left"/>
            </w:pPr>
            <w:r w:rsidRPr="008C36FE">
              <w:t>At least existing DMRS patterns are supported for NR operation in 52.6 to 71 GHz with 480 kHz and/or 960 kHz SCS</w:t>
            </w:r>
          </w:p>
          <w:p w14:paraId="2110A689" w14:textId="77777777" w:rsidR="00EA48C1" w:rsidRPr="008C36FE" w:rsidRDefault="00EA48C1" w:rsidP="00EA48C1">
            <w:pPr>
              <w:pStyle w:val="ListParagraph"/>
              <w:numPr>
                <w:ilvl w:val="0"/>
                <w:numId w:val="9"/>
              </w:numPr>
              <w:spacing w:after="0" w:line="252" w:lineRule="auto"/>
              <w:contextualSpacing w:val="0"/>
              <w:jc w:val="left"/>
            </w:pPr>
            <w:r w:rsidRPr="008C36FE">
              <w:rPr>
                <w:lang w:eastAsia="ja-JP"/>
              </w:rPr>
              <w:t xml:space="preserve">Further study on whether to introduce different DMRS pattern with increased frequency domain density (in number of subcarriers) than the existing DMRS patterns </w:t>
            </w:r>
            <w:r w:rsidRPr="008C36FE">
              <w:t>for NR operation in 52.6 to 71 GHz with 480 kHz and/or 960 kHz SCS</w:t>
            </w:r>
          </w:p>
          <w:p w14:paraId="16D1A7BE" w14:textId="77777777" w:rsidR="00EA48C1" w:rsidRPr="008C36FE" w:rsidRDefault="00EA48C1" w:rsidP="00EA48C1">
            <w:pPr>
              <w:pStyle w:val="ListParagraph"/>
              <w:numPr>
                <w:ilvl w:val="0"/>
                <w:numId w:val="9"/>
              </w:numPr>
              <w:spacing w:after="0" w:line="252" w:lineRule="auto"/>
              <w:contextualSpacing w:val="0"/>
              <w:jc w:val="left"/>
            </w:pPr>
            <w:r w:rsidRPr="008C36FE">
              <w:t>Further study on whether and how to restrict DMRS port configuration (e.g., the number of DMRS ports) as in FR2 for NR operation in 52.6 to 71 GHz with 480 kHz and/or 960 kHz SCS</w:t>
            </w:r>
          </w:p>
          <w:p w14:paraId="1AB38B06" w14:textId="001F3A5D" w:rsidR="00EA48C1" w:rsidRPr="00EA48C1" w:rsidRDefault="00EA48C1" w:rsidP="00EA48C1">
            <w:pPr>
              <w:pStyle w:val="BodyText"/>
              <w:overflowPunct w:val="0"/>
              <w:autoSpaceDE w:val="0"/>
              <w:autoSpaceDN w:val="0"/>
              <w:adjustRightInd w:val="0"/>
              <w:spacing w:after="0" w:line="259" w:lineRule="auto"/>
              <w:textAlignment w:val="baseline"/>
              <w:rPr>
                <w:rFonts w:ascii="Times New Roman" w:hAnsi="Times New Roman"/>
                <w:sz w:val="22"/>
                <w:szCs w:val="22"/>
                <w:lang w:val="en-US"/>
              </w:rPr>
            </w:pPr>
          </w:p>
        </w:tc>
      </w:tr>
    </w:tbl>
    <w:p w14:paraId="41F7BDE9" w14:textId="77777777" w:rsidR="00EA48C1" w:rsidRDefault="00EA48C1" w:rsidP="002F3B6E"/>
    <w:p w14:paraId="05F0BB09" w14:textId="77777777" w:rsidR="00387BFF" w:rsidRDefault="00387BFF" w:rsidP="00387BFF">
      <w:r>
        <w:t xml:space="preserve">As we have pointed out in our previous contribution [7], the interpolation-based channel estimation (CE) method is expected to be acceptable for estimating low frequency-selective channels. However, with larger SCSs such as 480kHz/960kHz, due to the wider bandwidth, the number of DMRS symbols within the coherence bandwidth of the channel is significantly decreased when the delay spread (DS) is relatively large (30ns/15ns for 480kHz/960kHz as considered in this section). Thus, it is necessary to investigate the possible performance loss in these cases and to come up with alternate estimation procedures. </w:t>
      </w:r>
    </w:p>
    <w:p w14:paraId="5EA5ED22" w14:textId="6EF9530F" w:rsidR="002D0D1C" w:rsidRDefault="00387BFF" w:rsidP="00387BFF">
      <w:r>
        <w:t xml:space="preserve">Besides the above observation on CE and DS for beyond 52.6GHz, there are also inherent interplays between CE and inter-carrier interference (ICI), including aspects such as: ICI can lead to CE accuracy degradation for reduction of SNR; ICI is changing symbol-wise, which may lead to phase incoherence between DMRS pilots, and better CE in terms of MSE may be useful for BLER gain, depending on ICI cancellation technique applied and potentially how the phase incoherence is amended by certain scheme, as will be discussed later. </w:t>
      </w:r>
    </w:p>
    <w:p w14:paraId="3E2F83B0" w14:textId="4198F95E" w:rsidR="002D0D1C" w:rsidRPr="009944A7" w:rsidRDefault="002D0D1C" w:rsidP="00387BFF">
      <w:pPr>
        <w:rPr>
          <w:b/>
          <w:bCs/>
          <w:i/>
          <w:iCs/>
        </w:rPr>
      </w:pPr>
      <w:r w:rsidRPr="00F445F8">
        <w:rPr>
          <w:b/>
          <w:bCs/>
          <w:i/>
          <w:iCs/>
        </w:rPr>
        <w:t xml:space="preserve">Observation </w:t>
      </w:r>
      <w:r>
        <w:rPr>
          <w:b/>
          <w:bCs/>
          <w:i/>
          <w:iCs/>
        </w:rPr>
        <w:t>1</w:t>
      </w:r>
      <w:r w:rsidRPr="00F445F8">
        <w:rPr>
          <w:b/>
          <w:bCs/>
          <w:i/>
          <w:iCs/>
        </w:rPr>
        <w:t xml:space="preserve">: </w:t>
      </w:r>
      <w:r>
        <w:rPr>
          <w:b/>
          <w:bCs/>
          <w:i/>
          <w:iCs/>
        </w:rPr>
        <w:t xml:space="preserve">The inherent interplays between CE and PN-induced ICI for beyond 52.6GHz worth in-depth further studies.  </w:t>
      </w:r>
    </w:p>
    <w:p w14:paraId="5C0AF00B" w14:textId="2CD3EC2D" w:rsidR="002B1C35" w:rsidRDefault="002B1C35" w:rsidP="002B1C35">
      <w:pPr>
        <w:pStyle w:val="Heading3"/>
      </w:pPr>
      <w:r w:rsidRPr="002B1C35">
        <w:t xml:space="preserve">DMRS </w:t>
      </w:r>
      <w:r w:rsidR="008771DE">
        <w:t>S</w:t>
      </w:r>
      <w:r w:rsidRPr="002B1C35">
        <w:t xml:space="preserve">taggering </w:t>
      </w:r>
    </w:p>
    <w:p w14:paraId="3CADCE5D" w14:textId="0EE215BE" w:rsidR="00CF209E" w:rsidRDefault="008028C1" w:rsidP="00CF209E">
      <w:r>
        <w:t xml:space="preserve">One approach to improve CE accuracy by </w:t>
      </w:r>
      <w:r w:rsidR="005C4090">
        <w:t xml:space="preserve">improving </w:t>
      </w:r>
      <w:r>
        <w:t>FD interpolation is to stagger the 2</w:t>
      </w:r>
      <w:r w:rsidRPr="008028C1">
        <w:rPr>
          <w:vertAlign w:val="superscript"/>
        </w:rPr>
        <w:t>nd</w:t>
      </w:r>
      <w:r>
        <w:t xml:space="preserve"> DMRS pilot symbol on a resource grid to occupy the even subcarriers</w:t>
      </w:r>
      <w:r w:rsidR="00D87994">
        <w:t xml:space="preserve"> as shown by Figure 1</w:t>
      </w:r>
      <w:r>
        <w:t>, as the 1</w:t>
      </w:r>
      <w:r w:rsidRPr="008028C1">
        <w:rPr>
          <w:vertAlign w:val="superscript"/>
        </w:rPr>
        <w:t>st</w:t>
      </w:r>
      <w:r>
        <w:t xml:space="preserve"> DMRS pilot symbol occupies the odd subcarriers, such that the estimates from the two symbols can be combined. This approach is different from using only one, but a full-tone block-DMRS symbol, because the latter would need extra an extra </w:t>
      </w:r>
      <w:r w:rsidR="005C4090">
        <w:t>PT-RS</w:t>
      </w:r>
      <w:r>
        <w:t xml:space="preserve"> symbol to fill the voided 2</w:t>
      </w:r>
      <w:r w:rsidRPr="008028C1">
        <w:rPr>
          <w:vertAlign w:val="superscript"/>
        </w:rPr>
        <w:t>nd</w:t>
      </w:r>
      <w:r>
        <w:t xml:space="preserve"> DMRS symbol for ICI cancellation purpose. </w:t>
      </w:r>
      <w:r w:rsidR="00CF209E">
        <w:t>Per the meeting’s requirement on revealing the details of the ICI cancellation, several elements are concluded:</w:t>
      </w:r>
    </w:p>
    <w:p w14:paraId="72D28B17" w14:textId="76413D45" w:rsidR="00CF209E" w:rsidRDefault="00CF209E" w:rsidP="00CF209E">
      <w:pPr>
        <w:pStyle w:val="ListParagraph"/>
        <w:numPr>
          <w:ilvl w:val="0"/>
          <w:numId w:val="21"/>
        </w:numPr>
        <w:spacing w:after="160" w:line="259" w:lineRule="auto"/>
        <w:jc w:val="left"/>
      </w:pPr>
      <w:r>
        <w:t>ICI cancellation is symbol-wise, where LS-based FD convolutional filter is estimated for each symbol;</w:t>
      </w:r>
    </w:p>
    <w:p w14:paraId="122EF23C" w14:textId="1268E22F" w:rsidR="00CF209E" w:rsidRDefault="00CF209E" w:rsidP="00CF209E">
      <w:pPr>
        <w:pStyle w:val="ListParagraph"/>
        <w:numPr>
          <w:ilvl w:val="0"/>
          <w:numId w:val="21"/>
        </w:numPr>
        <w:spacing w:after="160" w:line="259" w:lineRule="auto"/>
        <w:jc w:val="left"/>
      </w:pPr>
      <w:r>
        <w:t xml:space="preserve">The legacy implementation that </w:t>
      </w:r>
      <w:r w:rsidR="005C4090">
        <w:t>PT-RS</w:t>
      </w:r>
      <w:r>
        <w:t xml:space="preserve"> occupies symbols without DMRS is followed;</w:t>
      </w:r>
    </w:p>
    <w:p w14:paraId="2E0FAB75" w14:textId="5CB9D57A" w:rsidR="00CF209E" w:rsidRDefault="00CF209E" w:rsidP="00CF209E">
      <w:pPr>
        <w:pStyle w:val="ListParagraph"/>
        <w:numPr>
          <w:ilvl w:val="0"/>
          <w:numId w:val="21"/>
        </w:numPr>
        <w:spacing w:after="160" w:line="259" w:lineRule="auto"/>
        <w:jc w:val="left"/>
      </w:pPr>
      <w:r>
        <w:t xml:space="preserve">ICI filter is estimated by using DMRS for symbols without </w:t>
      </w:r>
      <w:r w:rsidR="005C4090">
        <w:t>PT-RS</w:t>
      </w:r>
      <w:r>
        <w:t xml:space="preserve">, </w:t>
      </w:r>
      <w:r w:rsidR="002D0D1C">
        <w:t>i.e.,</w:t>
      </w:r>
      <w:r>
        <w:t xml:space="preserve"> DMRS serves both CE and ICI cancellation purposes</w:t>
      </w:r>
      <w:r w:rsidR="00DC5B5B">
        <w:t>;</w:t>
      </w:r>
    </w:p>
    <w:p w14:paraId="53DF6836" w14:textId="603F9032" w:rsidR="00CF209E" w:rsidRDefault="00CF209E" w:rsidP="004C36E0">
      <w:pPr>
        <w:pStyle w:val="ListParagraph"/>
        <w:numPr>
          <w:ilvl w:val="0"/>
          <w:numId w:val="21"/>
        </w:numPr>
        <w:spacing w:after="160" w:line="259" w:lineRule="auto"/>
        <w:jc w:val="left"/>
      </w:pPr>
      <w:r>
        <w:t xml:space="preserve">The same number of comb-type pilots with the </w:t>
      </w:r>
      <w:r w:rsidR="005C4090">
        <w:t>PT-RS</w:t>
      </w:r>
      <w:r>
        <w:t xml:space="preserve"> symbols are taken from the DMRS symbol for ICI cancellation </w:t>
      </w:r>
      <w:r w:rsidR="001D3490">
        <w:t>purpose and</w:t>
      </w:r>
      <w:r>
        <w:t xml:space="preserve"> using more/all DMRS pilots for cancellation offer very trivial gain </w:t>
      </w:r>
      <w:r w:rsidR="00DC5B5B">
        <w:t xml:space="preserve">but results in </w:t>
      </w:r>
      <w:r>
        <w:t xml:space="preserve">the complexity/power </w:t>
      </w:r>
      <w:r w:rsidR="00DC5B5B">
        <w:t xml:space="preserve">increase. </w:t>
      </w:r>
    </w:p>
    <w:p w14:paraId="5BEF3C56" w14:textId="018BB711" w:rsidR="0040394C" w:rsidRDefault="002D0D1C" w:rsidP="002D0D1C">
      <w:pPr>
        <w:rPr>
          <w:b/>
          <w:bCs/>
          <w:i/>
          <w:iCs/>
        </w:rPr>
      </w:pPr>
      <w:r w:rsidRPr="00F445F8">
        <w:rPr>
          <w:b/>
          <w:bCs/>
          <w:i/>
          <w:iCs/>
        </w:rPr>
        <w:t xml:space="preserve">Observation </w:t>
      </w:r>
      <w:r>
        <w:rPr>
          <w:b/>
          <w:bCs/>
          <w:i/>
          <w:iCs/>
        </w:rPr>
        <w:t>2</w:t>
      </w:r>
      <w:r w:rsidRPr="00F445F8">
        <w:rPr>
          <w:b/>
          <w:bCs/>
          <w:i/>
          <w:iCs/>
        </w:rPr>
        <w:t xml:space="preserve">: </w:t>
      </w:r>
      <w:r>
        <w:rPr>
          <w:b/>
          <w:bCs/>
          <w:i/>
          <w:iCs/>
        </w:rPr>
        <w:t xml:space="preserve">For beyond 52.6GHz with the standard-compliant implementation, symbol-wise ICI cancellation is needed </w:t>
      </w:r>
      <w:r w:rsidR="0040394C">
        <w:rPr>
          <w:b/>
          <w:bCs/>
          <w:i/>
          <w:iCs/>
        </w:rPr>
        <w:t xml:space="preserve">for efficient PN cancellation as observed </w:t>
      </w:r>
      <w:r w:rsidR="00881C20">
        <w:rPr>
          <w:b/>
          <w:bCs/>
          <w:i/>
          <w:iCs/>
        </w:rPr>
        <w:t xml:space="preserve">in </w:t>
      </w:r>
      <w:r w:rsidR="0040394C">
        <w:rPr>
          <w:b/>
          <w:bCs/>
          <w:i/>
          <w:iCs/>
        </w:rPr>
        <w:t>prior meetings</w:t>
      </w:r>
      <w:r>
        <w:rPr>
          <w:b/>
          <w:bCs/>
          <w:i/>
          <w:iCs/>
        </w:rPr>
        <w:t>.</w:t>
      </w:r>
      <w:r w:rsidR="0040394C">
        <w:rPr>
          <w:b/>
          <w:bCs/>
          <w:i/>
          <w:iCs/>
        </w:rPr>
        <w:t xml:space="preserve"> On symbols without </w:t>
      </w:r>
      <w:r w:rsidR="005C4090">
        <w:rPr>
          <w:b/>
          <w:bCs/>
          <w:i/>
          <w:iCs/>
        </w:rPr>
        <w:t>PT-RS</w:t>
      </w:r>
      <w:r w:rsidR="0040394C">
        <w:rPr>
          <w:b/>
          <w:bCs/>
          <w:i/>
          <w:iCs/>
        </w:rPr>
        <w:t xml:space="preserve">, DMRS is utilized for PN cancellation purpose. </w:t>
      </w:r>
    </w:p>
    <w:p w14:paraId="43DE7DB0" w14:textId="77777777" w:rsidR="008771DE" w:rsidRDefault="0040394C" w:rsidP="00D6109A">
      <w:pPr>
        <w:rPr>
          <w:b/>
          <w:bCs/>
          <w:i/>
          <w:iCs/>
        </w:rPr>
      </w:pPr>
      <w:r>
        <w:rPr>
          <w:b/>
          <w:bCs/>
          <w:i/>
          <w:iCs/>
        </w:rPr>
        <w:lastRenderedPageBreak/>
        <w:t xml:space="preserve">Proposal 1: For PN cancellation on symbols without </w:t>
      </w:r>
      <w:r w:rsidR="005C4090">
        <w:rPr>
          <w:b/>
          <w:bCs/>
          <w:i/>
          <w:iCs/>
        </w:rPr>
        <w:t>PT-RS</w:t>
      </w:r>
      <w:r>
        <w:rPr>
          <w:b/>
          <w:bCs/>
          <w:i/>
          <w:iCs/>
        </w:rPr>
        <w:t xml:space="preserve">, the same number of DMRS tones </w:t>
      </w:r>
      <w:r w:rsidR="005C4090">
        <w:rPr>
          <w:b/>
          <w:bCs/>
          <w:i/>
          <w:iCs/>
        </w:rPr>
        <w:t xml:space="preserve">with the number of PT-RS tones on each symbol </w:t>
      </w:r>
      <w:r>
        <w:rPr>
          <w:b/>
          <w:bCs/>
          <w:i/>
          <w:iCs/>
        </w:rPr>
        <w:t xml:space="preserve">is recommended. Using the full DMRS or more tones </w:t>
      </w:r>
      <w:r w:rsidR="005C4090">
        <w:rPr>
          <w:b/>
          <w:bCs/>
          <w:i/>
          <w:iCs/>
        </w:rPr>
        <w:t xml:space="preserve">than the PT-RS symbol tones </w:t>
      </w:r>
      <w:r>
        <w:rPr>
          <w:b/>
          <w:bCs/>
          <w:i/>
          <w:iCs/>
        </w:rPr>
        <w:t xml:space="preserve">for the cancellation does not provide non-trivial gain. </w:t>
      </w:r>
    </w:p>
    <w:p w14:paraId="28A83802" w14:textId="6AB1D8FE" w:rsidR="00D6109A" w:rsidRPr="009944A7" w:rsidRDefault="002D0D1C" w:rsidP="00D6109A">
      <w:pPr>
        <w:rPr>
          <w:b/>
          <w:bCs/>
          <w:i/>
          <w:iCs/>
        </w:rPr>
      </w:pPr>
      <w:r>
        <w:rPr>
          <w:b/>
          <w:bCs/>
          <w:i/>
          <w:iCs/>
        </w:rPr>
        <w:t xml:space="preserve">  </w:t>
      </w:r>
    </w:p>
    <w:p w14:paraId="6EF19FAD" w14:textId="79123B81" w:rsidR="002B1C35" w:rsidRDefault="002B1C35" w:rsidP="002B1C35">
      <w:pPr>
        <w:jc w:val="center"/>
        <w:rPr>
          <w:b/>
          <w:bCs/>
        </w:rPr>
      </w:pPr>
      <w:r w:rsidRPr="002B1C35">
        <w:rPr>
          <w:b/>
          <w:bCs/>
          <w:noProof/>
        </w:rPr>
        <w:drawing>
          <wp:inline distT="0" distB="0" distL="0" distR="0" wp14:anchorId="5FE0947E" wp14:editId="4B4A364E">
            <wp:extent cx="3820693" cy="2032755"/>
            <wp:effectExtent l="0" t="0" r="8890" b="5715"/>
            <wp:docPr id="10" name="Picture 9">
              <a:extLst xmlns:a="http://schemas.openxmlformats.org/drawingml/2006/main">
                <a:ext uri="{FF2B5EF4-FFF2-40B4-BE49-F238E27FC236}">
                  <a16:creationId xmlns:a16="http://schemas.microsoft.com/office/drawing/2014/main" id="{49B05D26-0E44-4A80-A141-373E6E12D5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9B05D26-0E44-4A80-A141-373E6E12D501}"/>
                        </a:ext>
                      </a:extLst>
                    </pic:cNvPr>
                    <pic:cNvPicPr>
                      <a:picLocks noChangeAspect="1"/>
                    </pic:cNvPicPr>
                  </pic:nvPicPr>
                  <pic:blipFill>
                    <a:blip r:embed="rId6"/>
                    <a:stretch>
                      <a:fillRect/>
                    </a:stretch>
                  </pic:blipFill>
                  <pic:spPr>
                    <a:xfrm>
                      <a:off x="0" y="0"/>
                      <a:ext cx="3854507" cy="2050745"/>
                    </a:xfrm>
                    <a:prstGeom prst="rect">
                      <a:avLst/>
                    </a:prstGeom>
                  </pic:spPr>
                </pic:pic>
              </a:graphicData>
            </a:graphic>
          </wp:inline>
        </w:drawing>
      </w:r>
    </w:p>
    <w:p w14:paraId="4B81B6A7" w14:textId="4988949D" w:rsidR="002B1C35" w:rsidRDefault="002B1C35" w:rsidP="002B1C35">
      <w:pPr>
        <w:jc w:val="center"/>
        <w:rPr>
          <w:sz w:val="20"/>
          <w:szCs w:val="20"/>
        </w:rPr>
      </w:pPr>
      <w:r>
        <w:rPr>
          <w:sz w:val="20"/>
          <w:szCs w:val="20"/>
        </w:rPr>
        <w:t xml:space="preserve">Figure </w:t>
      </w:r>
      <w:r w:rsidR="00D87994">
        <w:rPr>
          <w:sz w:val="20"/>
          <w:szCs w:val="20"/>
        </w:rPr>
        <w:t>1</w:t>
      </w:r>
      <w:r>
        <w:rPr>
          <w:sz w:val="20"/>
          <w:szCs w:val="20"/>
        </w:rPr>
        <w:t xml:space="preserve">. </w:t>
      </w:r>
      <w:r w:rsidR="004856F2">
        <w:rPr>
          <w:sz w:val="20"/>
          <w:szCs w:val="20"/>
        </w:rPr>
        <w:t>A sample</w:t>
      </w:r>
      <w:r>
        <w:rPr>
          <w:sz w:val="20"/>
          <w:szCs w:val="20"/>
        </w:rPr>
        <w:t xml:space="preserve"> resource grid with staggering the 2</w:t>
      </w:r>
      <w:r w:rsidRPr="002B1C35">
        <w:rPr>
          <w:sz w:val="20"/>
          <w:szCs w:val="20"/>
          <w:vertAlign w:val="superscript"/>
        </w:rPr>
        <w:t>nd</w:t>
      </w:r>
      <w:r>
        <w:rPr>
          <w:sz w:val="20"/>
          <w:szCs w:val="20"/>
        </w:rPr>
        <w:t xml:space="preserve"> DMRS symbol to occupy the even REs. </w:t>
      </w:r>
    </w:p>
    <w:p w14:paraId="17BA3669" w14:textId="77777777" w:rsidR="008771DE" w:rsidRDefault="008771DE" w:rsidP="002B1C35">
      <w:pPr>
        <w:jc w:val="center"/>
        <w:rPr>
          <w:sz w:val="20"/>
          <w:szCs w:val="20"/>
        </w:rPr>
      </w:pPr>
    </w:p>
    <w:p w14:paraId="7323ABC4" w14:textId="1A8C56B0" w:rsidR="0038111A" w:rsidRDefault="008028C1" w:rsidP="0038111A">
      <w:pPr>
        <w:pStyle w:val="Heading3"/>
      </w:pPr>
      <w:r>
        <w:t>Dual</w:t>
      </w:r>
      <w:r w:rsidR="0038111A">
        <w:t xml:space="preserve">-purpose </w:t>
      </w:r>
      <w:r w:rsidR="005C4090">
        <w:t>PT-RS</w:t>
      </w:r>
      <w:r w:rsidR="0038111A">
        <w:t xml:space="preserve"> </w:t>
      </w:r>
    </w:p>
    <w:p w14:paraId="0CBC262B" w14:textId="7B630E69" w:rsidR="002007FC" w:rsidRDefault="0097761B" w:rsidP="00D87994">
      <w:r>
        <w:t xml:space="preserve">A </w:t>
      </w:r>
      <w:r w:rsidR="001D3490">
        <w:t xml:space="preserve">second approach is based on the idea </w:t>
      </w:r>
      <w:r>
        <w:t>to</w:t>
      </w:r>
      <w:r w:rsidR="001D3490">
        <w:t xml:space="preserve"> use </w:t>
      </w:r>
      <w:r w:rsidR="005C4090">
        <w:t>PT-RS</w:t>
      </w:r>
      <w:r w:rsidR="001D3490">
        <w:t xml:space="preserve"> for CE purpose, i.e., each of the two reference signals serve dual</w:t>
      </w:r>
      <w:r w:rsidR="002E531E">
        <w:t xml:space="preserve"> </w:t>
      </w:r>
      <w:r w:rsidR="001D3490">
        <w:t xml:space="preserve">purposes. </w:t>
      </w:r>
      <w:r w:rsidR="002E531E">
        <w:t xml:space="preserve">The </w:t>
      </w:r>
      <w:r>
        <w:t xml:space="preserve">advantage </w:t>
      </w:r>
      <w:r w:rsidR="002E531E">
        <w:t xml:space="preserve">of </w:t>
      </w:r>
      <w:r w:rsidR="005C4090">
        <w:t>PT-RS</w:t>
      </w:r>
      <w:r w:rsidR="002E531E">
        <w:t xml:space="preserve"> over DMRS is that, typically, </w:t>
      </w:r>
      <w:r w:rsidR="005C4090">
        <w:t>PT-RS</w:t>
      </w:r>
      <w:r w:rsidR="002E531E">
        <w:t xml:space="preserve"> occup</w:t>
      </w:r>
      <w:r>
        <w:t>ies</w:t>
      </w:r>
      <w:r w:rsidR="002E531E">
        <w:t xml:space="preserve"> more symbols than DMRS, such that they can capture </w:t>
      </w:r>
      <w:r>
        <w:t>phase change</w:t>
      </w:r>
      <w:r w:rsidR="002E531E">
        <w:t xml:space="preserve"> information that the DMRS symbols cannot provide. This is particularly useful for the beyond 52.6GHz link, where the PN is higher than the </w:t>
      </w:r>
      <w:r w:rsidR="002007FC">
        <w:t xml:space="preserve">lower bands, such that </w:t>
      </w:r>
      <w:r w:rsidR="005C4090">
        <w:t>PT-RS</w:t>
      </w:r>
      <w:r w:rsidR="002007FC">
        <w:t xml:space="preserve"> symbols are always enabled. Further, high PN </w:t>
      </w:r>
      <w:r w:rsidR="002E531E">
        <w:t xml:space="preserve">may introduce phase incoherence to the symbol-wise channel estimates inside a slot. </w:t>
      </w:r>
    </w:p>
    <w:p w14:paraId="5CCBFD7E" w14:textId="5DC618C8" w:rsidR="00D87994" w:rsidRDefault="002007FC" w:rsidP="00D87994">
      <w:r>
        <w:t xml:space="preserve">However, the legacy </w:t>
      </w:r>
      <w:r w:rsidR="005C4090">
        <w:t>PT-RS</w:t>
      </w:r>
      <w:r>
        <w:t xml:space="preserve"> pattern does not cover a major portion of REs, such that they can only capture localized</w:t>
      </w:r>
      <w:r w:rsidR="0097761B">
        <w:t xml:space="preserve"> in frequency</w:t>
      </w:r>
      <w:r>
        <w:t xml:space="preserve"> channel information if used for CE. A design option is to stagger each </w:t>
      </w:r>
      <w:r w:rsidR="005C4090">
        <w:t>PT-RS</w:t>
      </w:r>
      <w:r>
        <w:t xml:space="preserve"> symbol with different offsets to cover </w:t>
      </w:r>
      <w:r w:rsidR="00E35747">
        <w:t>as many</w:t>
      </w:r>
      <w:r>
        <w:t xml:space="preserve"> REs</w:t>
      </w:r>
      <w:r w:rsidR="00E35747">
        <w:t xml:space="preserve"> as possible. For the considered case with 2DMRS, we stagger 1 more RE towards the bottom of the resource grid for each of the first half of </w:t>
      </w:r>
      <w:r w:rsidR="005C4090">
        <w:t>PT-RS</w:t>
      </w:r>
      <w:r w:rsidR="00E35747">
        <w:t xml:space="preserve"> symbols, and stagger 1 more RE towards the top of resource grid for each of the second half of </w:t>
      </w:r>
      <w:r w:rsidR="005C4090">
        <w:t>PT-RS</w:t>
      </w:r>
      <w:r w:rsidR="00E35747">
        <w:t xml:space="preserve"> symbols, as shown in the sample resource grid in Figure 2. </w:t>
      </w:r>
    </w:p>
    <w:p w14:paraId="13B1AB2B" w14:textId="77777777" w:rsidR="008771DE" w:rsidRPr="00D87994" w:rsidRDefault="008771DE" w:rsidP="00D87994"/>
    <w:p w14:paraId="23E408B3" w14:textId="084114B6" w:rsidR="00495D54" w:rsidRDefault="00495D54" w:rsidP="00495D54">
      <w:pPr>
        <w:jc w:val="center"/>
        <w:rPr>
          <w:b/>
          <w:bCs/>
          <w:i/>
          <w:iCs/>
        </w:rPr>
      </w:pPr>
      <w:r w:rsidRPr="00495D54">
        <w:rPr>
          <w:noProof/>
        </w:rPr>
        <w:drawing>
          <wp:inline distT="0" distB="0" distL="0" distR="0" wp14:anchorId="36113073" wp14:editId="262E23F8">
            <wp:extent cx="3837761" cy="2069434"/>
            <wp:effectExtent l="0" t="0" r="0" b="7620"/>
            <wp:docPr id="6" name="Picture 5">
              <a:extLst xmlns:a="http://schemas.openxmlformats.org/drawingml/2006/main">
                <a:ext uri="{FF2B5EF4-FFF2-40B4-BE49-F238E27FC236}">
                  <a16:creationId xmlns:a16="http://schemas.microsoft.com/office/drawing/2014/main" id="{8CC61A01-1D1B-4E93-A121-793CAA65A8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C61A01-1D1B-4E93-A121-793CAA65A85F}"/>
                        </a:ext>
                      </a:extLst>
                    </pic:cNvPr>
                    <pic:cNvPicPr>
                      <a:picLocks noChangeAspect="1"/>
                    </pic:cNvPicPr>
                  </pic:nvPicPr>
                  <pic:blipFill>
                    <a:blip r:embed="rId7"/>
                    <a:stretch>
                      <a:fillRect/>
                    </a:stretch>
                  </pic:blipFill>
                  <pic:spPr>
                    <a:xfrm>
                      <a:off x="0" y="0"/>
                      <a:ext cx="3869742" cy="2086679"/>
                    </a:xfrm>
                    <a:prstGeom prst="rect">
                      <a:avLst/>
                    </a:prstGeom>
                  </pic:spPr>
                </pic:pic>
              </a:graphicData>
            </a:graphic>
          </wp:inline>
        </w:drawing>
      </w:r>
    </w:p>
    <w:p w14:paraId="3E8E46B0" w14:textId="2200436D" w:rsidR="00FB41E2" w:rsidRDefault="00495D54" w:rsidP="00C60767">
      <w:pPr>
        <w:jc w:val="center"/>
        <w:rPr>
          <w:sz w:val="20"/>
          <w:szCs w:val="20"/>
        </w:rPr>
      </w:pPr>
      <w:r>
        <w:rPr>
          <w:sz w:val="20"/>
          <w:szCs w:val="20"/>
        </w:rPr>
        <w:t xml:space="preserve">Figure </w:t>
      </w:r>
      <w:r w:rsidR="00E35747">
        <w:rPr>
          <w:sz w:val="20"/>
          <w:szCs w:val="20"/>
        </w:rPr>
        <w:t>2</w:t>
      </w:r>
      <w:r>
        <w:rPr>
          <w:sz w:val="20"/>
          <w:szCs w:val="20"/>
        </w:rPr>
        <w:t xml:space="preserve">. </w:t>
      </w:r>
      <w:r w:rsidR="004856F2">
        <w:rPr>
          <w:sz w:val="20"/>
          <w:szCs w:val="20"/>
        </w:rPr>
        <w:t>A sample</w:t>
      </w:r>
      <w:r>
        <w:rPr>
          <w:sz w:val="20"/>
          <w:szCs w:val="20"/>
        </w:rPr>
        <w:t xml:space="preserve"> resource grid with </w:t>
      </w:r>
      <w:r w:rsidR="004856F2">
        <w:rPr>
          <w:sz w:val="20"/>
          <w:szCs w:val="20"/>
        </w:rPr>
        <w:t xml:space="preserve">dual-purpose </w:t>
      </w:r>
      <w:r w:rsidR="005C4090">
        <w:rPr>
          <w:sz w:val="20"/>
          <w:szCs w:val="20"/>
        </w:rPr>
        <w:t>PT-RS</w:t>
      </w:r>
      <w:r w:rsidR="004856F2">
        <w:rPr>
          <w:sz w:val="20"/>
          <w:szCs w:val="20"/>
        </w:rPr>
        <w:t xml:space="preserve"> with a new staggering pattern.</w:t>
      </w:r>
      <w:r>
        <w:rPr>
          <w:sz w:val="20"/>
          <w:szCs w:val="20"/>
        </w:rPr>
        <w:t xml:space="preserve"> </w:t>
      </w:r>
    </w:p>
    <w:p w14:paraId="7F2765EA" w14:textId="77777777" w:rsidR="008771DE" w:rsidRPr="00C60767" w:rsidRDefault="008771DE" w:rsidP="00C60767">
      <w:pPr>
        <w:jc w:val="center"/>
        <w:rPr>
          <w:sz w:val="20"/>
          <w:szCs w:val="20"/>
        </w:rPr>
      </w:pPr>
    </w:p>
    <w:p w14:paraId="668085D3" w14:textId="257DC07D" w:rsidR="00EA77EC" w:rsidRDefault="00EA77EC" w:rsidP="00FB41E2">
      <w:r>
        <w:t xml:space="preserve">The BLER and MSE comparisons among the Rel15/16 legacy CE, CE with DMRS staggering, and CE with dual-purpose </w:t>
      </w:r>
      <w:r w:rsidR="005C4090">
        <w:t>PT-RS</w:t>
      </w:r>
      <w:r>
        <w:t xml:space="preserve"> for the larger SCS with larger DS combination are included in Figure 3  </w:t>
      </w:r>
      <w:r w:rsidR="005C4090">
        <w:t xml:space="preserve">to </w:t>
      </w:r>
      <w:r>
        <w:t xml:space="preserve">Figure </w:t>
      </w:r>
      <w:r>
        <w:lastRenderedPageBreak/>
        <w:t xml:space="preserve">6. It is seen that for both the 960kHz SCS and 480kHz SCS cases, </w:t>
      </w:r>
      <w:r w:rsidR="002D0D1C">
        <w:t xml:space="preserve">the CE with </w:t>
      </w:r>
      <w:r w:rsidR="0097761B">
        <w:t xml:space="preserve">proposed </w:t>
      </w:r>
      <w:r w:rsidR="002D0D1C">
        <w:t xml:space="preserve"> dual-purpose </w:t>
      </w:r>
      <w:r w:rsidR="005C4090">
        <w:t>PT-RS</w:t>
      </w:r>
      <w:r w:rsidR="002D0D1C">
        <w:t xml:space="preserve"> leads to the best BLER performance and best MSE. The CE with DMRS staggering has a better MSE than the legacy CE, while it does not always translate into BLER gains. </w:t>
      </w:r>
    </w:p>
    <w:p w14:paraId="644E4643" w14:textId="77777777" w:rsidR="008771DE" w:rsidRPr="00EA77EC" w:rsidRDefault="008771DE" w:rsidP="00FB41E2"/>
    <w:p w14:paraId="09E5633A" w14:textId="303EE4F1" w:rsidR="00FB41E2" w:rsidRDefault="003B5C47" w:rsidP="00FB41E2">
      <w:pPr>
        <w:jc w:val="center"/>
        <w:rPr>
          <w:b/>
          <w:bCs/>
          <w:i/>
          <w:iCs/>
        </w:rPr>
      </w:pPr>
      <w:r>
        <w:rPr>
          <w:noProof/>
        </w:rPr>
        <w:drawing>
          <wp:inline distT="0" distB="0" distL="0" distR="0" wp14:anchorId="77E1B43C" wp14:editId="4A4AE2F2">
            <wp:extent cx="3931243" cy="205655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0583" cy="2061436"/>
                    </a:xfrm>
                    <a:prstGeom prst="rect">
                      <a:avLst/>
                    </a:prstGeom>
                  </pic:spPr>
                </pic:pic>
              </a:graphicData>
            </a:graphic>
          </wp:inline>
        </w:drawing>
      </w:r>
    </w:p>
    <w:p w14:paraId="5843E394" w14:textId="2CB401E2" w:rsidR="0062750C" w:rsidRDefault="0062750C" w:rsidP="00FB41E2">
      <w:pPr>
        <w:jc w:val="center"/>
        <w:rPr>
          <w:sz w:val="20"/>
          <w:szCs w:val="20"/>
        </w:rPr>
      </w:pPr>
      <w:r w:rsidRPr="00C60767">
        <w:rPr>
          <w:sz w:val="20"/>
          <w:szCs w:val="20"/>
        </w:rPr>
        <w:t xml:space="preserve">Figure </w:t>
      </w:r>
      <w:r w:rsidR="00EA77EC">
        <w:rPr>
          <w:sz w:val="20"/>
          <w:szCs w:val="20"/>
        </w:rPr>
        <w:t>3</w:t>
      </w:r>
      <w:r w:rsidRPr="00C60767">
        <w:rPr>
          <w:sz w:val="20"/>
          <w:szCs w:val="20"/>
        </w:rPr>
        <w:t>.</w:t>
      </w:r>
      <w:r w:rsidR="00EA77EC">
        <w:rPr>
          <w:sz w:val="20"/>
          <w:szCs w:val="20"/>
        </w:rPr>
        <w:t xml:space="preserve"> BLER comparison between the legacy and proposal CE schemes under 960kHz SCS, 15ns DS. </w:t>
      </w:r>
    </w:p>
    <w:p w14:paraId="10B918B1" w14:textId="77777777" w:rsidR="008771DE" w:rsidRPr="00C60767" w:rsidRDefault="008771DE" w:rsidP="00FB41E2">
      <w:pPr>
        <w:jc w:val="center"/>
        <w:rPr>
          <w:sz w:val="20"/>
          <w:szCs w:val="20"/>
        </w:rPr>
      </w:pPr>
    </w:p>
    <w:p w14:paraId="02876094" w14:textId="4688120B" w:rsidR="003B5C47" w:rsidRDefault="005C553E" w:rsidP="00FB41E2">
      <w:pPr>
        <w:jc w:val="center"/>
      </w:pPr>
      <w:r>
        <w:rPr>
          <w:noProof/>
        </w:rPr>
        <w:drawing>
          <wp:inline distT="0" distB="0" distL="0" distR="0" wp14:anchorId="6D291B37" wp14:editId="0B1A6534">
            <wp:extent cx="3945794" cy="2053151"/>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66865" cy="2064115"/>
                    </a:xfrm>
                    <a:prstGeom prst="rect">
                      <a:avLst/>
                    </a:prstGeom>
                  </pic:spPr>
                </pic:pic>
              </a:graphicData>
            </a:graphic>
          </wp:inline>
        </w:drawing>
      </w:r>
    </w:p>
    <w:p w14:paraId="5D23299C" w14:textId="27F4ECC2" w:rsidR="00EA77EC" w:rsidRDefault="00EA77EC" w:rsidP="00EA77EC">
      <w:pPr>
        <w:jc w:val="center"/>
        <w:rPr>
          <w:sz w:val="20"/>
          <w:szCs w:val="20"/>
        </w:rPr>
      </w:pPr>
      <w:r w:rsidRPr="00C60767">
        <w:rPr>
          <w:sz w:val="20"/>
          <w:szCs w:val="20"/>
        </w:rPr>
        <w:t xml:space="preserve">Figure </w:t>
      </w:r>
      <w:r>
        <w:rPr>
          <w:sz w:val="20"/>
          <w:szCs w:val="20"/>
        </w:rPr>
        <w:t>4</w:t>
      </w:r>
      <w:r w:rsidRPr="00C60767">
        <w:rPr>
          <w:sz w:val="20"/>
          <w:szCs w:val="20"/>
        </w:rPr>
        <w:t>.</w:t>
      </w:r>
      <w:r>
        <w:rPr>
          <w:sz w:val="20"/>
          <w:szCs w:val="20"/>
        </w:rPr>
        <w:t xml:space="preserve"> MSE comparison between the legacy and proposal CE schemes under 960kHz SCS, 15ns DS.</w:t>
      </w:r>
    </w:p>
    <w:p w14:paraId="7A2B99A0" w14:textId="77777777" w:rsidR="008771DE" w:rsidRPr="00C60767" w:rsidRDefault="008771DE" w:rsidP="00EA77EC">
      <w:pPr>
        <w:jc w:val="center"/>
        <w:rPr>
          <w:sz w:val="20"/>
          <w:szCs w:val="20"/>
        </w:rPr>
      </w:pPr>
    </w:p>
    <w:p w14:paraId="5821866B" w14:textId="14F80796" w:rsidR="00FD6C52" w:rsidRDefault="0062750C" w:rsidP="00FB41E2">
      <w:pPr>
        <w:jc w:val="center"/>
        <w:rPr>
          <w:b/>
          <w:bCs/>
          <w:i/>
          <w:iCs/>
        </w:rPr>
      </w:pPr>
      <w:r>
        <w:rPr>
          <w:noProof/>
        </w:rPr>
        <w:drawing>
          <wp:inline distT="0" distB="0" distL="0" distR="0" wp14:anchorId="6C0D2660" wp14:editId="6B38E783">
            <wp:extent cx="3932940" cy="20810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83104" cy="2107621"/>
                    </a:xfrm>
                    <a:prstGeom prst="rect">
                      <a:avLst/>
                    </a:prstGeom>
                  </pic:spPr>
                </pic:pic>
              </a:graphicData>
            </a:graphic>
          </wp:inline>
        </w:drawing>
      </w:r>
    </w:p>
    <w:p w14:paraId="0A12737F" w14:textId="4FF65EAA" w:rsidR="00EA77EC" w:rsidRPr="00C60767" w:rsidRDefault="00EA77EC" w:rsidP="00EA77EC">
      <w:pPr>
        <w:jc w:val="center"/>
        <w:rPr>
          <w:sz w:val="20"/>
          <w:szCs w:val="20"/>
        </w:rPr>
      </w:pPr>
      <w:r w:rsidRPr="00C60767">
        <w:rPr>
          <w:sz w:val="20"/>
          <w:szCs w:val="20"/>
        </w:rPr>
        <w:t xml:space="preserve">Figure </w:t>
      </w:r>
      <w:r>
        <w:rPr>
          <w:sz w:val="20"/>
          <w:szCs w:val="20"/>
        </w:rPr>
        <w:t>5</w:t>
      </w:r>
      <w:r w:rsidRPr="00C60767">
        <w:rPr>
          <w:sz w:val="20"/>
          <w:szCs w:val="20"/>
        </w:rPr>
        <w:t>.</w:t>
      </w:r>
      <w:r>
        <w:rPr>
          <w:sz w:val="20"/>
          <w:szCs w:val="20"/>
        </w:rPr>
        <w:t xml:space="preserve"> BLER comparison between the legacy and proposal CE schemes under 480kHz SCS, 30ns DS. </w:t>
      </w:r>
    </w:p>
    <w:p w14:paraId="518D5897" w14:textId="1A97E566" w:rsidR="00A2631C" w:rsidRDefault="00A2631C" w:rsidP="0062750C">
      <w:pPr>
        <w:jc w:val="center"/>
      </w:pPr>
      <w:r>
        <w:rPr>
          <w:noProof/>
        </w:rPr>
        <w:lastRenderedPageBreak/>
        <w:drawing>
          <wp:inline distT="0" distB="0" distL="0" distR="0" wp14:anchorId="31C17734" wp14:editId="0981EE92">
            <wp:extent cx="4129840" cy="2134733"/>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5337" cy="2137575"/>
                    </a:xfrm>
                    <a:prstGeom prst="rect">
                      <a:avLst/>
                    </a:prstGeom>
                  </pic:spPr>
                </pic:pic>
              </a:graphicData>
            </a:graphic>
          </wp:inline>
        </w:drawing>
      </w:r>
    </w:p>
    <w:p w14:paraId="170E20E6" w14:textId="75B19671" w:rsidR="00FB41E2" w:rsidRDefault="00EA77EC" w:rsidP="009944A7">
      <w:pPr>
        <w:jc w:val="center"/>
        <w:rPr>
          <w:sz w:val="20"/>
          <w:szCs w:val="20"/>
        </w:rPr>
      </w:pPr>
      <w:r w:rsidRPr="00C60767">
        <w:rPr>
          <w:sz w:val="20"/>
          <w:szCs w:val="20"/>
        </w:rPr>
        <w:t xml:space="preserve">Figure </w:t>
      </w:r>
      <w:r>
        <w:rPr>
          <w:sz w:val="20"/>
          <w:szCs w:val="20"/>
        </w:rPr>
        <w:t>6</w:t>
      </w:r>
      <w:r w:rsidRPr="00C60767">
        <w:rPr>
          <w:sz w:val="20"/>
          <w:szCs w:val="20"/>
        </w:rPr>
        <w:t>.</w:t>
      </w:r>
      <w:r>
        <w:rPr>
          <w:sz w:val="20"/>
          <w:szCs w:val="20"/>
        </w:rPr>
        <w:t xml:space="preserve"> MSE comparison between the legacy and proposal CE schemes under 480kHz SCS, 30ns DS. </w:t>
      </w:r>
    </w:p>
    <w:p w14:paraId="38E56F0D" w14:textId="77777777" w:rsidR="008771DE" w:rsidRPr="009944A7" w:rsidRDefault="008771DE" w:rsidP="009944A7">
      <w:pPr>
        <w:jc w:val="center"/>
        <w:rPr>
          <w:sz w:val="20"/>
          <w:szCs w:val="20"/>
        </w:rPr>
      </w:pPr>
    </w:p>
    <w:p w14:paraId="1410C27E" w14:textId="67696A51" w:rsidR="00FB41E2" w:rsidRPr="00F445F8" w:rsidRDefault="00FB41E2" w:rsidP="00FB41E2">
      <w:pPr>
        <w:rPr>
          <w:b/>
          <w:bCs/>
          <w:i/>
          <w:iCs/>
        </w:rPr>
      </w:pPr>
      <w:r w:rsidRPr="00F445F8">
        <w:rPr>
          <w:b/>
          <w:bCs/>
          <w:i/>
          <w:iCs/>
        </w:rPr>
        <w:t xml:space="preserve">Observation </w:t>
      </w:r>
      <w:r w:rsidR="00A5355E">
        <w:rPr>
          <w:b/>
          <w:bCs/>
          <w:i/>
          <w:iCs/>
        </w:rPr>
        <w:t>3</w:t>
      </w:r>
      <w:r w:rsidRPr="00F445F8">
        <w:rPr>
          <w:b/>
          <w:bCs/>
          <w:i/>
          <w:iCs/>
        </w:rPr>
        <w:t xml:space="preserve">: </w:t>
      </w:r>
      <w:r w:rsidR="00B5178D">
        <w:rPr>
          <w:b/>
          <w:bCs/>
          <w:i/>
          <w:iCs/>
        </w:rPr>
        <w:t xml:space="preserve">The CE with dual-purpose </w:t>
      </w:r>
      <w:r w:rsidR="005C4090">
        <w:rPr>
          <w:b/>
          <w:bCs/>
          <w:i/>
          <w:iCs/>
        </w:rPr>
        <w:t>PT-RS</w:t>
      </w:r>
      <w:r w:rsidR="00B5178D">
        <w:rPr>
          <w:b/>
          <w:bCs/>
          <w:i/>
          <w:iCs/>
        </w:rPr>
        <w:t xml:space="preserve"> outperforms legacy CE and CE with DMRS staggering under the larger SCSs with larger DSs for both MSE and BLER. </w:t>
      </w:r>
    </w:p>
    <w:p w14:paraId="0489726C" w14:textId="4503F6C3" w:rsidR="003A14EA" w:rsidRPr="00B5178D" w:rsidRDefault="00FB41E2" w:rsidP="002F3B6E">
      <w:pPr>
        <w:rPr>
          <w:b/>
          <w:bCs/>
          <w:i/>
          <w:iCs/>
        </w:rPr>
      </w:pPr>
      <w:r w:rsidRPr="0046041F">
        <w:rPr>
          <w:b/>
          <w:bCs/>
          <w:i/>
          <w:iCs/>
        </w:rPr>
        <w:t xml:space="preserve">Proposal </w:t>
      </w:r>
      <w:r w:rsidR="00B5178D">
        <w:rPr>
          <w:b/>
          <w:bCs/>
          <w:i/>
          <w:iCs/>
        </w:rPr>
        <w:t>2</w:t>
      </w:r>
      <w:r w:rsidRPr="0046041F">
        <w:rPr>
          <w:b/>
          <w:bCs/>
          <w:i/>
          <w:iCs/>
        </w:rPr>
        <w:t>:</w:t>
      </w:r>
      <w:r w:rsidR="00B5178D">
        <w:rPr>
          <w:b/>
          <w:bCs/>
          <w:i/>
          <w:iCs/>
        </w:rPr>
        <w:t xml:space="preserve"> Consider using </w:t>
      </w:r>
      <w:r w:rsidR="005C4090">
        <w:rPr>
          <w:b/>
          <w:bCs/>
          <w:i/>
          <w:iCs/>
        </w:rPr>
        <w:t>PT-RS</w:t>
      </w:r>
      <w:r w:rsidR="00B5178D">
        <w:rPr>
          <w:b/>
          <w:bCs/>
          <w:i/>
          <w:iCs/>
        </w:rPr>
        <w:t xml:space="preserve"> for both the purpose of ICI cancellation and CE when necessary; consider introducing different staggering levels for different </w:t>
      </w:r>
      <w:r w:rsidR="005C4090">
        <w:rPr>
          <w:b/>
          <w:bCs/>
          <w:i/>
          <w:iCs/>
        </w:rPr>
        <w:t>PT-RS</w:t>
      </w:r>
      <w:r w:rsidR="00B5178D">
        <w:rPr>
          <w:b/>
          <w:bCs/>
          <w:i/>
          <w:iCs/>
        </w:rPr>
        <w:t xml:space="preserve"> symbols to cover as many REs as possible. </w:t>
      </w:r>
    </w:p>
    <w:p w14:paraId="01DDE6D3" w14:textId="441E6AE9" w:rsidR="00CB5474" w:rsidRDefault="005C4090" w:rsidP="00CB5474">
      <w:pPr>
        <w:pStyle w:val="Heading2"/>
      </w:pPr>
      <w:r>
        <w:t>PT-RS</w:t>
      </w:r>
      <w:r w:rsidR="002F3B6E">
        <w:t xml:space="preserve"> Enhancement</w:t>
      </w:r>
    </w:p>
    <w:p w14:paraId="1B34A604" w14:textId="5DF83ED7" w:rsidR="008E7338" w:rsidRDefault="008E7338" w:rsidP="008E7338">
      <w:r>
        <w:rPr>
          <w:rFonts w:eastAsia="Yu Mincho"/>
          <w:bCs/>
          <w:iCs/>
          <w:lang w:eastAsia="ja-JP"/>
        </w:rPr>
        <w:t>Several</w:t>
      </w:r>
      <w:r w:rsidRPr="00A82EBD">
        <w:rPr>
          <w:rFonts w:eastAsia="Yu Mincho"/>
          <w:bCs/>
          <w:iCs/>
          <w:lang w:eastAsia="ja-JP"/>
        </w:rPr>
        <w:t xml:space="preserve"> agreements </w:t>
      </w:r>
      <w:r w:rsidRPr="00A82EBD">
        <w:t xml:space="preserve">were </w:t>
      </w:r>
      <w:r>
        <w:t xml:space="preserve">also </w:t>
      </w:r>
      <w:r w:rsidRPr="00A82EBD">
        <w:t xml:space="preserve">made on enhancement </w:t>
      </w:r>
      <w:r>
        <w:t>of the</w:t>
      </w:r>
      <w:r w:rsidRPr="00A82EBD">
        <w:t xml:space="preserve"> </w:t>
      </w:r>
      <w:r w:rsidR="005C4090">
        <w:t>PT-RS</w:t>
      </w:r>
      <w:r>
        <w:t xml:space="preserve"> of </w:t>
      </w:r>
      <w:r w:rsidRPr="00A82EBD">
        <w:t xml:space="preserve">PDSCH/PUSCH </w:t>
      </w:r>
      <w:r w:rsidRPr="00A82EBD">
        <w:fldChar w:fldCharType="begin"/>
      </w:r>
      <w:r w:rsidRPr="00A82EBD">
        <w:instrText xml:space="preserve"> REF _Ref60908883 \r \h </w:instrText>
      </w:r>
      <w:r>
        <w:instrText xml:space="preserve"> \* MERGEFORMAT </w:instrText>
      </w:r>
      <w:r w:rsidRPr="00A82EBD">
        <w:fldChar w:fldCharType="separate"/>
      </w:r>
      <w:r w:rsidRPr="00A82EBD">
        <w:t>[3]</w:t>
      </w:r>
      <w:r w:rsidRPr="00A82EBD">
        <w:fldChar w:fldCharType="end"/>
      </w:r>
      <w:r w:rsidRPr="00A82EBD">
        <w:t xml:space="preserve">, </w:t>
      </w:r>
      <w:r>
        <w:t xml:space="preserve">as are listed below. </w:t>
      </w:r>
    </w:p>
    <w:tbl>
      <w:tblPr>
        <w:tblStyle w:val="TableGrid"/>
        <w:tblW w:w="0" w:type="auto"/>
        <w:tblLook w:val="04A0" w:firstRow="1" w:lastRow="0" w:firstColumn="1" w:lastColumn="0" w:noHBand="0" w:noVBand="1"/>
      </w:tblPr>
      <w:tblGrid>
        <w:gridCol w:w="9307"/>
      </w:tblGrid>
      <w:tr w:rsidR="008E7338" w14:paraId="4BE00BF0" w14:textId="77777777" w:rsidTr="00521308">
        <w:tc>
          <w:tcPr>
            <w:tcW w:w="9307" w:type="dxa"/>
          </w:tcPr>
          <w:p w14:paraId="4DD1B0F5" w14:textId="77777777" w:rsidR="008E7338" w:rsidRPr="00E378A0" w:rsidRDefault="008E7338" w:rsidP="00521308">
            <w:pPr>
              <w:spacing w:after="60"/>
              <w:rPr>
                <w:sz w:val="18"/>
                <w:szCs w:val="18"/>
              </w:rPr>
            </w:pPr>
            <w:r w:rsidRPr="00E378A0">
              <w:rPr>
                <w:szCs w:val="18"/>
                <w:highlight w:val="green"/>
              </w:rPr>
              <w:t>Agreement</w:t>
            </w:r>
            <w:r w:rsidRPr="00E378A0">
              <w:rPr>
                <w:szCs w:val="18"/>
              </w:rPr>
              <w:t>:</w:t>
            </w:r>
          </w:p>
          <w:p w14:paraId="007E881D" w14:textId="178FA1EA" w:rsidR="008E7338" w:rsidRPr="00EA48C1" w:rsidRDefault="008E7338" w:rsidP="00521308">
            <w:pPr>
              <w:pStyle w:val="ListParagraph"/>
              <w:numPr>
                <w:ilvl w:val="0"/>
                <w:numId w:val="9"/>
              </w:numPr>
              <w:spacing w:after="0" w:line="252" w:lineRule="auto"/>
              <w:contextualSpacing w:val="0"/>
              <w:jc w:val="left"/>
            </w:pPr>
            <w:r w:rsidRPr="00EA48C1">
              <w:t xml:space="preserve">At least existing </w:t>
            </w:r>
            <w:r w:rsidR="005C4090">
              <w:t>PT-RS</w:t>
            </w:r>
            <w:r w:rsidRPr="00EA48C1">
              <w:t xml:space="preserve"> design for CP-OFDM is supported for NR operation in 52.6 to 71 GHz.</w:t>
            </w:r>
          </w:p>
          <w:p w14:paraId="11388399" w14:textId="7C433F62" w:rsidR="008E7338" w:rsidRPr="00EA48C1" w:rsidRDefault="008E7338" w:rsidP="00521308">
            <w:pPr>
              <w:pStyle w:val="BodyText"/>
              <w:numPr>
                <w:ilvl w:val="0"/>
                <w:numId w:val="9"/>
              </w:numPr>
              <w:overflowPunct w:val="0"/>
              <w:autoSpaceDE w:val="0"/>
              <w:autoSpaceDN w:val="0"/>
              <w:spacing w:after="0" w:line="252" w:lineRule="auto"/>
              <w:rPr>
                <w:rFonts w:ascii="Times New Roman" w:hAnsi="Times New Roman"/>
                <w:szCs w:val="20"/>
              </w:rPr>
            </w:pPr>
            <w:r w:rsidRPr="00EA48C1">
              <w:rPr>
                <w:rFonts w:ascii="Times New Roman" w:hAnsi="Times New Roman"/>
                <w:szCs w:val="20"/>
              </w:rPr>
              <w:t xml:space="preserve">Companies are encouraged to study the need of potential </w:t>
            </w:r>
            <w:r w:rsidR="005C4090">
              <w:rPr>
                <w:rFonts w:ascii="Times New Roman" w:hAnsi="Times New Roman"/>
                <w:szCs w:val="20"/>
              </w:rPr>
              <w:t>PT-RS</w:t>
            </w:r>
            <w:r w:rsidRPr="00EA48C1">
              <w:rPr>
                <w:rFonts w:ascii="Times New Roman" w:hAnsi="Times New Roman"/>
                <w:szCs w:val="20"/>
              </w:rPr>
              <w:t xml:space="preserve"> enhancement for CP-OFDM with respect to phase noise compensation performance considering at least the following aspects:</w:t>
            </w:r>
          </w:p>
          <w:p w14:paraId="401D4DDD" w14:textId="3AE38757" w:rsidR="008E7338" w:rsidRPr="00EA48C1" w:rsidRDefault="005C4090" w:rsidP="00521308">
            <w:pPr>
              <w:pStyle w:val="BodyText"/>
              <w:numPr>
                <w:ilvl w:val="1"/>
                <w:numId w:val="9"/>
              </w:numPr>
              <w:overflowPunct w:val="0"/>
              <w:autoSpaceDE w:val="0"/>
              <w:autoSpaceDN w:val="0"/>
              <w:spacing w:after="0" w:line="252" w:lineRule="auto"/>
              <w:rPr>
                <w:rFonts w:ascii="Times New Roman" w:hAnsi="Times New Roman"/>
                <w:szCs w:val="20"/>
              </w:rPr>
            </w:pPr>
            <w:r>
              <w:rPr>
                <w:rFonts w:ascii="Times New Roman" w:hAnsi="Times New Roman"/>
                <w:szCs w:val="20"/>
              </w:rPr>
              <w:t>PT-RS</w:t>
            </w:r>
            <w:r w:rsidR="008E7338" w:rsidRPr="00EA48C1">
              <w:rPr>
                <w:rFonts w:ascii="Times New Roman" w:hAnsi="Times New Roman"/>
                <w:szCs w:val="20"/>
              </w:rPr>
              <w:t xml:space="preserve"> density/pattern (e.g. distributed, block-based) and sequence (e.g. cyclic sequence)</w:t>
            </w:r>
          </w:p>
          <w:p w14:paraId="3F40EEFD" w14:textId="77777777" w:rsidR="008E7338" w:rsidRPr="00EA48C1" w:rsidRDefault="008E7338" w:rsidP="00521308">
            <w:pPr>
              <w:pStyle w:val="BodyText"/>
              <w:numPr>
                <w:ilvl w:val="1"/>
                <w:numId w:val="9"/>
              </w:numPr>
              <w:overflowPunct w:val="0"/>
              <w:autoSpaceDE w:val="0"/>
              <w:autoSpaceDN w:val="0"/>
              <w:spacing w:after="0" w:line="252" w:lineRule="auto"/>
              <w:rPr>
                <w:rFonts w:ascii="Times New Roman" w:hAnsi="Times New Roman"/>
                <w:szCs w:val="20"/>
              </w:rPr>
            </w:pPr>
            <w:r w:rsidRPr="00EA48C1">
              <w:rPr>
                <w:rFonts w:ascii="Times New Roman" w:hAnsi="Times New Roman"/>
                <w:szCs w:val="20"/>
              </w:rPr>
              <w:t>Frequency domain power boosting and its impact to PDSCH performance and PDSCH to DMRS EPRE</w:t>
            </w:r>
          </w:p>
          <w:p w14:paraId="391D3E05" w14:textId="3B875D16" w:rsidR="008E7338" w:rsidRPr="00EA48C1" w:rsidRDefault="008E7338" w:rsidP="00521308">
            <w:pPr>
              <w:pStyle w:val="BodyText"/>
              <w:numPr>
                <w:ilvl w:val="1"/>
                <w:numId w:val="9"/>
              </w:numPr>
              <w:overflowPunct w:val="0"/>
              <w:autoSpaceDE w:val="0"/>
              <w:autoSpaceDN w:val="0"/>
              <w:spacing w:after="0" w:line="252" w:lineRule="auto"/>
              <w:rPr>
                <w:rFonts w:ascii="Times New Roman" w:hAnsi="Times New Roman"/>
                <w:szCs w:val="20"/>
              </w:rPr>
            </w:pPr>
            <w:r w:rsidRPr="00EA48C1">
              <w:rPr>
                <w:rFonts w:ascii="Times New Roman" w:hAnsi="Times New Roman"/>
                <w:szCs w:val="20"/>
              </w:rPr>
              <w:t xml:space="preserve">Receiver complexity, including possible aspects related to supporting both existing </w:t>
            </w:r>
            <w:r w:rsidR="005C4090">
              <w:rPr>
                <w:rFonts w:ascii="Times New Roman" w:hAnsi="Times New Roman"/>
                <w:szCs w:val="20"/>
              </w:rPr>
              <w:t>PT-RS</w:t>
            </w:r>
            <w:r w:rsidRPr="00EA48C1">
              <w:rPr>
                <w:rFonts w:ascii="Times New Roman" w:hAnsi="Times New Roman"/>
                <w:szCs w:val="20"/>
              </w:rPr>
              <w:t xml:space="preserve"> design and potential </w:t>
            </w:r>
            <w:r w:rsidR="005C4090">
              <w:rPr>
                <w:rFonts w:ascii="Times New Roman" w:hAnsi="Times New Roman"/>
                <w:szCs w:val="20"/>
              </w:rPr>
              <w:t>PT-RS</w:t>
            </w:r>
            <w:r w:rsidRPr="00EA48C1">
              <w:rPr>
                <w:rFonts w:ascii="Times New Roman" w:hAnsi="Times New Roman"/>
                <w:szCs w:val="20"/>
              </w:rPr>
              <w:t xml:space="preserve"> enhancement</w:t>
            </w:r>
          </w:p>
          <w:p w14:paraId="31E1250D" w14:textId="6567F3D3" w:rsidR="008E7338" w:rsidRPr="00EA48C1" w:rsidRDefault="008E7338" w:rsidP="00521308">
            <w:pPr>
              <w:pStyle w:val="BodyText"/>
              <w:numPr>
                <w:ilvl w:val="1"/>
                <w:numId w:val="9"/>
              </w:numPr>
              <w:overflowPunct w:val="0"/>
              <w:autoSpaceDE w:val="0"/>
              <w:autoSpaceDN w:val="0"/>
              <w:spacing w:after="0" w:line="252" w:lineRule="auto"/>
              <w:rPr>
                <w:rFonts w:ascii="Times New Roman" w:hAnsi="Times New Roman"/>
                <w:szCs w:val="20"/>
              </w:rPr>
            </w:pPr>
            <w:r w:rsidRPr="00EA48C1">
              <w:rPr>
                <w:rFonts w:ascii="Times New Roman" w:hAnsi="Times New Roman"/>
                <w:szCs w:val="20"/>
              </w:rPr>
              <w:t xml:space="preserve">Possible specification impact of supporting potential </w:t>
            </w:r>
            <w:r w:rsidR="005C4090">
              <w:rPr>
                <w:rFonts w:ascii="Times New Roman" w:hAnsi="Times New Roman"/>
                <w:szCs w:val="20"/>
              </w:rPr>
              <w:t>PT-RS</w:t>
            </w:r>
            <w:r w:rsidRPr="00EA48C1">
              <w:rPr>
                <w:rFonts w:ascii="Times New Roman" w:hAnsi="Times New Roman"/>
                <w:szCs w:val="20"/>
              </w:rPr>
              <w:t xml:space="preserve"> enhancement in addition to existing </w:t>
            </w:r>
            <w:r w:rsidR="005C4090">
              <w:rPr>
                <w:rFonts w:ascii="Times New Roman" w:hAnsi="Times New Roman"/>
                <w:szCs w:val="20"/>
              </w:rPr>
              <w:t>PT-RS</w:t>
            </w:r>
            <w:r w:rsidRPr="00EA48C1">
              <w:rPr>
                <w:rFonts w:ascii="Times New Roman" w:hAnsi="Times New Roman"/>
                <w:szCs w:val="20"/>
              </w:rPr>
              <w:t xml:space="preserve"> design</w:t>
            </w:r>
          </w:p>
          <w:p w14:paraId="25573865" w14:textId="6001D7C4" w:rsidR="008E7338" w:rsidRPr="00EA48C1" w:rsidRDefault="008E7338" w:rsidP="00521308">
            <w:pPr>
              <w:pStyle w:val="BodyText"/>
              <w:numPr>
                <w:ilvl w:val="1"/>
                <w:numId w:val="9"/>
              </w:numPr>
              <w:overflowPunct w:val="0"/>
              <w:autoSpaceDE w:val="0"/>
              <w:autoSpaceDN w:val="0"/>
              <w:spacing w:after="0" w:line="252" w:lineRule="auto"/>
              <w:rPr>
                <w:rFonts w:ascii="Times New Roman" w:hAnsi="Times New Roman"/>
                <w:szCs w:val="20"/>
              </w:rPr>
            </w:pPr>
            <w:r w:rsidRPr="00EA48C1">
              <w:rPr>
                <w:rFonts w:ascii="Times New Roman" w:hAnsi="Times New Roman"/>
                <w:szCs w:val="20"/>
              </w:rPr>
              <w:t xml:space="preserve">Note: </w:t>
            </w:r>
            <w:r w:rsidR="005C4090">
              <w:rPr>
                <w:rFonts w:ascii="Times New Roman" w:hAnsi="Times New Roman"/>
                <w:szCs w:val="20"/>
              </w:rPr>
              <w:t>PT-RS</w:t>
            </w:r>
            <w:r w:rsidRPr="00EA48C1">
              <w:rPr>
                <w:rFonts w:ascii="Times New Roman" w:hAnsi="Times New Roman"/>
                <w:szCs w:val="20"/>
              </w:rPr>
              <w:t xml:space="preserve"> overhead should be accounted for in the evaluations, e.g. by showing spectral efficiency results and/or reporting effective coding rate</w:t>
            </w:r>
          </w:p>
          <w:p w14:paraId="153CA87C" w14:textId="4EAB726A" w:rsidR="008E7338" w:rsidRDefault="008E7338" w:rsidP="00521308">
            <w:pPr>
              <w:pStyle w:val="ListParagraph"/>
              <w:numPr>
                <w:ilvl w:val="0"/>
                <w:numId w:val="9"/>
              </w:numPr>
              <w:spacing w:after="0" w:line="252" w:lineRule="auto"/>
              <w:contextualSpacing w:val="0"/>
              <w:jc w:val="left"/>
            </w:pPr>
            <w:r w:rsidRPr="00EA48C1">
              <w:t xml:space="preserve">Note: the decision to support potential enhanced </w:t>
            </w:r>
            <w:r w:rsidR="005C4090">
              <w:t>PT-RS</w:t>
            </w:r>
            <w:r w:rsidRPr="00EA48C1">
              <w:t xml:space="preserve"> design in addition to existing </w:t>
            </w:r>
            <w:r w:rsidR="005C4090">
              <w:t>PT-RS</w:t>
            </w:r>
            <w:r w:rsidRPr="00EA48C1">
              <w:t xml:space="preserve"> design will be made based on performance benefit, receiver complexity and specification effort aspects of enhanced </w:t>
            </w:r>
            <w:r w:rsidR="005C4090">
              <w:t>PT-RS</w:t>
            </w:r>
            <w:r w:rsidRPr="00EA48C1">
              <w:t xml:space="preserve"> design together and not purely on the considerations of the specification effort caused by supporting potential enhanced </w:t>
            </w:r>
            <w:r w:rsidR="005C4090">
              <w:t>PT-RS</w:t>
            </w:r>
            <w:r w:rsidRPr="00EA48C1">
              <w:t xml:space="preserve"> design in addition to existing </w:t>
            </w:r>
            <w:r w:rsidR="005C4090">
              <w:t>PT-RS</w:t>
            </w:r>
            <w:r w:rsidRPr="00EA48C1">
              <w:t xml:space="preserve"> design.</w:t>
            </w:r>
          </w:p>
          <w:p w14:paraId="0C3D4FD4" w14:textId="77777777" w:rsidR="009944A7" w:rsidRPr="009944A7" w:rsidRDefault="009944A7" w:rsidP="009944A7">
            <w:pPr>
              <w:pStyle w:val="ListParagraph"/>
              <w:numPr>
                <w:ilvl w:val="0"/>
                <w:numId w:val="0"/>
              </w:numPr>
              <w:spacing w:after="0" w:line="252" w:lineRule="auto"/>
              <w:ind w:left="720"/>
              <w:contextualSpacing w:val="0"/>
              <w:jc w:val="left"/>
            </w:pPr>
          </w:p>
          <w:p w14:paraId="5318516C" w14:textId="77777777" w:rsidR="008E7338" w:rsidRPr="00E378A0" w:rsidRDefault="008E7338" w:rsidP="00521308">
            <w:pPr>
              <w:spacing w:after="60"/>
              <w:rPr>
                <w:sz w:val="18"/>
                <w:szCs w:val="18"/>
              </w:rPr>
            </w:pPr>
            <w:r w:rsidRPr="00E378A0">
              <w:rPr>
                <w:szCs w:val="18"/>
                <w:highlight w:val="green"/>
              </w:rPr>
              <w:t>Agreement</w:t>
            </w:r>
            <w:r w:rsidRPr="00E378A0">
              <w:rPr>
                <w:szCs w:val="18"/>
              </w:rPr>
              <w:t>:</w:t>
            </w:r>
          </w:p>
          <w:p w14:paraId="66F874CC" w14:textId="25AE004E" w:rsidR="008E7338" w:rsidRPr="008C36FE" w:rsidRDefault="008E7338" w:rsidP="00521308">
            <w:pPr>
              <w:rPr>
                <w:lang w:eastAsia="x-none"/>
              </w:rPr>
            </w:pPr>
            <w:r w:rsidRPr="008C36FE">
              <w:rPr>
                <w:lang w:eastAsia="x-none"/>
              </w:rPr>
              <w:t xml:space="preserve">Proposal 5-1a in </w:t>
            </w:r>
            <w:hyperlink r:id="rId12" w:history="1">
              <w:r w:rsidRPr="008C36FE">
                <w:rPr>
                  <w:rStyle w:val="Hyperlink"/>
                  <w:lang w:eastAsia="x-none"/>
                </w:rPr>
                <w:t>R1-2102072</w:t>
              </w:r>
            </w:hyperlink>
            <w:r w:rsidRPr="008C36FE">
              <w:rPr>
                <w:lang w:eastAsia="x-none"/>
              </w:rPr>
              <w:t xml:space="preserve"> is agreed with the following modification:</w:t>
            </w:r>
          </w:p>
          <w:p w14:paraId="429540A7" w14:textId="42198562" w:rsidR="008E7338" w:rsidRPr="008E7338" w:rsidRDefault="008E7338" w:rsidP="008E7338">
            <w:pPr>
              <w:numPr>
                <w:ilvl w:val="0"/>
                <w:numId w:val="8"/>
              </w:numPr>
              <w:autoSpaceDE/>
              <w:autoSpaceDN/>
              <w:adjustRightInd/>
              <w:snapToGrid/>
              <w:spacing w:after="0"/>
              <w:jc w:val="left"/>
              <w:rPr>
                <w:lang w:eastAsia="x-none"/>
              </w:rPr>
            </w:pPr>
            <w:r w:rsidRPr="008C36FE">
              <w:rPr>
                <w:lang w:eastAsia="x-none"/>
              </w:rPr>
              <w:t xml:space="preserve">In the row for </w:t>
            </w:r>
            <w:r w:rsidR="005C4090">
              <w:rPr>
                <w:lang w:eastAsia="x-none"/>
              </w:rPr>
              <w:t>PT-RS</w:t>
            </w:r>
            <w:r w:rsidRPr="008C36FE">
              <w:rPr>
                <w:lang w:eastAsia="x-none"/>
              </w:rPr>
              <w:t xml:space="preserve"> configuration, change the text to “</w:t>
            </w:r>
            <w:r w:rsidRPr="008C36FE">
              <w:t xml:space="preserve">Companies are asked to report details of PN compensation method(s) with corresponding receiver complexity and details of </w:t>
            </w:r>
            <w:r w:rsidR="005C4090">
              <w:t>PT-RS</w:t>
            </w:r>
            <w:r w:rsidRPr="008C36FE">
              <w:t xml:space="preserve"> enhancement (including any modifications to sequences) for CP-OFDM if evaluated. For example, for block-based </w:t>
            </w:r>
            <w:r w:rsidR="005C4090">
              <w:t>PT-RS</w:t>
            </w:r>
            <w:r w:rsidRPr="008C36FE">
              <w:t xml:space="preserve"> enhancement, the number of </w:t>
            </w:r>
            <w:r w:rsidR="005C4090">
              <w:t>PT-RS</w:t>
            </w:r>
            <w:r w:rsidRPr="008C36FE">
              <w:t xml:space="preserve"> blocks per OFDM symbol, the number of </w:t>
            </w:r>
            <w:r w:rsidR="005C4090">
              <w:t>PT-RS</w:t>
            </w:r>
            <w:r w:rsidRPr="008C36FE">
              <w:t xml:space="preserve"> REs per block, and the placement of </w:t>
            </w:r>
            <w:r w:rsidR="005C4090">
              <w:t>PT-RS</w:t>
            </w:r>
            <w:r w:rsidRPr="008C36FE">
              <w:t xml:space="preserve"> blocks in each OFDM symbol are required to be provided if evaluated”.</w:t>
            </w:r>
          </w:p>
          <w:p w14:paraId="72DE0E85" w14:textId="77777777" w:rsidR="008E7338" w:rsidRPr="00EA48C1" w:rsidRDefault="008E7338" w:rsidP="00521308">
            <w:pPr>
              <w:spacing w:after="0" w:line="252" w:lineRule="auto"/>
              <w:jc w:val="left"/>
            </w:pPr>
          </w:p>
        </w:tc>
      </w:tr>
    </w:tbl>
    <w:p w14:paraId="2451F80C" w14:textId="4C1C0EDD" w:rsidR="004B5F0E" w:rsidRDefault="00C717F4" w:rsidP="004B5F0E">
      <w:pPr>
        <w:rPr>
          <w:rFonts w:eastAsia="Yu Mincho"/>
          <w:bCs/>
          <w:iCs/>
          <w:lang w:eastAsia="ja-JP"/>
        </w:rPr>
      </w:pPr>
      <w:r>
        <w:t xml:space="preserve">During the </w:t>
      </w:r>
      <w:r w:rsidRPr="00A82EBD">
        <w:rPr>
          <w:rFonts w:eastAsia="Yu Mincho"/>
          <w:bCs/>
          <w:iCs/>
          <w:lang w:eastAsia="ja-JP"/>
        </w:rPr>
        <w:t>RAN1#104-e meeting</w:t>
      </w:r>
      <w:r>
        <w:rPr>
          <w:rFonts w:eastAsia="Yu Mincho"/>
          <w:bCs/>
          <w:iCs/>
          <w:lang w:eastAsia="ja-JP"/>
        </w:rPr>
        <w:t xml:space="preserve">, mainly three types of </w:t>
      </w:r>
      <w:r w:rsidR="005C4090">
        <w:rPr>
          <w:rFonts w:eastAsia="Yu Mincho"/>
          <w:bCs/>
          <w:iCs/>
          <w:lang w:eastAsia="ja-JP"/>
        </w:rPr>
        <w:t>PT-RS</w:t>
      </w:r>
      <w:r>
        <w:rPr>
          <w:rFonts w:eastAsia="Yu Mincho"/>
          <w:bCs/>
          <w:iCs/>
          <w:lang w:eastAsia="ja-JP"/>
        </w:rPr>
        <w:t xml:space="preserve"> patterns were </w:t>
      </w:r>
      <w:r w:rsidR="0097761B">
        <w:rPr>
          <w:rFonts w:eastAsia="Yu Mincho"/>
          <w:bCs/>
          <w:iCs/>
          <w:lang w:eastAsia="ja-JP"/>
        </w:rPr>
        <w:t>considered in</w:t>
      </w:r>
      <w:r>
        <w:rPr>
          <w:rFonts w:eastAsia="Yu Mincho"/>
          <w:bCs/>
          <w:iCs/>
          <w:lang w:eastAsia="ja-JP"/>
        </w:rPr>
        <w:t xml:space="preserve"> companies’ contributions, including the legacy comb-</w:t>
      </w:r>
      <w:r w:rsidR="005C4090">
        <w:rPr>
          <w:rFonts w:eastAsia="Yu Mincho"/>
          <w:bCs/>
          <w:iCs/>
          <w:lang w:eastAsia="ja-JP"/>
        </w:rPr>
        <w:t>PT-RS</w:t>
      </w:r>
      <w:r>
        <w:rPr>
          <w:rFonts w:eastAsia="Yu Mincho"/>
          <w:bCs/>
          <w:iCs/>
          <w:lang w:eastAsia="ja-JP"/>
        </w:rPr>
        <w:t>, block-</w:t>
      </w:r>
      <w:r w:rsidR="005C4090">
        <w:rPr>
          <w:rFonts w:eastAsia="Yu Mincho"/>
          <w:bCs/>
          <w:iCs/>
          <w:lang w:eastAsia="ja-JP"/>
        </w:rPr>
        <w:t>PT-RS</w:t>
      </w:r>
      <w:r>
        <w:rPr>
          <w:rFonts w:eastAsia="Yu Mincho"/>
          <w:bCs/>
          <w:iCs/>
          <w:lang w:eastAsia="ja-JP"/>
        </w:rPr>
        <w:t>, and cluster-</w:t>
      </w:r>
      <w:r w:rsidR="005C4090">
        <w:rPr>
          <w:rFonts w:eastAsia="Yu Mincho"/>
          <w:bCs/>
          <w:iCs/>
          <w:lang w:eastAsia="ja-JP"/>
        </w:rPr>
        <w:t>PT-RS</w:t>
      </w:r>
      <w:r>
        <w:rPr>
          <w:rFonts w:eastAsia="Yu Mincho"/>
          <w:bCs/>
          <w:iCs/>
          <w:lang w:eastAsia="ja-JP"/>
        </w:rPr>
        <w:t xml:space="preserve"> (equivalently multi-</w:t>
      </w:r>
      <w:r>
        <w:rPr>
          <w:rFonts w:eastAsia="Yu Mincho"/>
          <w:bCs/>
          <w:iCs/>
          <w:lang w:eastAsia="ja-JP"/>
        </w:rPr>
        <w:lastRenderedPageBreak/>
        <w:t xml:space="preserve">block </w:t>
      </w:r>
      <w:r w:rsidR="005C4090">
        <w:rPr>
          <w:rFonts w:eastAsia="Yu Mincho"/>
          <w:bCs/>
          <w:iCs/>
          <w:lang w:eastAsia="ja-JP"/>
        </w:rPr>
        <w:t>PT-RS</w:t>
      </w:r>
      <w:r>
        <w:rPr>
          <w:rFonts w:eastAsia="Yu Mincho"/>
          <w:bCs/>
          <w:iCs/>
          <w:lang w:eastAsia="ja-JP"/>
        </w:rPr>
        <w:t xml:space="preserve">). </w:t>
      </w:r>
      <w:r w:rsidR="00273006">
        <w:rPr>
          <w:rFonts w:eastAsia="Yu Mincho"/>
          <w:bCs/>
          <w:iCs/>
          <w:lang w:eastAsia="ja-JP"/>
        </w:rPr>
        <w:t>In general, the legacy comb-</w:t>
      </w:r>
      <w:r w:rsidR="005C4090">
        <w:rPr>
          <w:rFonts w:eastAsia="Yu Mincho"/>
          <w:bCs/>
          <w:iCs/>
          <w:lang w:eastAsia="ja-JP"/>
        </w:rPr>
        <w:t>PT-RS</w:t>
      </w:r>
      <w:r w:rsidR="00273006">
        <w:rPr>
          <w:rFonts w:eastAsia="Yu Mincho"/>
          <w:bCs/>
          <w:iCs/>
          <w:lang w:eastAsia="ja-JP"/>
        </w:rPr>
        <w:t xml:space="preserve"> performs fine for most of the cases considered by companies, although techniques such as power boosting was not significantly discussed. </w:t>
      </w:r>
      <w:r w:rsidR="004B5F0E">
        <w:rPr>
          <w:rFonts w:eastAsia="Yu Mincho"/>
          <w:bCs/>
          <w:iCs/>
          <w:lang w:eastAsia="ja-JP"/>
        </w:rPr>
        <w:t xml:space="preserve">Besides, we believe that a more thorough understanding of the interplay between </w:t>
      </w:r>
      <w:r w:rsidR="005C4090">
        <w:rPr>
          <w:rFonts w:eastAsia="Yu Mincho"/>
          <w:bCs/>
          <w:iCs/>
          <w:lang w:eastAsia="ja-JP"/>
        </w:rPr>
        <w:t>PT-RS</w:t>
      </w:r>
      <w:r w:rsidR="004B5F0E">
        <w:rPr>
          <w:rFonts w:eastAsia="Yu Mincho"/>
          <w:bCs/>
          <w:iCs/>
          <w:lang w:eastAsia="ja-JP"/>
        </w:rPr>
        <w:t xml:space="preserve"> patterns, ICI incurrence, and ICI cancel should be </w:t>
      </w:r>
      <w:r w:rsidR="0097761B">
        <w:rPr>
          <w:rFonts w:eastAsia="Yu Mincho"/>
          <w:bCs/>
          <w:iCs/>
          <w:lang w:eastAsia="ja-JP"/>
        </w:rPr>
        <w:t xml:space="preserve">considered </w:t>
      </w:r>
      <w:r w:rsidR="004B5F0E">
        <w:rPr>
          <w:rFonts w:eastAsia="Yu Mincho"/>
          <w:bCs/>
          <w:iCs/>
          <w:lang w:eastAsia="ja-JP"/>
        </w:rPr>
        <w:t xml:space="preserve">for </w:t>
      </w:r>
      <w:r w:rsidR="005C4090">
        <w:rPr>
          <w:rFonts w:eastAsia="Yu Mincho"/>
          <w:bCs/>
          <w:iCs/>
          <w:lang w:eastAsia="ja-JP"/>
        </w:rPr>
        <w:t>PT-RS</w:t>
      </w:r>
      <w:r w:rsidR="004B5F0E">
        <w:rPr>
          <w:rFonts w:eastAsia="Yu Mincho"/>
          <w:bCs/>
          <w:iCs/>
          <w:lang w:eastAsia="ja-JP"/>
        </w:rPr>
        <w:t xml:space="preserve"> enhancement. </w:t>
      </w:r>
    </w:p>
    <w:p w14:paraId="1AAC18A9" w14:textId="75385B12" w:rsidR="005C4090" w:rsidRDefault="00415376" w:rsidP="004B5F0E">
      <w:pPr>
        <w:rPr>
          <w:rFonts w:eastAsia="Yu Mincho"/>
          <w:bCs/>
          <w:iCs/>
          <w:lang w:eastAsia="ja-JP"/>
        </w:rPr>
      </w:pPr>
      <w:r>
        <w:rPr>
          <w:rFonts w:eastAsia="Yu Mincho"/>
          <w:bCs/>
          <w:iCs/>
          <w:lang w:eastAsia="ja-JP"/>
        </w:rPr>
        <w:t xml:space="preserve">There are both benefit and deflects with the legacy comb-PT-RS. On the one hand, the comb-PT-RS provides a pattern that is scattered over frequency-domain, such that it captures relatively global information across frequency, which is good for ICI estimation/cancellation. However, each of the tones of the comb-PT-RS has data subcarriers as neighbors, such that if power-boosting is applied, more ICI on the adjacent data carrier is expected.  </w:t>
      </w:r>
    </w:p>
    <w:p w14:paraId="57818CEF" w14:textId="36B90A6B" w:rsidR="005C4090" w:rsidRPr="00E955FF" w:rsidRDefault="005C4090" w:rsidP="005C4090">
      <w:pPr>
        <w:rPr>
          <w:b/>
          <w:bCs/>
          <w:i/>
          <w:iCs/>
        </w:rPr>
      </w:pPr>
      <w:r w:rsidRPr="00F445F8">
        <w:rPr>
          <w:b/>
          <w:bCs/>
          <w:i/>
          <w:iCs/>
        </w:rPr>
        <w:t xml:space="preserve">Observation </w:t>
      </w:r>
      <w:r>
        <w:rPr>
          <w:b/>
          <w:bCs/>
          <w:i/>
          <w:iCs/>
        </w:rPr>
        <w:t>4</w:t>
      </w:r>
      <w:r w:rsidRPr="00F445F8">
        <w:rPr>
          <w:b/>
          <w:bCs/>
          <w:i/>
          <w:iCs/>
        </w:rPr>
        <w:t xml:space="preserve">: </w:t>
      </w:r>
      <w:r w:rsidRPr="00E955FF">
        <w:rPr>
          <w:b/>
          <w:bCs/>
          <w:i/>
          <w:iCs/>
        </w:rPr>
        <w:t>Comb-</w:t>
      </w:r>
      <w:r>
        <w:rPr>
          <w:b/>
          <w:bCs/>
          <w:i/>
          <w:iCs/>
        </w:rPr>
        <w:t>PT-RS</w:t>
      </w:r>
      <w:r w:rsidRPr="00E955FF">
        <w:rPr>
          <w:b/>
          <w:bCs/>
          <w:i/>
          <w:iCs/>
        </w:rPr>
        <w:t xml:space="preserve"> is more scattered over </w:t>
      </w:r>
      <w:r>
        <w:rPr>
          <w:b/>
          <w:bCs/>
          <w:i/>
          <w:iCs/>
        </w:rPr>
        <w:t>frequency-domain</w:t>
      </w:r>
      <w:r w:rsidRPr="00E955FF">
        <w:rPr>
          <w:b/>
          <w:bCs/>
          <w:i/>
          <w:iCs/>
        </w:rPr>
        <w:t>, thus may capture better global information for ICI estimation/cancellation; comb-</w:t>
      </w:r>
      <w:r>
        <w:rPr>
          <w:b/>
          <w:bCs/>
          <w:i/>
          <w:iCs/>
        </w:rPr>
        <w:t>PT-RS</w:t>
      </w:r>
      <w:r w:rsidRPr="00E955FF">
        <w:rPr>
          <w:b/>
          <w:bCs/>
          <w:i/>
          <w:iCs/>
        </w:rPr>
        <w:t xml:space="preserve"> has more ICI on adjacent data subcarriers, thus has low opportunity to enjoy the benefit from power-boosting.</w:t>
      </w:r>
    </w:p>
    <w:p w14:paraId="04F57476" w14:textId="77777777" w:rsidR="005C4090" w:rsidRDefault="005C4090" w:rsidP="004B5F0E"/>
    <w:p w14:paraId="73FA312B" w14:textId="73D1792B" w:rsidR="00CB5474" w:rsidRDefault="00CB5474" w:rsidP="00CB5474">
      <w:pPr>
        <w:rPr>
          <w:b/>
          <w:bCs/>
        </w:rPr>
      </w:pPr>
      <w:r w:rsidRPr="00CB5474">
        <w:rPr>
          <w:b/>
          <w:bCs/>
        </w:rPr>
        <w:t>2.</w:t>
      </w:r>
      <w:r w:rsidR="006B5B73">
        <w:rPr>
          <w:b/>
          <w:bCs/>
        </w:rPr>
        <w:t>2</w:t>
      </w:r>
      <w:r w:rsidRPr="00CB5474">
        <w:rPr>
          <w:b/>
          <w:bCs/>
        </w:rPr>
        <w:t>.1 Legacy comb-</w:t>
      </w:r>
      <w:r w:rsidR="005C4090">
        <w:rPr>
          <w:b/>
          <w:bCs/>
        </w:rPr>
        <w:t>PT-RSPT-RS</w:t>
      </w:r>
      <w:r w:rsidRPr="00CB5474">
        <w:rPr>
          <w:b/>
          <w:bCs/>
        </w:rPr>
        <w:t xml:space="preserve"> with power-boosting</w:t>
      </w:r>
    </w:p>
    <w:p w14:paraId="3D9CD269" w14:textId="29EA63CA" w:rsidR="006B5B73" w:rsidRDefault="006B5B73" w:rsidP="00CB5474">
      <w:r>
        <w:t>The BLER performance by uniform power-boosting to the legacy comb-</w:t>
      </w:r>
      <w:r w:rsidR="005C4090">
        <w:t>PT-RSPT-RS</w:t>
      </w:r>
      <w:r>
        <w:t xml:space="preserve"> is first shown with SCS 120kHz. Different from SCS 480kHz and 960kHz, the 120kHz SCS suffers from more ICI, although is more robust to frequency-selectivity</w:t>
      </w:r>
      <w:r w:rsidR="00A97E31">
        <w:t xml:space="preserve"> due to increased CP</w:t>
      </w:r>
      <w:r>
        <w:t xml:space="preserve">. Therefore, it </w:t>
      </w:r>
      <w:r w:rsidR="00672A0A">
        <w:t xml:space="preserve">would not be a surprise if </w:t>
      </w:r>
      <w:r w:rsidR="005C4090">
        <w:t>PT-RSPT-RS</w:t>
      </w:r>
      <w:r w:rsidR="00672A0A">
        <w:t xml:space="preserve"> enhancement </w:t>
      </w:r>
      <w:r w:rsidR="00A97E31">
        <w:t>would provide more benefits</w:t>
      </w:r>
      <w:r w:rsidR="00672A0A">
        <w:t xml:space="preserve"> </w:t>
      </w:r>
      <w:r>
        <w:t xml:space="preserve">for the relatively lower SCS, </w:t>
      </w:r>
      <w:r w:rsidR="00A97E31">
        <w:t xml:space="preserve">while </w:t>
      </w:r>
      <w:r>
        <w:t xml:space="preserve">DMRS enhancement </w:t>
      </w:r>
      <w:r w:rsidR="00A97E31">
        <w:t>would provide more benefits for larger SCSs</w:t>
      </w:r>
      <w:r>
        <w:t xml:space="preserve">. By Figure 7, it is observed that </w:t>
      </w:r>
      <w:r w:rsidR="00A97E31">
        <w:t xml:space="preserve">power </w:t>
      </w:r>
      <w:r>
        <w:t xml:space="preserve">boosting the legacy </w:t>
      </w:r>
      <w:r w:rsidR="005C4090">
        <w:t>PT-RSPT-RS</w:t>
      </w:r>
      <w:r>
        <w:t xml:space="preserve"> by 3dB can lead to marginal gains on several SNR points, while </w:t>
      </w:r>
      <w:r w:rsidR="00A97E31">
        <w:t xml:space="preserve">power </w:t>
      </w:r>
      <w:r>
        <w:t xml:space="preserve">boosting by 7dB </w:t>
      </w:r>
      <w:r w:rsidR="00A97E31">
        <w:t xml:space="preserve">even </w:t>
      </w:r>
      <w:r>
        <w:t xml:space="preserve">causes unacceptable performance degradation. </w:t>
      </w:r>
      <w:r w:rsidR="00672A0A">
        <w:t>Other</w:t>
      </w:r>
      <w:r w:rsidR="00A97E31">
        <w:t xml:space="preserve"> power</w:t>
      </w:r>
      <w:r w:rsidR="00672A0A">
        <w:t xml:space="preserve"> boosting values had also been tested though not shown, and the 3dB boosting option was selected after comparison. </w:t>
      </w:r>
    </w:p>
    <w:p w14:paraId="200301FE" w14:textId="77777777" w:rsidR="008771DE" w:rsidRPr="006B5B73" w:rsidRDefault="008771DE" w:rsidP="00CB5474"/>
    <w:p w14:paraId="6F672B98" w14:textId="1C43426D" w:rsidR="00CB5474" w:rsidRDefault="00711D98" w:rsidP="00BE1AAE">
      <w:pPr>
        <w:jc w:val="center"/>
      </w:pPr>
      <w:r>
        <w:rPr>
          <w:noProof/>
        </w:rPr>
        <w:drawing>
          <wp:inline distT="0" distB="0" distL="0" distR="0" wp14:anchorId="5B581EDF" wp14:editId="1C164D1E">
            <wp:extent cx="4104522" cy="215512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19339" cy="2162908"/>
                    </a:xfrm>
                    <a:prstGeom prst="rect">
                      <a:avLst/>
                    </a:prstGeom>
                  </pic:spPr>
                </pic:pic>
              </a:graphicData>
            </a:graphic>
          </wp:inline>
        </w:drawing>
      </w:r>
    </w:p>
    <w:p w14:paraId="41C2A21C" w14:textId="7FC55274" w:rsidR="00BE1AAE" w:rsidRDefault="00BE1AAE" w:rsidP="00BE1AAE">
      <w:pPr>
        <w:jc w:val="center"/>
        <w:rPr>
          <w:sz w:val="20"/>
          <w:szCs w:val="20"/>
        </w:rPr>
      </w:pPr>
      <w:r w:rsidRPr="00C60767">
        <w:rPr>
          <w:sz w:val="20"/>
          <w:szCs w:val="20"/>
        </w:rPr>
        <w:t xml:space="preserve">Figure </w:t>
      </w:r>
      <w:r w:rsidR="00B5178D">
        <w:rPr>
          <w:sz w:val="20"/>
          <w:szCs w:val="20"/>
        </w:rPr>
        <w:t>7</w:t>
      </w:r>
      <w:r w:rsidRPr="00C60767">
        <w:rPr>
          <w:sz w:val="20"/>
          <w:szCs w:val="20"/>
        </w:rPr>
        <w:t>.</w:t>
      </w:r>
      <w:r w:rsidR="006B5B73">
        <w:rPr>
          <w:sz w:val="20"/>
          <w:szCs w:val="20"/>
        </w:rPr>
        <w:t xml:space="preserve"> BLER of comb-</w:t>
      </w:r>
      <w:r w:rsidR="005C4090">
        <w:rPr>
          <w:sz w:val="20"/>
          <w:szCs w:val="20"/>
        </w:rPr>
        <w:t>PT-RS</w:t>
      </w:r>
      <w:r w:rsidR="006B5B73">
        <w:rPr>
          <w:sz w:val="20"/>
          <w:szCs w:val="20"/>
        </w:rPr>
        <w:t xml:space="preserve"> with no boosting, 3dB, and 7dB boosting under SCS 120kHz. </w:t>
      </w:r>
    </w:p>
    <w:p w14:paraId="7AEA7420" w14:textId="77777777" w:rsidR="006B5B73" w:rsidRPr="00C60767" w:rsidRDefault="006B5B73" w:rsidP="006B5B73">
      <w:pPr>
        <w:rPr>
          <w:sz w:val="20"/>
          <w:szCs w:val="20"/>
        </w:rPr>
      </w:pPr>
    </w:p>
    <w:p w14:paraId="1A27880D" w14:textId="52513054" w:rsidR="00CB5474" w:rsidRDefault="00CB5474" w:rsidP="00CB5474">
      <w:pPr>
        <w:rPr>
          <w:b/>
          <w:bCs/>
        </w:rPr>
      </w:pPr>
      <w:r w:rsidRPr="00CB5474">
        <w:rPr>
          <w:b/>
          <w:bCs/>
        </w:rPr>
        <w:t>2.</w:t>
      </w:r>
      <w:r w:rsidR="006B5B73">
        <w:rPr>
          <w:b/>
          <w:bCs/>
        </w:rPr>
        <w:t>2</w:t>
      </w:r>
      <w:r w:rsidRPr="00CB5474">
        <w:rPr>
          <w:b/>
          <w:bCs/>
        </w:rPr>
        <w:t>.</w:t>
      </w:r>
      <w:r>
        <w:rPr>
          <w:b/>
          <w:bCs/>
        </w:rPr>
        <w:t>2</w:t>
      </w:r>
      <w:r w:rsidRPr="00CB5474">
        <w:rPr>
          <w:b/>
          <w:bCs/>
        </w:rPr>
        <w:t xml:space="preserve"> </w:t>
      </w:r>
      <w:r>
        <w:rPr>
          <w:b/>
          <w:bCs/>
        </w:rPr>
        <w:t>Block</w:t>
      </w:r>
      <w:r w:rsidRPr="00CB5474">
        <w:rPr>
          <w:b/>
          <w:bCs/>
        </w:rPr>
        <w:t>-</w:t>
      </w:r>
      <w:r w:rsidR="005C4090">
        <w:rPr>
          <w:b/>
          <w:bCs/>
        </w:rPr>
        <w:t>PT-RS</w:t>
      </w:r>
      <w:r w:rsidRPr="00CB5474">
        <w:rPr>
          <w:b/>
          <w:bCs/>
        </w:rPr>
        <w:t xml:space="preserve"> with power-boosting</w:t>
      </w:r>
    </w:p>
    <w:p w14:paraId="479D72D5" w14:textId="300129E7" w:rsidR="009944A7" w:rsidRDefault="00E955FF" w:rsidP="00CB5474">
      <w:r>
        <w:t xml:space="preserve">The BLER performance </w:t>
      </w:r>
      <w:r w:rsidR="00A97E31">
        <w:t xml:space="preserve">with </w:t>
      </w:r>
      <w:r>
        <w:t>uniform power-boosting to the block-</w:t>
      </w:r>
      <w:r w:rsidR="005C4090">
        <w:t>PT-RS</w:t>
      </w:r>
      <w:r>
        <w:t xml:space="preserve"> under SCS 120kHz is shown by Figure 8. It is seen that unlike the comb-</w:t>
      </w:r>
      <w:r w:rsidR="005C4090">
        <w:t>PT-RS</w:t>
      </w:r>
      <w:r>
        <w:t>, power-boosting with 3dB or 7dB can introduce 1dB+ gain across the working SNR</w:t>
      </w:r>
      <w:r w:rsidR="00A97E31">
        <w:t xml:space="preserve"> range</w:t>
      </w:r>
      <w:r>
        <w:t xml:space="preserve">. The reason is that the extra power does not introduce too much ICI on neighboring data subcarrier at the Tx, and </w:t>
      </w:r>
      <w:r w:rsidR="00A46258">
        <w:t>increases</w:t>
      </w:r>
      <w:r>
        <w:t xml:space="preserve"> the ICI cancellation accuracy at the Rx</w:t>
      </w:r>
      <w:r w:rsidR="00A46258">
        <w:t xml:space="preserve">. </w:t>
      </w:r>
      <w:r w:rsidR="00A97E31">
        <w:t>Power-b</w:t>
      </w:r>
      <w:r w:rsidR="009944A7">
        <w:t>oosting the block-</w:t>
      </w:r>
      <w:r w:rsidR="005C4090">
        <w:t>PT-RS</w:t>
      </w:r>
      <w:r w:rsidR="009944A7">
        <w:t xml:space="preserve"> with a 10dB gain will result in unacceptable performance degradation. The downside of block-</w:t>
      </w:r>
      <w:r w:rsidR="005C4090">
        <w:t>PT-RS</w:t>
      </w:r>
      <w:r w:rsidR="009944A7">
        <w:t xml:space="preserve"> in comparison to comb-</w:t>
      </w:r>
      <w:r w:rsidR="005C4090">
        <w:t>PT-RS</w:t>
      </w:r>
      <w:r w:rsidR="009944A7">
        <w:t xml:space="preserve"> is that it only captures rather local information across frequency</w:t>
      </w:r>
      <w:r w:rsidR="00A97E31">
        <w:t xml:space="preserve"> domain</w:t>
      </w:r>
      <w:r w:rsidR="009944A7">
        <w:t xml:space="preserve">. </w:t>
      </w:r>
    </w:p>
    <w:p w14:paraId="62D73589" w14:textId="1E93B8CC" w:rsidR="009944A7" w:rsidRDefault="009944A7" w:rsidP="009944A7">
      <w:pPr>
        <w:rPr>
          <w:b/>
          <w:bCs/>
          <w:i/>
          <w:iCs/>
        </w:rPr>
      </w:pPr>
      <w:r w:rsidRPr="00F445F8">
        <w:rPr>
          <w:b/>
          <w:bCs/>
          <w:i/>
          <w:iCs/>
        </w:rPr>
        <w:t xml:space="preserve">Observation </w:t>
      </w:r>
      <w:r>
        <w:rPr>
          <w:b/>
          <w:bCs/>
          <w:i/>
          <w:iCs/>
        </w:rPr>
        <w:t>5</w:t>
      </w:r>
      <w:r w:rsidRPr="00F445F8">
        <w:rPr>
          <w:b/>
          <w:bCs/>
          <w:i/>
          <w:iCs/>
        </w:rPr>
        <w:t xml:space="preserve">: </w:t>
      </w:r>
      <w:r w:rsidRPr="00E955FF">
        <w:rPr>
          <w:b/>
          <w:bCs/>
          <w:i/>
          <w:iCs/>
        </w:rPr>
        <w:t>Block-</w:t>
      </w:r>
      <w:r w:rsidR="005C4090">
        <w:rPr>
          <w:b/>
          <w:bCs/>
          <w:i/>
          <w:iCs/>
        </w:rPr>
        <w:t>PT-RS</w:t>
      </w:r>
      <w:r w:rsidRPr="00E955FF">
        <w:rPr>
          <w:b/>
          <w:bCs/>
          <w:i/>
          <w:iCs/>
        </w:rPr>
        <w:t xml:space="preserve"> is the least scattered pattern over </w:t>
      </w:r>
      <w:r w:rsidR="00A16C02">
        <w:rPr>
          <w:b/>
          <w:bCs/>
          <w:i/>
          <w:iCs/>
        </w:rPr>
        <w:t>frequency-domain</w:t>
      </w:r>
      <w:r w:rsidRPr="00E955FF">
        <w:rPr>
          <w:b/>
          <w:bCs/>
          <w:i/>
          <w:iCs/>
        </w:rPr>
        <w:t>, thus captures rather local information over frequency; Block-</w:t>
      </w:r>
      <w:r w:rsidR="005C4090">
        <w:rPr>
          <w:b/>
          <w:bCs/>
          <w:i/>
          <w:iCs/>
        </w:rPr>
        <w:t>PT-RS</w:t>
      </w:r>
      <w:r w:rsidRPr="00E955FF">
        <w:rPr>
          <w:b/>
          <w:bCs/>
          <w:i/>
          <w:iCs/>
        </w:rPr>
        <w:t xml:space="preserve"> has less neighboring data subcarriers, thus lower ICI on data, and in turn higher opportunity to benefit from power-boosting.</w:t>
      </w:r>
    </w:p>
    <w:p w14:paraId="27E04C2D" w14:textId="40F29617" w:rsidR="009944A7" w:rsidRDefault="009944A7" w:rsidP="00CB5474">
      <w:pPr>
        <w:rPr>
          <w:b/>
          <w:bCs/>
          <w:i/>
          <w:iCs/>
        </w:rPr>
      </w:pPr>
      <w:r w:rsidRPr="0046041F">
        <w:rPr>
          <w:b/>
          <w:bCs/>
          <w:i/>
          <w:iCs/>
        </w:rPr>
        <w:lastRenderedPageBreak/>
        <w:t xml:space="preserve">Proposal </w:t>
      </w:r>
      <w:r>
        <w:rPr>
          <w:b/>
          <w:bCs/>
          <w:i/>
          <w:iCs/>
        </w:rPr>
        <w:t>3</w:t>
      </w:r>
      <w:r w:rsidRPr="0046041F">
        <w:rPr>
          <w:b/>
          <w:bCs/>
          <w:i/>
          <w:iCs/>
        </w:rPr>
        <w:t>:</w:t>
      </w:r>
      <w:r>
        <w:rPr>
          <w:b/>
          <w:bCs/>
          <w:i/>
          <w:iCs/>
        </w:rPr>
        <w:t xml:space="preserve"> If block-</w:t>
      </w:r>
      <w:r w:rsidR="005C4090">
        <w:rPr>
          <w:b/>
          <w:bCs/>
          <w:i/>
          <w:iCs/>
        </w:rPr>
        <w:t>PT-RS</w:t>
      </w:r>
      <w:r>
        <w:rPr>
          <w:b/>
          <w:bCs/>
          <w:i/>
          <w:iCs/>
        </w:rPr>
        <w:t xml:space="preserve"> </w:t>
      </w:r>
      <w:r w:rsidR="004F0F7F">
        <w:rPr>
          <w:b/>
          <w:bCs/>
          <w:i/>
          <w:iCs/>
        </w:rPr>
        <w:t>is</w:t>
      </w:r>
      <w:r>
        <w:rPr>
          <w:b/>
          <w:bCs/>
          <w:i/>
          <w:iCs/>
        </w:rPr>
        <w:t xml:space="preserve"> used for beyond 52.6GHz, power-boosting is a </w:t>
      </w:r>
      <w:r w:rsidR="00A02172">
        <w:rPr>
          <w:b/>
          <w:bCs/>
          <w:i/>
          <w:iCs/>
        </w:rPr>
        <w:t>recommended technique</w:t>
      </w:r>
      <w:r>
        <w:rPr>
          <w:b/>
          <w:bCs/>
          <w:i/>
          <w:iCs/>
        </w:rPr>
        <w:t xml:space="preserve"> to improve ICI cancellation. </w:t>
      </w:r>
    </w:p>
    <w:p w14:paraId="62179BF7" w14:textId="77777777" w:rsidR="008771DE" w:rsidRPr="008771DE" w:rsidRDefault="008771DE" w:rsidP="00CB5474">
      <w:pPr>
        <w:rPr>
          <w:b/>
          <w:bCs/>
          <w:i/>
          <w:iCs/>
        </w:rPr>
      </w:pPr>
    </w:p>
    <w:p w14:paraId="47230955" w14:textId="256B62C0" w:rsidR="00CB5474" w:rsidRDefault="00711D98" w:rsidP="00A02226">
      <w:pPr>
        <w:jc w:val="center"/>
      </w:pPr>
      <w:r>
        <w:rPr>
          <w:noProof/>
        </w:rPr>
        <w:drawing>
          <wp:inline distT="0" distB="0" distL="0" distR="0" wp14:anchorId="23B830F9" wp14:editId="70AD26AF">
            <wp:extent cx="4142027" cy="2187713"/>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64072" cy="2199357"/>
                    </a:xfrm>
                    <a:prstGeom prst="rect">
                      <a:avLst/>
                    </a:prstGeom>
                  </pic:spPr>
                </pic:pic>
              </a:graphicData>
            </a:graphic>
          </wp:inline>
        </w:drawing>
      </w:r>
    </w:p>
    <w:p w14:paraId="6E831193" w14:textId="3EC73C9B" w:rsidR="00A02226" w:rsidRDefault="00E955FF" w:rsidP="000103C5">
      <w:pPr>
        <w:jc w:val="center"/>
        <w:rPr>
          <w:sz w:val="20"/>
          <w:szCs w:val="20"/>
        </w:rPr>
      </w:pPr>
      <w:r w:rsidRPr="00C60767">
        <w:rPr>
          <w:sz w:val="20"/>
          <w:szCs w:val="20"/>
        </w:rPr>
        <w:t xml:space="preserve">Figure </w:t>
      </w:r>
      <w:r>
        <w:rPr>
          <w:sz w:val="20"/>
          <w:szCs w:val="20"/>
        </w:rPr>
        <w:t>8</w:t>
      </w:r>
      <w:r w:rsidRPr="00C60767">
        <w:rPr>
          <w:sz w:val="20"/>
          <w:szCs w:val="20"/>
        </w:rPr>
        <w:t>.</w:t>
      </w:r>
      <w:r>
        <w:rPr>
          <w:sz w:val="20"/>
          <w:szCs w:val="20"/>
        </w:rPr>
        <w:t xml:space="preserve"> BLER of block-</w:t>
      </w:r>
      <w:r w:rsidR="005C4090">
        <w:rPr>
          <w:sz w:val="20"/>
          <w:szCs w:val="20"/>
        </w:rPr>
        <w:t>PT-RS</w:t>
      </w:r>
      <w:r>
        <w:rPr>
          <w:sz w:val="20"/>
          <w:szCs w:val="20"/>
        </w:rPr>
        <w:t xml:space="preserve"> with no boosting, 3dB, and 7dB boosting under SCS 120kHz. </w:t>
      </w:r>
    </w:p>
    <w:p w14:paraId="7C6CD308" w14:textId="77777777" w:rsidR="008771DE" w:rsidRPr="000103C5" w:rsidRDefault="008771DE" w:rsidP="000103C5">
      <w:pPr>
        <w:jc w:val="center"/>
        <w:rPr>
          <w:sz w:val="20"/>
          <w:szCs w:val="20"/>
        </w:rPr>
      </w:pPr>
    </w:p>
    <w:p w14:paraId="598D6E4B" w14:textId="494CCDB2" w:rsidR="00CB5474" w:rsidRDefault="00CB5474" w:rsidP="00CB5474">
      <w:pPr>
        <w:rPr>
          <w:b/>
          <w:bCs/>
        </w:rPr>
      </w:pPr>
      <w:r w:rsidRPr="00CB5474">
        <w:rPr>
          <w:b/>
          <w:bCs/>
        </w:rPr>
        <w:t>2.</w:t>
      </w:r>
      <w:r w:rsidR="006B5B73">
        <w:rPr>
          <w:b/>
          <w:bCs/>
        </w:rPr>
        <w:t>2</w:t>
      </w:r>
      <w:r w:rsidRPr="00CB5474">
        <w:rPr>
          <w:b/>
          <w:bCs/>
        </w:rPr>
        <w:t>.</w:t>
      </w:r>
      <w:r>
        <w:rPr>
          <w:b/>
          <w:bCs/>
        </w:rPr>
        <w:t>3</w:t>
      </w:r>
      <w:r w:rsidRPr="00CB5474">
        <w:rPr>
          <w:b/>
          <w:bCs/>
        </w:rPr>
        <w:t xml:space="preserve"> </w:t>
      </w:r>
      <w:r>
        <w:rPr>
          <w:b/>
          <w:bCs/>
        </w:rPr>
        <w:t>Clustered</w:t>
      </w:r>
      <w:r w:rsidRPr="00CB5474">
        <w:rPr>
          <w:b/>
          <w:bCs/>
        </w:rPr>
        <w:t>-</w:t>
      </w:r>
      <w:r w:rsidR="005C4090">
        <w:rPr>
          <w:b/>
          <w:bCs/>
        </w:rPr>
        <w:t>PT-RS</w:t>
      </w:r>
      <w:r w:rsidRPr="00CB5474">
        <w:rPr>
          <w:b/>
          <w:bCs/>
        </w:rPr>
        <w:t xml:space="preserve"> with power-boosting</w:t>
      </w:r>
    </w:p>
    <w:p w14:paraId="04A34539" w14:textId="199558CE" w:rsidR="000103C5" w:rsidRDefault="00243406" w:rsidP="00CB5474">
      <w:r>
        <w:t>An alternative option to the comb-</w:t>
      </w:r>
      <w:r w:rsidR="005C4090">
        <w:t>PT-RS</w:t>
      </w:r>
      <w:r>
        <w:t xml:space="preserve"> and block-</w:t>
      </w:r>
      <w:r w:rsidR="005C4090">
        <w:t>PT-RS</w:t>
      </w:r>
      <w:r>
        <w:t xml:space="preserve"> is  cluster-</w:t>
      </w:r>
      <w:r w:rsidR="005C4090">
        <w:t>PT-RS</w:t>
      </w:r>
      <w:r>
        <w:t xml:space="preserve">, where tones on each </w:t>
      </w:r>
      <w:r w:rsidR="005C4090">
        <w:t>PT-RS</w:t>
      </w:r>
      <w:r>
        <w:t xml:space="preserve"> symbols are separated into M groups/clusters. The benefit</w:t>
      </w:r>
      <w:r w:rsidR="00D91A50">
        <w:t xml:space="preserve"> of cluster-</w:t>
      </w:r>
      <w:r w:rsidR="005C4090">
        <w:t>PT-RS</w:t>
      </w:r>
      <w:r w:rsidR="00D91A50">
        <w:t xml:space="preserve"> is that it could achieve a good tradeoff between frequency scattering and level of ICI imposed on adjacent data subcarriers. </w:t>
      </w:r>
      <w:r w:rsidR="005729E3">
        <w:t>As is shown in Figure 9, the cluster-</w:t>
      </w:r>
      <w:r w:rsidR="005C4090">
        <w:t>PT-RS</w:t>
      </w:r>
      <w:r w:rsidR="005729E3">
        <w:t xml:space="preserve"> benefits from 3dB power-boosting, </w:t>
      </w:r>
      <w:r w:rsidR="00A97E31">
        <w:t xml:space="preserve">and </w:t>
      </w:r>
      <w:r w:rsidR="005729E3">
        <w:t>does not lose as much as comb-</w:t>
      </w:r>
      <w:r w:rsidR="005C4090">
        <w:t>PT-RS</w:t>
      </w:r>
      <w:r w:rsidR="005729E3">
        <w:t xml:space="preserve"> if </w:t>
      </w:r>
      <w:r w:rsidR="00A97E31">
        <w:t>power-boosting</w:t>
      </w:r>
      <w:r w:rsidR="005729E3">
        <w:t xml:space="preserve"> is </w:t>
      </w:r>
      <w:r w:rsidR="00A97E31">
        <w:t xml:space="preserve">increased to </w:t>
      </w:r>
      <w:r w:rsidR="005729E3">
        <w:t xml:space="preserve">7dB </w:t>
      </w:r>
      <w:r w:rsidR="00A97E31">
        <w:t>.</w:t>
      </w:r>
      <w:r w:rsidR="005729E3">
        <w:t xml:space="preserve"> </w:t>
      </w:r>
      <w:r w:rsidR="008771DE">
        <w:t xml:space="preserve"> </w:t>
      </w:r>
    </w:p>
    <w:p w14:paraId="117CA7EA" w14:textId="77777777" w:rsidR="008771DE" w:rsidRPr="008771DE" w:rsidRDefault="008771DE" w:rsidP="00CB5474"/>
    <w:p w14:paraId="316E5608" w14:textId="4BE2751B" w:rsidR="00CB5474" w:rsidRDefault="00711D98" w:rsidP="00DE672F">
      <w:pPr>
        <w:jc w:val="center"/>
      </w:pPr>
      <w:r>
        <w:rPr>
          <w:noProof/>
        </w:rPr>
        <w:drawing>
          <wp:inline distT="0" distB="0" distL="0" distR="0" wp14:anchorId="49B3727C" wp14:editId="3E304260">
            <wp:extent cx="4191998" cy="2206007"/>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8685" cy="2220051"/>
                    </a:xfrm>
                    <a:prstGeom prst="rect">
                      <a:avLst/>
                    </a:prstGeom>
                  </pic:spPr>
                </pic:pic>
              </a:graphicData>
            </a:graphic>
          </wp:inline>
        </w:drawing>
      </w:r>
    </w:p>
    <w:p w14:paraId="4FABDB24" w14:textId="227BF10B" w:rsidR="00DC7427" w:rsidRDefault="005729E3" w:rsidP="00DC7427">
      <w:pPr>
        <w:jc w:val="center"/>
        <w:rPr>
          <w:sz w:val="20"/>
          <w:szCs w:val="20"/>
        </w:rPr>
      </w:pPr>
      <w:r w:rsidRPr="00C60767">
        <w:rPr>
          <w:sz w:val="20"/>
          <w:szCs w:val="20"/>
        </w:rPr>
        <w:t xml:space="preserve">Figure </w:t>
      </w:r>
      <w:r>
        <w:rPr>
          <w:sz w:val="20"/>
          <w:szCs w:val="20"/>
        </w:rPr>
        <w:t>9</w:t>
      </w:r>
      <w:r w:rsidRPr="00C60767">
        <w:rPr>
          <w:sz w:val="20"/>
          <w:szCs w:val="20"/>
        </w:rPr>
        <w:t>.</w:t>
      </w:r>
      <w:r>
        <w:rPr>
          <w:sz w:val="20"/>
          <w:szCs w:val="20"/>
        </w:rPr>
        <w:t xml:space="preserve"> BLER of cluster-</w:t>
      </w:r>
      <w:r w:rsidR="005C4090">
        <w:rPr>
          <w:sz w:val="20"/>
          <w:szCs w:val="20"/>
        </w:rPr>
        <w:t>PT-RS</w:t>
      </w:r>
      <w:r>
        <w:rPr>
          <w:sz w:val="20"/>
          <w:szCs w:val="20"/>
        </w:rPr>
        <w:t xml:space="preserve"> with no boosting, 3dB, and 7dB boosting under SCS 120kHz. </w:t>
      </w:r>
    </w:p>
    <w:p w14:paraId="5156AD20" w14:textId="053C82BD" w:rsidR="00A16C02" w:rsidRDefault="00A16C02" w:rsidP="00DC7427">
      <w:pPr>
        <w:jc w:val="center"/>
        <w:rPr>
          <w:sz w:val="20"/>
          <w:szCs w:val="20"/>
        </w:rPr>
      </w:pPr>
    </w:p>
    <w:p w14:paraId="3F3B87A2" w14:textId="5B6A09BF" w:rsidR="00A16C02" w:rsidRDefault="00A16C02" w:rsidP="00A16C02">
      <w:pPr>
        <w:rPr>
          <w:b/>
          <w:bCs/>
          <w:i/>
          <w:iCs/>
        </w:rPr>
      </w:pPr>
      <w:r w:rsidRPr="00F445F8">
        <w:rPr>
          <w:b/>
          <w:bCs/>
          <w:i/>
          <w:iCs/>
        </w:rPr>
        <w:t xml:space="preserve">Observation </w:t>
      </w:r>
      <w:r>
        <w:rPr>
          <w:b/>
          <w:bCs/>
          <w:i/>
          <w:iCs/>
        </w:rPr>
        <w:t>6</w:t>
      </w:r>
      <w:r w:rsidRPr="00F445F8">
        <w:rPr>
          <w:b/>
          <w:bCs/>
          <w:i/>
          <w:iCs/>
        </w:rPr>
        <w:t xml:space="preserve">: </w:t>
      </w:r>
      <w:r>
        <w:rPr>
          <w:b/>
          <w:bCs/>
          <w:i/>
          <w:iCs/>
        </w:rPr>
        <w:t>Cluster</w:t>
      </w:r>
      <w:r w:rsidRPr="00E955FF">
        <w:rPr>
          <w:b/>
          <w:bCs/>
          <w:i/>
          <w:iCs/>
        </w:rPr>
        <w:t>-</w:t>
      </w:r>
      <w:r w:rsidR="005C4090">
        <w:rPr>
          <w:b/>
          <w:bCs/>
          <w:i/>
          <w:iCs/>
        </w:rPr>
        <w:t>PT-RS</w:t>
      </w:r>
      <w:r>
        <w:rPr>
          <w:b/>
          <w:bCs/>
          <w:i/>
          <w:iCs/>
        </w:rPr>
        <w:t xml:space="preserve"> is a pattern that can achieve a tradeoff between </w:t>
      </w:r>
      <w:r w:rsidR="00A97E31">
        <w:rPr>
          <w:b/>
          <w:bCs/>
          <w:i/>
          <w:iCs/>
        </w:rPr>
        <w:t xml:space="preserve">the </w:t>
      </w:r>
      <w:r>
        <w:rPr>
          <w:b/>
          <w:bCs/>
          <w:i/>
          <w:iCs/>
        </w:rPr>
        <w:t>scattering over frequency-domain and</w:t>
      </w:r>
      <w:r w:rsidR="00A97E31">
        <w:rPr>
          <w:b/>
          <w:bCs/>
          <w:i/>
          <w:iCs/>
        </w:rPr>
        <w:t xml:space="preserve"> the</w:t>
      </w:r>
      <w:r>
        <w:rPr>
          <w:b/>
          <w:bCs/>
          <w:i/>
          <w:iCs/>
        </w:rPr>
        <w:t xml:space="preserve"> level of ICI imposed on data subcarriers</w:t>
      </w:r>
      <w:r w:rsidRPr="00E955FF">
        <w:rPr>
          <w:b/>
          <w:bCs/>
          <w:i/>
          <w:iCs/>
        </w:rPr>
        <w:t>.</w:t>
      </w:r>
    </w:p>
    <w:p w14:paraId="0E04BF47" w14:textId="77777777" w:rsidR="00A84AC5" w:rsidRDefault="00A84AC5" w:rsidP="00A16C02">
      <w:pPr>
        <w:rPr>
          <w:b/>
          <w:bCs/>
          <w:i/>
          <w:iCs/>
        </w:rPr>
      </w:pPr>
    </w:p>
    <w:p w14:paraId="7D704587" w14:textId="77777777" w:rsidR="00A16C02" w:rsidRDefault="00A16C02" w:rsidP="00DC7427">
      <w:pPr>
        <w:jc w:val="center"/>
        <w:rPr>
          <w:sz w:val="20"/>
          <w:szCs w:val="20"/>
        </w:rPr>
      </w:pPr>
    </w:p>
    <w:p w14:paraId="521F2903" w14:textId="74BA6FDF" w:rsidR="00DC7427" w:rsidRDefault="00DC7427" w:rsidP="00DC7427">
      <w:pPr>
        <w:rPr>
          <w:b/>
          <w:bCs/>
        </w:rPr>
      </w:pPr>
      <w:r w:rsidRPr="00CB5474">
        <w:rPr>
          <w:b/>
          <w:bCs/>
        </w:rPr>
        <w:t>2.</w:t>
      </w:r>
      <w:r>
        <w:rPr>
          <w:b/>
          <w:bCs/>
        </w:rPr>
        <w:t>2</w:t>
      </w:r>
      <w:r w:rsidRPr="00CB5474">
        <w:rPr>
          <w:b/>
          <w:bCs/>
        </w:rPr>
        <w:t>.</w:t>
      </w:r>
      <w:r w:rsidR="00912EE3">
        <w:rPr>
          <w:b/>
          <w:bCs/>
        </w:rPr>
        <w:t>4</w:t>
      </w:r>
      <w:r w:rsidRPr="00CB5474">
        <w:rPr>
          <w:b/>
          <w:bCs/>
        </w:rPr>
        <w:t xml:space="preserve"> </w:t>
      </w:r>
      <w:r>
        <w:rPr>
          <w:b/>
          <w:bCs/>
        </w:rPr>
        <w:t>Clustered</w:t>
      </w:r>
      <w:r w:rsidRPr="00CB5474">
        <w:rPr>
          <w:b/>
          <w:bCs/>
        </w:rPr>
        <w:t>-</w:t>
      </w:r>
      <w:r w:rsidR="005C4090">
        <w:rPr>
          <w:b/>
          <w:bCs/>
        </w:rPr>
        <w:t>PT-RS</w:t>
      </w:r>
      <w:r w:rsidRPr="00CB5474">
        <w:rPr>
          <w:b/>
          <w:bCs/>
        </w:rPr>
        <w:t xml:space="preserve"> with </w:t>
      </w:r>
      <w:r w:rsidR="008E2500">
        <w:rPr>
          <w:b/>
          <w:bCs/>
        </w:rPr>
        <w:t xml:space="preserve">selective power </w:t>
      </w:r>
      <w:r w:rsidR="00DF4617">
        <w:rPr>
          <w:b/>
          <w:bCs/>
        </w:rPr>
        <w:t>boosting</w:t>
      </w:r>
    </w:p>
    <w:p w14:paraId="1277EDD6" w14:textId="1D091133" w:rsidR="00912EE3" w:rsidRPr="00912EE3" w:rsidRDefault="00912EE3" w:rsidP="00DC7427">
      <w:r w:rsidRPr="00912EE3">
        <w:t xml:space="preserve">The power-boosting used in previous subsections 2.2.1 - 2.2.3 is uniform, i.e., all the </w:t>
      </w:r>
      <w:r w:rsidR="005C4090">
        <w:t>PT-RS</w:t>
      </w:r>
      <w:r w:rsidRPr="00912EE3">
        <w:t xml:space="preserve"> tones are provided with equal extra power. However, </w:t>
      </w:r>
      <w:r w:rsidR="00326EAD">
        <w:t xml:space="preserve">we note </w:t>
      </w:r>
      <w:r w:rsidRPr="00912EE3">
        <w:t>the following</w:t>
      </w:r>
      <w:r w:rsidR="00326EAD">
        <w:t>s:</w:t>
      </w:r>
    </w:p>
    <w:p w14:paraId="4A8D5468" w14:textId="20BBE939" w:rsidR="00912EE3" w:rsidRPr="00912EE3" w:rsidRDefault="00912EE3" w:rsidP="00912EE3">
      <w:pPr>
        <w:pStyle w:val="ListParagraph"/>
        <w:numPr>
          <w:ilvl w:val="0"/>
          <w:numId w:val="28"/>
        </w:numPr>
        <w:spacing w:after="160" w:line="259" w:lineRule="auto"/>
        <w:jc w:val="left"/>
      </w:pPr>
      <w:r w:rsidRPr="00912EE3">
        <w:lastRenderedPageBreak/>
        <w:t>Providing extra power for every tone can be power consuming;</w:t>
      </w:r>
    </w:p>
    <w:p w14:paraId="2AEBEF47" w14:textId="22D8ECCA" w:rsidR="00912EE3" w:rsidRPr="00912EE3" w:rsidRDefault="00912EE3" w:rsidP="00912EE3">
      <w:pPr>
        <w:pStyle w:val="ListParagraph"/>
        <w:numPr>
          <w:ilvl w:val="0"/>
          <w:numId w:val="28"/>
        </w:numPr>
        <w:spacing w:after="160" w:line="259" w:lineRule="auto"/>
        <w:jc w:val="left"/>
      </w:pPr>
      <w:r>
        <w:t xml:space="preserve">The </w:t>
      </w:r>
      <w:r w:rsidR="005C4090">
        <w:t>PT-RS</w:t>
      </w:r>
      <w:r>
        <w:t xml:space="preserve"> tones near the middle of a cluster has less interference with data subcarriers than the </w:t>
      </w:r>
      <w:r w:rsidR="00326EAD">
        <w:t xml:space="preserve">edge </w:t>
      </w:r>
      <w:r>
        <w:t>tones;</w:t>
      </w:r>
    </w:p>
    <w:p w14:paraId="384733EF" w14:textId="71C2669B" w:rsidR="00912EE3" w:rsidRDefault="00912EE3" w:rsidP="00912EE3">
      <w:pPr>
        <w:pStyle w:val="ListParagraph"/>
        <w:numPr>
          <w:ilvl w:val="0"/>
          <w:numId w:val="28"/>
        </w:numPr>
        <w:spacing w:after="160" w:line="259" w:lineRule="auto"/>
        <w:jc w:val="left"/>
      </w:pPr>
      <w:r>
        <w:t xml:space="preserve">The </w:t>
      </w:r>
      <w:r w:rsidR="005C4090">
        <w:t>PT-RS</w:t>
      </w:r>
      <w:r>
        <w:t xml:space="preserve"> tones are relatively more robust to ICI from neighbors than data subcarriers since lower-order modulation such as QPSK is typically used for </w:t>
      </w:r>
      <w:r w:rsidR="005C4090">
        <w:t>PT-RS</w:t>
      </w:r>
      <w:r>
        <w:t xml:space="preserve">. </w:t>
      </w:r>
    </w:p>
    <w:p w14:paraId="4C885789" w14:textId="49E98EEC" w:rsidR="00326EAD" w:rsidRDefault="00326EAD" w:rsidP="008B3375">
      <w:pPr>
        <w:spacing w:after="160" w:line="259" w:lineRule="auto"/>
      </w:pPr>
      <w:r>
        <w:t>We define the selective power-boosting as the power-boosting procedure where the inner (central) subcarriers of a clustered-</w:t>
      </w:r>
      <w:r w:rsidR="005C4090">
        <w:t>PT-RS</w:t>
      </w:r>
      <w:r>
        <w:t xml:space="preserve">  have higher power than the edge subcarrier of that clustered-</w:t>
      </w:r>
      <w:r w:rsidR="005C4090">
        <w:t>PT-RS</w:t>
      </w:r>
      <w:r>
        <w:t>.</w:t>
      </w:r>
    </w:p>
    <w:p w14:paraId="7108D6C8" w14:textId="5ABE38AB" w:rsidR="00C74FF4" w:rsidRPr="00912EE3" w:rsidRDefault="00EB7E20" w:rsidP="008B3375">
      <w:pPr>
        <w:spacing w:after="160" w:line="259" w:lineRule="auto"/>
      </w:pPr>
      <w:r>
        <w:t xml:space="preserve">The window as shown in Figure 10 for both power-saving and performance enhancement reasons is selected and recommended, after trying a couple more windows. The performance comparisons between different </w:t>
      </w:r>
      <w:r w:rsidR="005C4090">
        <w:t>PT-RS</w:t>
      </w:r>
      <w:r>
        <w:t xml:space="preserve"> patterns with the power-saving boosting are included by Figure 11 and Figure 12. </w:t>
      </w:r>
    </w:p>
    <w:p w14:paraId="271E57E8" w14:textId="1DEBDB13" w:rsidR="00DC7427" w:rsidRDefault="00912EE3" w:rsidP="00DC7427">
      <w:pPr>
        <w:rPr>
          <w:sz w:val="20"/>
          <w:szCs w:val="20"/>
        </w:rPr>
      </w:pPr>
      <w:r>
        <w:rPr>
          <w:sz w:val="20"/>
          <w:szCs w:val="20"/>
        </w:rPr>
        <w:t xml:space="preserve">  </w:t>
      </w:r>
    </w:p>
    <w:p w14:paraId="77F6354F" w14:textId="1371D933" w:rsidR="00DC7427" w:rsidRDefault="00DC7427" w:rsidP="005729E3">
      <w:pPr>
        <w:jc w:val="center"/>
        <w:rPr>
          <w:sz w:val="20"/>
          <w:szCs w:val="20"/>
        </w:rPr>
      </w:pPr>
      <w:r>
        <w:rPr>
          <w:noProof/>
        </w:rPr>
        <w:drawing>
          <wp:inline distT="0" distB="0" distL="0" distR="0" wp14:anchorId="1DE50350" wp14:editId="2E9E1F30">
            <wp:extent cx="4189171" cy="2250831"/>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10692" cy="2262394"/>
                    </a:xfrm>
                    <a:prstGeom prst="rect">
                      <a:avLst/>
                    </a:prstGeom>
                  </pic:spPr>
                </pic:pic>
              </a:graphicData>
            </a:graphic>
          </wp:inline>
        </w:drawing>
      </w:r>
    </w:p>
    <w:p w14:paraId="46D1E1F0" w14:textId="592FD3B0" w:rsidR="00DC7427" w:rsidRDefault="00DC7427" w:rsidP="00DC7427">
      <w:pPr>
        <w:jc w:val="center"/>
        <w:rPr>
          <w:sz w:val="20"/>
          <w:szCs w:val="20"/>
        </w:rPr>
      </w:pPr>
      <w:r w:rsidRPr="00C60767">
        <w:rPr>
          <w:sz w:val="20"/>
          <w:szCs w:val="20"/>
        </w:rPr>
        <w:t xml:space="preserve">Figure </w:t>
      </w:r>
      <w:r w:rsidR="00792692">
        <w:rPr>
          <w:sz w:val="20"/>
          <w:szCs w:val="20"/>
        </w:rPr>
        <w:t>10</w:t>
      </w:r>
      <w:r w:rsidRPr="00C60767">
        <w:rPr>
          <w:sz w:val="20"/>
          <w:szCs w:val="20"/>
        </w:rPr>
        <w:t>.</w:t>
      </w:r>
      <w:r>
        <w:rPr>
          <w:sz w:val="20"/>
          <w:szCs w:val="20"/>
        </w:rPr>
        <w:t xml:space="preserve"> The power-saving boosting window. </w:t>
      </w:r>
    </w:p>
    <w:p w14:paraId="11A63A7E" w14:textId="77777777" w:rsidR="00DC7427" w:rsidRPr="000103C5" w:rsidRDefault="00DC7427" w:rsidP="005729E3">
      <w:pPr>
        <w:jc w:val="center"/>
        <w:rPr>
          <w:sz w:val="20"/>
          <w:szCs w:val="20"/>
        </w:rPr>
      </w:pPr>
    </w:p>
    <w:p w14:paraId="7A31CD8A" w14:textId="75E47DEC" w:rsidR="00477B4A" w:rsidRDefault="008D32D7" w:rsidP="00DE672F">
      <w:pPr>
        <w:jc w:val="center"/>
      </w:pPr>
      <w:r>
        <w:rPr>
          <w:noProof/>
        </w:rPr>
        <w:drawing>
          <wp:inline distT="0" distB="0" distL="0" distR="0" wp14:anchorId="5075F421" wp14:editId="2E052961">
            <wp:extent cx="4206445" cy="2200517"/>
            <wp:effectExtent l="0" t="0" r="381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24211" cy="2209811"/>
                    </a:xfrm>
                    <a:prstGeom prst="rect">
                      <a:avLst/>
                    </a:prstGeom>
                  </pic:spPr>
                </pic:pic>
              </a:graphicData>
            </a:graphic>
          </wp:inline>
        </w:drawing>
      </w:r>
      <w:r w:rsidRPr="008D32D7">
        <w:rPr>
          <w:noProof/>
        </w:rPr>
        <w:t xml:space="preserve"> </w:t>
      </w:r>
    </w:p>
    <w:p w14:paraId="0DECE525" w14:textId="2F62AA5C" w:rsidR="00EB7E20" w:rsidRDefault="00D11731" w:rsidP="00EB7E20">
      <w:pPr>
        <w:jc w:val="center"/>
        <w:rPr>
          <w:sz w:val="20"/>
          <w:szCs w:val="20"/>
        </w:rPr>
      </w:pPr>
      <w:r w:rsidRPr="00C60767">
        <w:rPr>
          <w:sz w:val="20"/>
          <w:szCs w:val="20"/>
        </w:rPr>
        <w:t>Figure</w:t>
      </w:r>
      <w:r w:rsidR="00B5178D">
        <w:rPr>
          <w:sz w:val="20"/>
          <w:szCs w:val="20"/>
        </w:rPr>
        <w:t xml:space="preserve"> 1</w:t>
      </w:r>
      <w:r w:rsidR="00792692">
        <w:rPr>
          <w:sz w:val="20"/>
          <w:szCs w:val="20"/>
        </w:rPr>
        <w:t>1</w:t>
      </w:r>
      <w:r w:rsidRPr="00C60767">
        <w:rPr>
          <w:sz w:val="20"/>
          <w:szCs w:val="20"/>
        </w:rPr>
        <w:t>.</w:t>
      </w:r>
      <w:r w:rsidR="00EB7E20" w:rsidRPr="00EB7E20">
        <w:rPr>
          <w:sz w:val="20"/>
          <w:szCs w:val="20"/>
        </w:rPr>
        <w:t xml:space="preserve"> </w:t>
      </w:r>
      <w:r w:rsidR="00EB7E20">
        <w:rPr>
          <w:sz w:val="20"/>
          <w:szCs w:val="20"/>
        </w:rPr>
        <w:t xml:space="preserve">BLER of different </w:t>
      </w:r>
      <w:r w:rsidR="005C4090">
        <w:rPr>
          <w:sz w:val="20"/>
          <w:szCs w:val="20"/>
        </w:rPr>
        <w:t>PT-RS</w:t>
      </w:r>
      <w:r w:rsidR="00EB7E20">
        <w:rPr>
          <w:sz w:val="20"/>
          <w:szCs w:val="20"/>
        </w:rPr>
        <w:t xml:space="preserve"> patterns with good boosting level vs spike window boosting. </w:t>
      </w:r>
    </w:p>
    <w:p w14:paraId="1B91E2F7" w14:textId="541F7AC8" w:rsidR="00477B4A" w:rsidRPr="00C60767" w:rsidRDefault="00477B4A" w:rsidP="00C60767">
      <w:pPr>
        <w:jc w:val="center"/>
        <w:rPr>
          <w:sz w:val="20"/>
          <w:szCs w:val="20"/>
        </w:rPr>
      </w:pPr>
    </w:p>
    <w:p w14:paraId="7F4991AF" w14:textId="59BFB614" w:rsidR="00790941" w:rsidRDefault="008D32D7" w:rsidP="008D32D7">
      <w:pPr>
        <w:jc w:val="center"/>
      </w:pPr>
      <w:r>
        <w:rPr>
          <w:noProof/>
        </w:rPr>
        <w:lastRenderedPageBreak/>
        <w:drawing>
          <wp:inline distT="0" distB="0" distL="0" distR="0" wp14:anchorId="44DA3CD0" wp14:editId="035BDAC6">
            <wp:extent cx="4198396" cy="2205318"/>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34406" cy="2224233"/>
                    </a:xfrm>
                    <a:prstGeom prst="rect">
                      <a:avLst/>
                    </a:prstGeom>
                  </pic:spPr>
                </pic:pic>
              </a:graphicData>
            </a:graphic>
          </wp:inline>
        </w:drawing>
      </w:r>
    </w:p>
    <w:p w14:paraId="1075E150" w14:textId="54E22541" w:rsidR="00EB7E20" w:rsidRDefault="00EB7E20" w:rsidP="00EB7E20">
      <w:pPr>
        <w:jc w:val="center"/>
        <w:rPr>
          <w:sz w:val="20"/>
          <w:szCs w:val="20"/>
        </w:rPr>
      </w:pPr>
      <w:r w:rsidRPr="00C60767">
        <w:rPr>
          <w:sz w:val="20"/>
          <w:szCs w:val="20"/>
        </w:rPr>
        <w:t>Figure</w:t>
      </w:r>
      <w:r>
        <w:rPr>
          <w:sz w:val="20"/>
          <w:szCs w:val="20"/>
        </w:rPr>
        <w:t xml:space="preserve"> 12</w:t>
      </w:r>
      <w:r w:rsidRPr="00C60767">
        <w:rPr>
          <w:sz w:val="20"/>
          <w:szCs w:val="20"/>
        </w:rPr>
        <w:t>.</w:t>
      </w:r>
      <w:r w:rsidRPr="00EB7E20">
        <w:rPr>
          <w:sz w:val="20"/>
          <w:szCs w:val="20"/>
        </w:rPr>
        <w:t xml:space="preserve"> </w:t>
      </w:r>
      <w:r>
        <w:rPr>
          <w:sz w:val="20"/>
          <w:szCs w:val="20"/>
        </w:rPr>
        <w:t xml:space="preserve">BLER of different </w:t>
      </w:r>
      <w:r w:rsidR="005C4090">
        <w:rPr>
          <w:sz w:val="20"/>
          <w:szCs w:val="20"/>
        </w:rPr>
        <w:t>PT-RS</w:t>
      </w:r>
      <w:r>
        <w:rPr>
          <w:sz w:val="20"/>
          <w:szCs w:val="20"/>
        </w:rPr>
        <w:t xml:space="preserve"> patterns with no boosting vs spike window boosting. </w:t>
      </w:r>
    </w:p>
    <w:p w14:paraId="02BC1F29" w14:textId="77777777" w:rsidR="008771DE" w:rsidRDefault="008771DE" w:rsidP="00EB7E20">
      <w:pPr>
        <w:jc w:val="center"/>
        <w:rPr>
          <w:sz w:val="20"/>
          <w:szCs w:val="20"/>
        </w:rPr>
      </w:pPr>
    </w:p>
    <w:p w14:paraId="6534136F" w14:textId="77CBB23B" w:rsidR="00BC3633" w:rsidRPr="00BC3633" w:rsidRDefault="00657883" w:rsidP="00483CA2">
      <w:pPr>
        <w:rPr>
          <w:b/>
          <w:bCs/>
          <w:i/>
          <w:iCs/>
        </w:rPr>
      </w:pPr>
      <w:r w:rsidRPr="00F445F8">
        <w:rPr>
          <w:b/>
          <w:bCs/>
          <w:i/>
          <w:iCs/>
        </w:rPr>
        <w:t xml:space="preserve">Observation </w:t>
      </w:r>
      <w:r w:rsidR="00483CA2">
        <w:rPr>
          <w:b/>
          <w:bCs/>
          <w:i/>
          <w:iCs/>
        </w:rPr>
        <w:t>7</w:t>
      </w:r>
      <w:r w:rsidRPr="00F445F8">
        <w:rPr>
          <w:b/>
          <w:bCs/>
          <w:i/>
          <w:iCs/>
        </w:rPr>
        <w:t xml:space="preserve">: </w:t>
      </w:r>
      <w:r w:rsidR="00483CA2">
        <w:rPr>
          <w:b/>
          <w:bCs/>
          <w:i/>
          <w:iCs/>
        </w:rPr>
        <w:t xml:space="preserve"> Cluster-</w:t>
      </w:r>
      <w:r w:rsidR="005C4090">
        <w:rPr>
          <w:b/>
          <w:bCs/>
          <w:i/>
          <w:iCs/>
        </w:rPr>
        <w:t>PT-RS</w:t>
      </w:r>
      <w:r w:rsidR="00483CA2">
        <w:rPr>
          <w:b/>
          <w:bCs/>
          <w:i/>
          <w:iCs/>
        </w:rPr>
        <w:t xml:space="preserve"> with non-uniform</w:t>
      </w:r>
      <w:r w:rsidR="00C44039">
        <w:rPr>
          <w:b/>
          <w:bCs/>
          <w:i/>
          <w:iCs/>
        </w:rPr>
        <w:t xml:space="preserve"> selective</w:t>
      </w:r>
      <w:r w:rsidR="00483CA2">
        <w:rPr>
          <w:b/>
          <w:bCs/>
          <w:i/>
          <w:iCs/>
        </w:rPr>
        <w:t xml:space="preserve"> boosting window can improve performance while limit excessive power usage. </w:t>
      </w:r>
    </w:p>
    <w:p w14:paraId="30AB2A82" w14:textId="7C5080DF" w:rsidR="00CB5474" w:rsidRDefault="00CB5474" w:rsidP="00CB5474">
      <w:pPr>
        <w:rPr>
          <w:b/>
          <w:bCs/>
          <w:i/>
          <w:iCs/>
        </w:rPr>
      </w:pPr>
    </w:p>
    <w:p w14:paraId="1B12D4DD" w14:textId="687AC13A" w:rsidR="005E20DD" w:rsidRDefault="005E20DD" w:rsidP="005E20DD">
      <w:pPr>
        <w:pStyle w:val="Heading1"/>
        <w:rPr>
          <w:rFonts w:cs="Arial"/>
        </w:rPr>
      </w:pPr>
      <w:r>
        <w:rPr>
          <w:rFonts w:cs="Arial"/>
        </w:rPr>
        <w:t>Enhancement for multi-PDSCH</w:t>
      </w:r>
      <w:r w:rsidR="00EB5E13">
        <w:rPr>
          <w:rFonts w:cs="Arial"/>
        </w:rPr>
        <w:t>/PUSCH</w:t>
      </w:r>
    </w:p>
    <w:p w14:paraId="5AB3C00E" w14:textId="613432A3" w:rsidR="00C60767" w:rsidRDefault="00B319AD" w:rsidP="00C60767">
      <w:r>
        <w:rPr>
          <w:rFonts w:eastAsia="Yu Mincho"/>
          <w:bCs/>
          <w:iCs/>
          <w:lang w:eastAsia="ja-JP"/>
        </w:rPr>
        <w:t>The following</w:t>
      </w:r>
      <w:r w:rsidRPr="00A82EBD">
        <w:rPr>
          <w:rFonts w:eastAsia="Yu Mincho"/>
          <w:bCs/>
          <w:iCs/>
          <w:lang w:eastAsia="ja-JP"/>
        </w:rPr>
        <w:t xml:space="preserve"> agreement </w:t>
      </w:r>
      <w:r w:rsidRPr="00A82EBD">
        <w:t>w</w:t>
      </w:r>
      <w:r>
        <w:t>as</w:t>
      </w:r>
      <w:r w:rsidRPr="00A82EBD">
        <w:t xml:space="preserve"> made on enhancement </w:t>
      </w:r>
      <w:r>
        <w:t>multi-</w:t>
      </w:r>
      <w:r w:rsidRPr="00A82EBD">
        <w:t xml:space="preserve">PDSCH/PUSCH </w:t>
      </w:r>
      <w:r w:rsidRPr="00A82EBD">
        <w:fldChar w:fldCharType="begin"/>
      </w:r>
      <w:r w:rsidRPr="00A82EBD">
        <w:instrText xml:space="preserve"> REF _Ref60908883 \r \h </w:instrText>
      </w:r>
      <w:r>
        <w:instrText xml:space="preserve"> \* MERGEFORMAT </w:instrText>
      </w:r>
      <w:r w:rsidRPr="00A82EBD">
        <w:fldChar w:fldCharType="separate"/>
      </w:r>
      <w:r w:rsidRPr="00A82EBD">
        <w:t>[3]</w:t>
      </w:r>
      <w:r w:rsidRPr="00A82EBD">
        <w:fldChar w:fldCharType="end"/>
      </w:r>
      <w:r w:rsidRPr="00A82EBD">
        <w:t xml:space="preserve">, </w:t>
      </w:r>
      <w:r>
        <w:t xml:space="preserve">as are listed below. </w:t>
      </w:r>
    </w:p>
    <w:tbl>
      <w:tblPr>
        <w:tblStyle w:val="TableGrid"/>
        <w:tblW w:w="0" w:type="auto"/>
        <w:tblLook w:val="04A0" w:firstRow="1" w:lastRow="0" w:firstColumn="1" w:lastColumn="0" w:noHBand="0" w:noVBand="1"/>
      </w:tblPr>
      <w:tblGrid>
        <w:gridCol w:w="9307"/>
      </w:tblGrid>
      <w:tr w:rsidR="00C60767" w14:paraId="24ACED52" w14:textId="77777777" w:rsidTr="00521308">
        <w:tc>
          <w:tcPr>
            <w:tcW w:w="9307" w:type="dxa"/>
          </w:tcPr>
          <w:p w14:paraId="3CDBB1A7" w14:textId="77777777" w:rsidR="00C60767" w:rsidRPr="00E378A0" w:rsidRDefault="00C60767" w:rsidP="00521308">
            <w:pPr>
              <w:spacing w:after="60"/>
              <w:rPr>
                <w:sz w:val="18"/>
                <w:szCs w:val="18"/>
              </w:rPr>
            </w:pPr>
            <w:r w:rsidRPr="00E378A0">
              <w:rPr>
                <w:szCs w:val="18"/>
                <w:highlight w:val="green"/>
              </w:rPr>
              <w:t>Agreement</w:t>
            </w:r>
            <w:r w:rsidRPr="00E378A0">
              <w:rPr>
                <w:szCs w:val="18"/>
              </w:rPr>
              <w:t>:</w:t>
            </w:r>
          </w:p>
          <w:p w14:paraId="3EB2034D" w14:textId="77777777" w:rsidR="00612EC7" w:rsidRPr="00D40EE3" w:rsidRDefault="00612EC7" w:rsidP="00612EC7">
            <w:pPr>
              <w:numPr>
                <w:ilvl w:val="0"/>
                <w:numId w:val="29"/>
              </w:numPr>
              <w:autoSpaceDE/>
              <w:autoSpaceDN/>
              <w:adjustRightInd/>
              <w:snapToGrid/>
              <w:spacing w:after="0"/>
              <w:jc w:val="left"/>
              <w:rPr>
                <w:lang w:eastAsia="x-none"/>
              </w:rPr>
            </w:pPr>
            <w:r w:rsidRPr="00D40EE3">
              <w:rPr>
                <w:lang w:eastAsia="x-none"/>
              </w:rPr>
              <w:t>For a UE and for a serving cell, scheduling multiple PDSCHs by single DL DCI and scheduling multiple PUSCHs by single UL DCI are supported.</w:t>
            </w:r>
          </w:p>
          <w:p w14:paraId="4E3576FD" w14:textId="77777777" w:rsidR="00612EC7" w:rsidRPr="00D40EE3" w:rsidRDefault="00612EC7" w:rsidP="00612EC7">
            <w:pPr>
              <w:numPr>
                <w:ilvl w:val="1"/>
                <w:numId w:val="29"/>
              </w:numPr>
              <w:autoSpaceDE/>
              <w:autoSpaceDN/>
              <w:adjustRightInd/>
              <w:snapToGrid/>
              <w:spacing w:after="0"/>
              <w:jc w:val="left"/>
              <w:rPr>
                <w:lang w:eastAsia="x-none"/>
              </w:rPr>
            </w:pPr>
            <w:r w:rsidRPr="00D40EE3">
              <w:rPr>
                <w:lang w:eastAsia="x-none"/>
              </w:rPr>
              <w:t>Each PDSCH or PUSCH has individual/separate TB</w:t>
            </w:r>
            <w:r>
              <w:rPr>
                <w:lang w:eastAsia="x-none"/>
              </w:rPr>
              <w:t>(s)</w:t>
            </w:r>
            <w:r w:rsidRPr="00D40EE3">
              <w:rPr>
                <w:lang w:eastAsia="x-none"/>
              </w:rPr>
              <w:t xml:space="preserve"> and e</w:t>
            </w:r>
            <w:r w:rsidRPr="00D40EE3">
              <w:rPr>
                <w:rFonts w:hint="eastAsia"/>
                <w:lang w:eastAsia="x-none"/>
              </w:rPr>
              <w:t xml:space="preserve">ach </w:t>
            </w:r>
            <w:r w:rsidRPr="00D40EE3">
              <w:rPr>
                <w:lang w:eastAsia="x-none"/>
              </w:rPr>
              <w:t>PDSCH/PUSCH is confined with</w:t>
            </w:r>
            <w:r>
              <w:rPr>
                <w:lang w:eastAsia="x-none"/>
              </w:rPr>
              <w:t>in</w:t>
            </w:r>
            <w:r w:rsidRPr="00D40EE3">
              <w:rPr>
                <w:lang w:eastAsia="x-none"/>
              </w:rPr>
              <w:t xml:space="preserve"> a slot.</w:t>
            </w:r>
          </w:p>
          <w:p w14:paraId="7422B5D4" w14:textId="77777777" w:rsidR="00612EC7" w:rsidRDefault="00612EC7" w:rsidP="00612EC7">
            <w:pPr>
              <w:numPr>
                <w:ilvl w:val="1"/>
                <w:numId w:val="29"/>
              </w:numPr>
              <w:autoSpaceDE/>
              <w:autoSpaceDN/>
              <w:adjustRightInd/>
              <w:snapToGrid/>
              <w:spacing w:after="0"/>
              <w:jc w:val="left"/>
              <w:rPr>
                <w:lang w:eastAsia="x-none"/>
              </w:rPr>
            </w:pPr>
            <w:r w:rsidRPr="00D40EE3">
              <w:rPr>
                <w:rFonts w:hint="eastAsia"/>
                <w:lang w:eastAsia="x-none"/>
              </w:rPr>
              <w:t xml:space="preserve">FFS: </w:t>
            </w:r>
            <w:r w:rsidRPr="00D40EE3">
              <w:rPr>
                <w:lang w:eastAsia="x-none"/>
              </w:rPr>
              <w:t>The maximum number of PDSCHs or PUSCHs that can be scheduled with a single DCI</w:t>
            </w:r>
          </w:p>
          <w:p w14:paraId="72A671C2" w14:textId="77777777" w:rsidR="00612EC7" w:rsidRPr="00D40EE3" w:rsidRDefault="00612EC7" w:rsidP="00612EC7">
            <w:pPr>
              <w:numPr>
                <w:ilvl w:val="1"/>
                <w:numId w:val="29"/>
              </w:numPr>
              <w:autoSpaceDE/>
              <w:autoSpaceDN/>
              <w:adjustRightInd/>
              <w:snapToGrid/>
              <w:spacing w:after="0"/>
              <w:jc w:val="left"/>
              <w:rPr>
                <w:lang w:eastAsia="x-none"/>
              </w:rPr>
            </w:pPr>
            <w:r>
              <w:rPr>
                <w:lang w:eastAsia="x-none"/>
              </w:rPr>
              <w:t>FFS: Whether multiple PDSCH scheduling applies to 120 kHz in addition to 480 and 960 kHz</w:t>
            </w:r>
          </w:p>
          <w:p w14:paraId="76672778" w14:textId="77777777" w:rsidR="00612EC7" w:rsidRPr="00D40EE3" w:rsidRDefault="00612EC7" w:rsidP="00612EC7">
            <w:pPr>
              <w:numPr>
                <w:ilvl w:val="1"/>
                <w:numId w:val="29"/>
              </w:numPr>
              <w:autoSpaceDE/>
              <w:autoSpaceDN/>
              <w:adjustRightInd/>
              <w:snapToGrid/>
              <w:spacing w:after="0"/>
              <w:jc w:val="left"/>
              <w:rPr>
                <w:lang w:eastAsia="x-none"/>
              </w:rPr>
            </w:pPr>
            <w:r w:rsidRPr="00D40EE3">
              <w:rPr>
                <w:lang w:eastAsia="x-none"/>
              </w:rPr>
              <w:t>At least for 120 kHz SCS, single-slot scheduling with slot-based monitoring will still be supported as specified in Rel-15/Rel-16</w:t>
            </w:r>
          </w:p>
          <w:p w14:paraId="6E621A81" w14:textId="77777777" w:rsidR="00612EC7" w:rsidRPr="00D40EE3" w:rsidRDefault="00612EC7" w:rsidP="00612EC7">
            <w:pPr>
              <w:numPr>
                <w:ilvl w:val="0"/>
                <w:numId w:val="29"/>
              </w:numPr>
              <w:autoSpaceDE/>
              <w:autoSpaceDN/>
              <w:adjustRightInd/>
              <w:snapToGrid/>
              <w:spacing w:after="0"/>
              <w:jc w:val="left"/>
              <w:rPr>
                <w:lang w:eastAsia="x-none"/>
              </w:rPr>
            </w:pPr>
            <w:r w:rsidRPr="00D40EE3">
              <w:rPr>
                <w:lang w:eastAsia="x-none"/>
              </w:rPr>
              <w:t>The followings will not be considered in this WI.</w:t>
            </w:r>
          </w:p>
          <w:p w14:paraId="449FC711" w14:textId="77777777" w:rsidR="00612EC7" w:rsidRPr="00D40EE3" w:rsidRDefault="00612EC7" w:rsidP="00612EC7">
            <w:pPr>
              <w:numPr>
                <w:ilvl w:val="1"/>
                <w:numId w:val="29"/>
              </w:numPr>
              <w:autoSpaceDE/>
              <w:autoSpaceDN/>
              <w:adjustRightInd/>
              <w:snapToGrid/>
              <w:spacing w:after="0"/>
              <w:jc w:val="left"/>
              <w:rPr>
                <w:lang w:eastAsia="x-none"/>
              </w:rPr>
            </w:pPr>
            <w:r w:rsidRPr="00D40EE3">
              <w:rPr>
                <w:lang w:eastAsia="x-none"/>
              </w:rPr>
              <w:t>Single DCI to schedule both PDSCH(s) and PUSCH(s)</w:t>
            </w:r>
          </w:p>
          <w:p w14:paraId="40A4A8EC" w14:textId="77777777" w:rsidR="00612EC7" w:rsidRPr="00D40EE3" w:rsidRDefault="00612EC7" w:rsidP="00612EC7">
            <w:pPr>
              <w:numPr>
                <w:ilvl w:val="1"/>
                <w:numId w:val="29"/>
              </w:numPr>
              <w:autoSpaceDE/>
              <w:autoSpaceDN/>
              <w:adjustRightInd/>
              <w:snapToGrid/>
              <w:spacing w:after="0"/>
              <w:jc w:val="left"/>
              <w:rPr>
                <w:lang w:eastAsia="x-none"/>
              </w:rPr>
            </w:pPr>
            <w:r w:rsidRPr="00D40EE3">
              <w:rPr>
                <w:lang w:eastAsia="x-none"/>
              </w:rPr>
              <w:t>Single DCI to schedule one or multiple TBs where any single TB can be mapped over multiple slots, where mapping is not by repetition</w:t>
            </w:r>
          </w:p>
          <w:p w14:paraId="07F14619" w14:textId="77777777" w:rsidR="00612EC7" w:rsidRPr="00D40EE3" w:rsidRDefault="00612EC7" w:rsidP="00612EC7">
            <w:pPr>
              <w:numPr>
                <w:ilvl w:val="1"/>
                <w:numId w:val="29"/>
              </w:numPr>
              <w:autoSpaceDE/>
              <w:autoSpaceDN/>
              <w:adjustRightInd/>
              <w:snapToGrid/>
              <w:spacing w:after="0"/>
              <w:jc w:val="left"/>
              <w:rPr>
                <w:lang w:eastAsia="x-none"/>
              </w:rPr>
            </w:pPr>
            <w:r w:rsidRPr="00D40EE3">
              <w:rPr>
                <w:lang w:eastAsia="x-none"/>
              </w:rPr>
              <w:t>Single DCI to schedule N TBs (N&gt;1) where a TB can be repeated over multiple slots (or mini-slots)</w:t>
            </w:r>
          </w:p>
          <w:p w14:paraId="4E1AD0D3" w14:textId="42AAA3D5" w:rsidR="00612EC7" w:rsidRDefault="00612EC7" w:rsidP="00612EC7">
            <w:pPr>
              <w:numPr>
                <w:ilvl w:val="0"/>
                <w:numId w:val="29"/>
              </w:numPr>
              <w:autoSpaceDE/>
              <w:autoSpaceDN/>
              <w:adjustRightInd/>
              <w:snapToGrid/>
              <w:spacing w:after="0"/>
              <w:jc w:val="left"/>
              <w:rPr>
                <w:lang w:eastAsia="x-none"/>
              </w:rPr>
            </w:pPr>
            <w:r w:rsidRPr="00D40EE3">
              <w:rPr>
                <w:lang w:eastAsia="x-none"/>
              </w:rPr>
              <w:t>Note: This does not imply that existing slot aggregation and/or repetition for PDSCH and PUSCH by single DCI is precluded for the serving cell.</w:t>
            </w:r>
          </w:p>
          <w:p w14:paraId="275BF09B" w14:textId="77777777" w:rsidR="00612EC7" w:rsidRPr="00D40EE3" w:rsidRDefault="00612EC7" w:rsidP="00612EC7">
            <w:pPr>
              <w:autoSpaceDE/>
              <w:autoSpaceDN/>
              <w:adjustRightInd/>
              <w:snapToGrid/>
              <w:spacing w:after="0"/>
              <w:ind w:left="720"/>
              <w:jc w:val="left"/>
              <w:rPr>
                <w:lang w:eastAsia="x-none"/>
              </w:rPr>
            </w:pPr>
          </w:p>
          <w:p w14:paraId="1839D9E8" w14:textId="77777777" w:rsidR="00612EC7" w:rsidRDefault="00612EC7" w:rsidP="00612EC7">
            <w:pPr>
              <w:rPr>
                <w:lang w:eastAsia="x-none"/>
              </w:rPr>
            </w:pPr>
            <w:r w:rsidRPr="005E3B41">
              <w:rPr>
                <w:highlight w:val="green"/>
                <w:lang w:eastAsia="x-none"/>
              </w:rPr>
              <w:t>Agreement:</w:t>
            </w:r>
          </w:p>
          <w:p w14:paraId="7E69616F" w14:textId="77777777" w:rsidR="00612EC7" w:rsidRDefault="00612EC7" w:rsidP="00612EC7">
            <w:pPr>
              <w:pStyle w:val="ListParagraph"/>
              <w:spacing w:after="160" w:line="256" w:lineRule="auto"/>
              <w:ind w:left="0"/>
              <w:rPr>
                <w:rFonts w:eastAsia="Malgun Gothic"/>
              </w:rPr>
            </w:pPr>
            <w:r>
              <w:t xml:space="preserve">For generating </w:t>
            </w:r>
            <w:r>
              <w:rPr>
                <w:rFonts w:eastAsia="Malgun Gothic"/>
              </w:rPr>
              <w:t>type-2 HARQ-ACK codebook corresponding to DCI that can schedule multiple PDSCHs, the following alternatives can be considered to DAI counting and will be down-selected in RAN1#104bis-e.</w:t>
            </w:r>
          </w:p>
          <w:p w14:paraId="2BCBDC75" w14:textId="77777777" w:rsidR="00612EC7" w:rsidRDefault="00612EC7" w:rsidP="00612EC7">
            <w:pPr>
              <w:pStyle w:val="ListParagraph"/>
              <w:numPr>
                <w:ilvl w:val="0"/>
                <w:numId w:val="29"/>
              </w:numPr>
              <w:spacing w:after="160" w:line="256" w:lineRule="auto"/>
              <w:rPr>
                <w:rFonts w:eastAsia="Malgun Gothic"/>
              </w:rPr>
            </w:pPr>
            <w:r>
              <w:rPr>
                <w:rFonts w:eastAsia="Malgun Gothic"/>
              </w:rPr>
              <w:t>Alt 1: C-DAI/T-DAI is counted per DCI.</w:t>
            </w:r>
          </w:p>
          <w:p w14:paraId="46D5352B" w14:textId="77777777" w:rsidR="00612EC7" w:rsidRDefault="00612EC7" w:rsidP="00612EC7">
            <w:pPr>
              <w:pStyle w:val="ListParagraph"/>
              <w:numPr>
                <w:ilvl w:val="0"/>
                <w:numId w:val="29"/>
              </w:numPr>
              <w:spacing w:after="160" w:line="256" w:lineRule="auto"/>
              <w:rPr>
                <w:rFonts w:eastAsia="Malgun Gothic"/>
              </w:rPr>
            </w:pPr>
            <w:r>
              <w:rPr>
                <w:rFonts w:eastAsia="Malgun Gothic"/>
              </w:rPr>
              <w:t xml:space="preserve">Alt 2: </w:t>
            </w:r>
            <w:r>
              <w:rPr>
                <w:bCs/>
                <w:iCs/>
                <w:snapToGrid w:val="0"/>
              </w:rPr>
              <w:t>C-DAI/T-DAI is counted per PDSCH.</w:t>
            </w:r>
          </w:p>
          <w:p w14:paraId="7C658317" w14:textId="77777777" w:rsidR="00612EC7" w:rsidRDefault="00612EC7" w:rsidP="00612EC7">
            <w:pPr>
              <w:pStyle w:val="ListParagraph"/>
              <w:numPr>
                <w:ilvl w:val="0"/>
                <w:numId w:val="29"/>
              </w:numPr>
              <w:spacing w:after="160" w:line="256" w:lineRule="auto"/>
              <w:rPr>
                <w:rFonts w:eastAsia="Malgun Gothic"/>
              </w:rPr>
            </w:pPr>
            <w:r>
              <w:rPr>
                <w:rFonts w:eastAsia="Malgun Gothic"/>
              </w:rPr>
              <w:t xml:space="preserve">Alt 3: </w:t>
            </w:r>
            <w:r>
              <w:rPr>
                <w:bCs/>
                <w:iCs/>
                <w:snapToGrid w:val="0"/>
              </w:rPr>
              <w:t xml:space="preserve">C-DAI/T-DAI is counted </w:t>
            </w:r>
            <w:r>
              <w:rPr>
                <w:rStyle w:val="normaltextrun"/>
                <w:color w:val="000000"/>
                <w:shd w:val="clear" w:color="auto" w:fill="FFFFFF"/>
              </w:rPr>
              <w:t>per M scheduled PDSCH(s), where M is configurable (e.g., 1, 2, 4, …)</w:t>
            </w:r>
            <w:r>
              <w:rPr>
                <w:bCs/>
                <w:iCs/>
                <w:snapToGrid w:val="0"/>
              </w:rPr>
              <w:t>.</w:t>
            </w:r>
          </w:p>
          <w:p w14:paraId="5D630CB4" w14:textId="77777777" w:rsidR="00612EC7" w:rsidRDefault="00612EC7" w:rsidP="00612EC7">
            <w:pPr>
              <w:pStyle w:val="ListParagraph"/>
              <w:numPr>
                <w:ilvl w:val="0"/>
                <w:numId w:val="29"/>
              </w:numPr>
              <w:spacing w:after="160" w:line="256" w:lineRule="auto"/>
              <w:rPr>
                <w:rFonts w:eastAsia="Malgun Gothic"/>
              </w:rPr>
            </w:pPr>
            <w:r>
              <w:rPr>
                <w:rFonts w:eastAsia="Malgun Gothic" w:hint="eastAsia"/>
                <w:lang w:eastAsia="ko-KR"/>
              </w:rPr>
              <w:t>FFS</w:t>
            </w:r>
            <w:r>
              <w:rPr>
                <w:rFonts w:eastAsia="Malgun Gothic"/>
                <w:lang w:eastAsia="ko-KR"/>
              </w:rPr>
              <w:t>: C</w:t>
            </w:r>
            <w:r>
              <w:rPr>
                <w:rFonts w:eastAsia="Malgun Gothic" w:hint="eastAsia"/>
                <w:lang w:eastAsia="ko-KR"/>
              </w:rPr>
              <w:t>odebook generation details</w:t>
            </w:r>
          </w:p>
          <w:p w14:paraId="3BEB3F44" w14:textId="77777777" w:rsidR="00612EC7" w:rsidRDefault="00612EC7" w:rsidP="00612EC7">
            <w:pPr>
              <w:pStyle w:val="ListParagraph"/>
              <w:numPr>
                <w:ilvl w:val="0"/>
                <w:numId w:val="29"/>
              </w:numPr>
              <w:spacing w:after="160" w:line="256" w:lineRule="auto"/>
              <w:rPr>
                <w:rFonts w:eastAsia="Malgun Gothic"/>
              </w:rPr>
            </w:pPr>
            <w:r>
              <w:rPr>
                <w:bCs/>
                <w:iCs/>
                <w:snapToGrid w:val="0"/>
              </w:rPr>
              <w:t>FFS: How to signal DAI values (e.g., increase of DAI bits for Alt 2 and Alt 3)</w:t>
            </w:r>
          </w:p>
          <w:p w14:paraId="4AE6E06E" w14:textId="77777777" w:rsidR="00612EC7" w:rsidRDefault="00612EC7" w:rsidP="00612EC7">
            <w:pPr>
              <w:pStyle w:val="ListParagraph"/>
              <w:numPr>
                <w:ilvl w:val="0"/>
                <w:numId w:val="29"/>
              </w:numPr>
              <w:spacing w:after="160" w:line="256" w:lineRule="auto"/>
              <w:rPr>
                <w:rFonts w:eastAsia="Malgun Gothic"/>
              </w:rPr>
            </w:pPr>
            <w:r>
              <w:rPr>
                <w:bCs/>
                <w:iCs/>
                <w:snapToGrid w:val="0"/>
              </w:rPr>
              <w:t xml:space="preserve">FFS: </w:t>
            </w:r>
            <w:r>
              <w:rPr>
                <w:rFonts w:eastAsia="Malgun Gothic"/>
              </w:rPr>
              <w:t xml:space="preserve">Whether to apply </w:t>
            </w:r>
            <w:r>
              <w:rPr>
                <w:bCs/>
                <w:iCs/>
                <w:snapToGrid w:val="0"/>
              </w:rPr>
              <w:t>time domain bundling of HARQ-ACK feedback</w:t>
            </w:r>
          </w:p>
          <w:p w14:paraId="68A8896C" w14:textId="77777777" w:rsidR="00C60767" w:rsidRPr="00612EC7" w:rsidRDefault="00C60767" w:rsidP="00612EC7">
            <w:pPr>
              <w:spacing w:after="0" w:line="252" w:lineRule="auto"/>
              <w:jc w:val="left"/>
            </w:pPr>
          </w:p>
        </w:tc>
      </w:tr>
    </w:tbl>
    <w:p w14:paraId="21AFE860" w14:textId="2A877D45" w:rsidR="00C60767" w:rsidRDefault="00C60767" w:rsidP="00C60767"/>
    <w:p w14:paraId="2ADD82AE" w14:textId="33338B0F" w:rsidR="00B319AD" w:rsidRDefault="00B319AD" w:rsidP="00C60767">
      <w:r>
        <w:lastRenderedPageBreak/>
        <w:t xml:space="preserve">In this section, we provide our views/designs on two relevant aspects to the multi-PDSCH enhancement, one on HARQ-ACK feedback for multi-PDSCH </w:t>
      </w:r>
      <w:r w:rsidR="00794133">
        <w:t>and another on DMRS re</w:t>
      </w:r>
      <w:r w:rsidR="00EB5E13">
        <w:t>allocation</w:t>
      </w:r>
      <w:r w:rsidR="00794133">
        <w:t xml:space="preserve"> for multi-PDSCH. </w:t>
      </w:r>
    </w:p>
    <w:p w14:paraId="49441EAF" w14:textId="57732629" w:rsidR="00A65191" w:rsidRDefault="00A65191" w:rsidP="00A65191">
      <w:pPr>
        <w:pStyle w:val="Heading3"/>
      </w:pPr>
      <w:r>
        <w:t>HARQ</w:t>
      </w:r>
      <w:r w:rsidR="00B319AD">
        <w:t>-ACK</w:t>
      </w:r>
      <w:r>
        <w:t xml:space="preserve"> feedback for multi-PDSCH</w:t>
      </w:r>
    </w:p>
    <w:p w14:paraId="555A0E3E" w14:textId="2E6DDC34" w:rsidR="00A65191" w:rsidRDefault="00D82FEA" w:rsidP="00A65191">
      <w:r>
        <w:t xml:space="preserve">During the last meeting, companies had considered a few ways of dynamic HARQ-ACK codebook design, including </w:t>
      </w:r>
      <w:r w:rsidR="00366199">
        <w:t xml:space="preserve">bundling to reduce the number of feedback bits. While </w:t>
      </w:r>
      <w:r w:rsidR="00366199">
        <w:rPr>
          <w:lang w:val="en-GB"/>
        </w:rPr>
        <w:t>in case the number of scheduled PDSCHs by a DCI is smaller than the number of bundles</w:t>
      </w:r>
      <w:r w:rsidR="00366199" w:rsidRPr="00393D1D">
        <w:rPr>
          <w:lang w:val="en-GB"/>
        </w:rPr>
        <w:t xml:space="preserve">, the </w:t>
      </w:r>
      <w:r w:rsidR="00366199">
        <w:rPr>
          <w:lang w:val="en-GB"/>
        </w:rPr>
        <w:t xml:space="preserve">corresponding HARQ feedback bits in the codebook will be set to NACK. </w:t>
      </w:r>
      <w:r w:rsidR="00366199">
        <w:t>Also, the codebook corresponding to multiple DAIs with ACK/NACK information of the corresponding PDSCHs is carried by a single PUCCH, which may degrade the detection error performance of PUCCH if the payload is much larger than the single-PDSCH case. We thus</w:t>
      </w:r>
      <w:r w:rsidR="00794133" w:rsidRPr="00794133">
        <w:t xml:space="preserve"> consider the tradeoff between efficiency and reliability of HARQ feedback by a more deterministic scheduling:</w:t>
      </w:r>
    </w:p>
    <w:p w14:paraId="4E0E2D7A" w14:textId="4F2252F5" w:rsidR="00794133" w:rsidRPr="00794133" w:rsidRDefault="00794133" w:rsidP="00794133">
      <w:pPr>
        <w:pStyle w:val="ListParagraph"/>
        <w:numPr>
          <w:ilvl w:val="1"/>
          <w:numId w:val="17"/>
        </w:numPr>
        <w:ind w:left="648"/>
      </w:pPr>
      <w:bookmarkStart w:id="3" w:name="_Hlk67224240"/>
      <w:r w:rsidRPr="00794133">
        <w:t xml:space="preserve">For each DAI value, the number of PDSCHs scheduled by the DCI is unchanged if SCS is fixed, e.g., 4 for 480kHz </w:t>
      </w:r>
      <w:r w:rsidR="00366199">
        <w:t xml:space="preserve">SCS </w:t>
      </w:r>
      <w:r w:rsidRPr="00794133">
        <w:t>and 8 for 960kHz</w:t>
      </w:r>
      <w:r w:rsidR="00366199">
        <w:t xml:space="preserve"> SCS</w:t>
      </w:r>
      <w:r w:rsidRPr="00794133">
        <w:t>;</w:t>
      </w:r>
    </w:p>
    <w:p w14:paraId="10F3825B" w14:textId="4B70DDDE" w:rsidR="00794133" w:rsidRPr="00794133" w:rsidRDefault="00794133" w:rsidP="00794133">
      <w:pPr>
        <w:pStyle w:val="ListParagraph"/>
        <w:numPr>
          <w:ilvl w:val="1"/>
          <w:numId w:val="17"/>
        </w:numPr>
        <w:ind w:left="648"/>
      </w:pPr>
      <w:r w:rsidRPr="00794133">
        <w:t xml:space="preserve">Bundling is supported for the multi-PDSCH and the bundling size is kept a fixed value for each DAI value, e.g., 2 for </w:t>
      </w:r>
      <w:r w:rsidR="00366199" w:rsidRPr="00794133">
        <w:t xml:space="preserve">480kHz </w:t>
      </w:r>
      <w:r w:rsidR="00366199">
        <w:t xml:space="preserve">SCS </w:t>
      </w:r>
      <w:r w:rsidRPr="00794133">
        <w:t xml:space="preserve">and 4 for </w:t>
      </w:r>
      <w:r w:rsidR="00366199" w:rsidRPr="00794133">
        <w:t>960kHz</w:t>
      </w:r>
      <w:r w:rsidR="00366199">
        <w:t xml:space="preserve"> SCS</w:t>
      </w:r>
      <w:r w:rsidR="00366199" w:rsidRPr="00794133">
        <w:t xml:space="preserve"> </w:t>
      </w:r>
      <w:r w:rsidRPr="00794133">
        <w:t>in order to avoid excessive size of HARQ codebook</w:t>
      </w:r>
      <w:r w:rsidR="00366199">
        <w:t xml:space="preserve"> payload</w:t>
      </w:r>
      <w:r w:rsidRPr="00794133">
        <w:t>;</w:t>
      </w:r>
    </w:p>
    <w:p w14:paraId="565DAB89" w14:textId="2F329712" w:rsidR="00794133" w:rsidRPr="00794133" w:rsidRDefault="00794133" w:rsidP="00A65191">
      <w:pPr>
        <w:pStyle w:val="ListParagraph"/>
        <w:numPr>
          <w:ilvl w:val="1"/>
          <w:numId w:val="17"/>
        </w:numPr>
        <w:ind w:left="648"/>
      </w:pPr>
      <w:r w:rsidRPr="00794133">
        <w:t xml:space="preserve">Due to increased feedback HARQ-ACK bits associated multi-PDSCH, support multi-PUCCH or PUCCH repetition to maintain coverage. The number of PUCCH occasions is no less than 1 and small than the DAI value carried in the most recent scheduling DCI. </w:t>
      </w:r>
      <w:bookmarkEnd w:id="3"/>
    </w:p>
    <w:p w14:paraId="7AE14539" w14:textId="77777777" w:rsidR="00A65191" w:rsidRDefault="00A65191" w:rsidP="00A65191">
      <w:pPr>
        <w:jc w:val="center"/>
      </w:pPr>
      <w:r>
        <w:rPr>
          <w:noProof/>
        </w:rPr>
        <w:drawing>
          <wp:inline distT="0" distB="0" distL="0" distR="0" wp14:anchorId="55D23EF0" wp14:editId="7DC55C45">
            <wp:extent cx="4459736" cy="1573855"/>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90210" cy="1584609"/>
                    </a:xfrm>
                    <a:prstGeom prst="rect">
                      <a:avLst/>
                    </a:prstGeom>
                  </pic:spPr>
                </pic:pic>
              </a:graphicData>
            </a:graphic>
          </wp:inline>
        </w:drawing>
      </w:r>
    </w:p>
    <w:p w14:paraId="659828D3" w14:textId="078EE67F" w:rsidR="008771DE" w:rsidRDefault="00A65191" w:rsidP="008771DE">
      <w:pPr>
        <w:jc w:val="center"/>
        <w:rPr>
          <w:sz w:val="20"/>
          <w:szCs w:val="20"/>
        </w:rPr>
      </w:pPr>
      <w:r w:rsidRPr="00C60767">
        <w:rPr>
          <w:sz w:val="20"/>
          <w:szCs w:val="20"/>
        </w:rPr>
        <w:t>Figure</w:t>
      </w:r>
      <w:r w:rsidR="00794133">
        <w:rPr>
          <w:sz w:val="20"/>
          <w:szCs w:val="20"/>
        </w:rPr>
        <w:t xml:space="preserve"> 13.</w:t>
      </w:r>
      <w:r w:rsidRPr="00C60767">
        <w:rPr>
          <w:sz w:val="20"/>
          <w:szCs w:val="20"/>
        </w:rPr>
        <w:t xml:space="preserve"> </w:t>
      </w:r>
      <w:r w:rsidR="00794133">
        <w:rPr>
          <w:sz w:val="20"/>
          <w:szCs w:val="20"/>
        </w:rPr>
        <w:t>HARQ feedback with multiple PUCCH occasions</w:t>
      </w:r>
      <w:r w:rsidRPr="00C60767">
        <w:rPr>
          <w:sz w:val="20"/>
          <w:szCs w:val="20"/>
        </w:rPr>
        <w:t>.</w:t>
      </w:r>
    </w:p>
    <w:p w14:paraId="102D444C" w14:textId="77777777" w:rsidR="008771DE" w:rsidRDefault="008771DE" w:rsidP="008771DE">
      <w:pPr>
        <w:jc w:val="center"/>
        <w:rPr>
          <w:sz w:val="20"/>
          <w:szCs w:val="20"/>
        </w:rPr>
      </w:pPr>
    </w:p>
    <w:p w14:paraId="23A80CF3" w14:textId="27920D09" w:rsidR="00C44039" w:rsidRPr="00BC3633" w:rsidRDefault="00C44039" w:rsidP="00C44039">
      <w:pPr>
        <w:rPr>
          <w:b/>
          <w:bCs/>
          <w:i/>
          <w:iCs/>
        </w:rPr>
      </w:pPr>
      <w:r w:rsidRPr="00F445F8">
        <w:rPr>
          <w:b/>
          <w:bCs/>
          <w:i/>
          <w:iCs/>
        </w:rPr>
        <w:t xml:space="preserve">Observation </w:t>
      </w:r>
      <w:r w:rsidR="005D4A30">
        <w:rPr>
          <w:b/>
          <w:bCs/>
          <w:i/>
          <w:iCs/>
        </w:rPr>
        <w:t>8</w:t>
      </w:r>
      <w:r w:rsidRPr="00F445F8">
        <w:rPr>
          <w:b/>
          <w:bCs/>
          <w:i/>
          <w:iCs/>
        </w:rPr>
        <w:t xml:space="preserve">: </w:t>
      </w:r>
      <w:r>
        <w:rPr>
          <w:b/>
          <w:bCs/>
          <w:i/>
          <w:iCs/>
        </w:rPr>
        <w:t xml:space="preserve"> The dynamic HARQ-ACK codebook design proposed during RAN1#104e can be simplified to achieve a tradeoff between efficiency and reliability, e.g.</w:t>
      </w:r>
      <w:r w:rsidR="008771DE">
        <w:rPr>
          <w:b/>
          <w:bCs/>
          <w:i/>
          <w:iCs/>
        </w:rPr>
        <w:t>,</w:t>
      </w:r>
      <w:r>
        <w:rPr>
          <w:b/>
          <w:bCs/>
          <w:i/>
          <w:iCs/>
        </w:rPr>
        <w:t xml:space="preserve"> by fixing the size of multi-PDSCH corresponding to SCS and fixing the bundling size for multi-PDSCH. To improve detection performance of a codebook with increased payload, multi-PUCCH may be considered instead of single PUCCH for multi-PDSCH.   </w:t>
      </w:r>
    </w:p>
    <w:p w14:paraId="239293FD" w14:textId="77777777" w:rsidR="00A65191" w:rsidRPr="00C60767" w:rsidRDefault="00A65191" w:rsidP="00C60767"/>
    <w:p w14:paraId="3019E03C" w14:textId="2B919012" w:rsidR="00CB5474" w:rsidRDefault="00415D1D" w:rsidP="00415D1D">
      <w:pPr>
        <w:pStyle w:val="Heading3"/>
      </w:pPr>
      <w:r w:rsidRPr="00415D1D">
        <w:t xml:space="preserve">DMRS </w:t>
      </w:r>
      <w:r w:rsidR="00EB5E13">
        <w:t>Reallocation</w:t>
      </w:r>
      <w:r>
        <w:t xml:space="preserve"> for multi-PDSCH</w:t>
      </w:r>
      <w:r w:rsidR="00EB5E13">
        <w:t>/PUSCH</w:t>
      </w:r>
      <w:r>
        <w:t xml:space="preserve"> </w:t>
      </w:r>
    </w:p>
    <w:p w14:paraId="1DF770CA" w14:textId="57BDCDEE" w:rsidR="00EB5E13" w:rsidRPr="00EB5E13" w:rsidRDefault="00612EC7" w:rsidP="00EB5E13">
      <w:r>
        <w:t xml:space="preserve">The slot duration associated with </w:t>
      </w:r>
      <w:r w:rsidR="00FD1E57">
        <w:t xml:space="preserve">the </w:t>
      </w:r>
      <w:r>
        <w:t xml:space="preserve">higher SCSs, especially 960kHz SCS, is much shorter than </w:t>
      </w:r>
      <w:r w:rsidR="00FD1E57">
        <w:t xml:space="preserve">that of the lower SCSs, and therefore less channel variation across multiple slots is expected. In the meantime, for a </w:t>
      </w:r>
      <w:r w:rsidR="008771DE">
        <w:t xml:space="preserve">SCS </w:t>
      </w:r>
      <w:r w:rsidR="00FD1E57">
        <w:t xml:space="preserve">960kHz multi-PDSCH as shown in </w:t>
      </w:r>
      <w:r w:rsidR="0001291A">
        <w:t xml:space="preserve">Figure 14, finer granularity is available such that the DMRS symbols can be jointly reallocated across </w:t>
      </w:r>
      <w:r w:rsidR="00137D36">
        <w:t xml:space="preserve">different symbols on </w:t>
      </w:r>
      <w:r w:rsidR="0001291A">
        <w:t xml:space="preserve">multiple slots. </w:t>
      </w:r>
      <w:r w:rsidR="00137D36">
        <w:t>Figure 15 shows the</w:t>
      </w:r>
      <w:r w:rsidR="004E042C">
        <w:t xml:space="preserve"> BLER</w:t>
      </w:r>
      <w:r w:rsidR="00137D36">
        <w:t xml:space="preserve"> gain of the proposed DMRS reallocation over the</w:t>
      </w:r>
      <w:r w:rsidR="004E042C">
        <w:t xml:space="preserve"> </w:t>
      </w:r>
      <w:r w:rsidR="00137D36">
        <w:t>legacy</w:t>
      </w:r>
      <w:r w:rsidR="004E042C">
        <w:t xml:space="preserve"> allocation</w:t>
      </w:r>
      <w:r w:rsidR="00137D36">
        <w:t xml:space="preserve"> for one case with delay spread 10ns. </w:t>
      </w:r>
      <w:r w:rsidR="004E042C">
        <w:t xml:space="preserve">  </w:t>
      </w:r>
    </w:p>
    <w:p w14:paraId="491A078C" w14:textId="31708EA6" w:rsidR="003D001E" w:rsidRDefault="00FD1E57" w:rsidP="003D001E">
      <w:pPr>
        <w:jc w:val="center"/>
      </w:pPr>
      <w:r>
        <w:rPr>
          <w:noProof/>
        </w:rPr>
        <w:lastRenderedPageBreak/>
        <w:drawing>
          <wp:inline distT="0" distB="0" distL="0" distR="0" wp14:anchorId="461D3206" wp14:editId="4CA08A20">
            <wp:extent cx="4877221" cy="213473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88544" cy="2139689"/>
                    </a:xfrm>
                    <a:prstGeom prst="rect">
                      <a:avLst/>
                    </a:prstGeom>
                  </pic:spPr>
                </pic:pic>
              </a:graphicData>
            </a:graphic>
          </wp:inline>
        </w:drawing>
      </w:r>
    </w:p>
    <w:p w14:paraId="529BD2D6" w14:textId="33A1C6E4" w:rsidR="003D001E" w:rsidRDefault="003D001E" w:rsidP="003D001E">
      <w:pPr>
        <w:jc w:val="center"/>
        <w:rPr>
          <w:sz w:val="20"/>
          <w:szCs w:val="20"/>
        </w:rPr>
      </w:pPr>
      <w:r w:rsidRPr="00C60767">
        <w:rPr>
          <w:sz w:val="20"/>
          <w:szCs w:val="20"/>
        </w:rPr>
        <w:t xml:space="preserve">Figure </w:t>
      </w:r>
      <w:r w:rsidR="00FD1E57">
        <w:rPr>
          <w:sz w:val="20"/>
          <w:szCs w:val="20"/>
        </w:rPr>
        <w:t>14</w:t>
      </w:r>
      <w:r w:rsidRPr="00C60767">
        <w:rPr>
          <w:sz w:val="20"/>
          <w:szCs w:val="20"/>
        </w:rPr>
        <w:t xml:space="preserve">. </w:t>
      </w:r>
      <w:r w:rsidR="00FD1E57">
        <w:rPr>
          <w:sz w:val="20"/>
          <w:szCs w:val="20"/>
        </w:rPr>
        <w:t xml:space="preserve">Legacy DMRS patterns for </w:t>
      </w:r>
      <w:r w:rsidR="0001291A">
        <w:rPr>
          <w:sz w:val="20"/>
          <w:szCs w:val="20"/>
        </w:rPr>
        <w:t>the</w:t>
      </w:r>
      <w:r w:rsidR="00FD1E57">
        <w:rPr>
          <w:sz w:val="20"/>
          <w:szCs w:val="20"/>
        </w:rPr>
        <w:t xml:space="preserve"> 120kHz SCS slot, </w:t>
      </w:r>
      <w:r w:rsidR="0001291A">
        <w:rPr>
          <w:sz w:val="20"/>
          <w:szCs w:val="20"/>
        </w:rPr>
        <w:t xml:space="preserve">the 960kHz SCS multi-slot, and proposed DMRS pattern for the 960kHz SCS multi-slot. </w:t>
      </w:r>
    </w:p>
    <w:p w14:paraId="6057E3E8" w14:textId="77777777" w:rsidR="008771DE" w:rsidRPr="00C60767" w:rsidRDefault="008771DE" w:rsidP="003D001E">
      <w:pPr>
        <w:jc w:val="center"/>
        <w:rPr>
          <w:sz w:val="20"/>
          <w:szCs w:val="20"/>
        </w:rPr>
      </w:pPr>
    </w:p>
    <w:p w14:paraId="0BFDFF20" w14:textId="58BE3426" w:rsidR="00415D1D" w:rsidRDefault="009F1C13" w:rsidP="00623ABF">
      <w:pPr>
        <w:jc w:val="center"/>
        <w:rPr>
          <w:b/>
          <w:bCs/>
        </w:rPr>
      </w:pPr>
      <w:r w:rsidRPr="009F1C13">
        <w:rPr>
          <w:noProof/>
        </w:rPr>
        <w:t xml:space="preserve"> </w:t>
      </w:r>
      <w:r>
        <w:rPr>
          <w:noProof/>
        </w:rPr>
        <w:drawing>
          <wp:inline distT="0" distB="0" distL="0" distR="0" wp14:anchorId="01AAE296" wp14:editId="69F376C0">
            <wp:extent cx="3839699" cy="1991764"/>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79175" cy="2012241"/>
                    </a:xfrm>
                    <a:prstGeom prst="rect">
                      <a:avLst/>
                    </a:prstGeom>
                  </pic:spPr>
                </pic:pic>
              </a:graphicData>
            </a:graphic>
          </wp:inline>
        </w:drawing>
      </w:r>
    </w:p>
    <w:p w14:paraId="37955C1C" w14:textId="26CF1546" w:rsidR="00E82C27" w:rsidRDefault="00E82C27" w:rsidP="00E82C27">
      <w:pPr>
        <w:jc w:val="center"/>
        <w:rPr>
          <w:sz w:val="20"/>
          <w:szCs w:val="20"/>
        </w:rPr>
      </w:pPr>
      <w:r w:rsidRPr="00C60767">
        <w:rPr>
          <w:sz w:val="20"/>
          <w:szCs w:val="20"/>
        </w:rPr>
        <w:t>Figure</w:t>
      </w:r>
      <w:r>
        <w:rPr>
          <w:sz w:val="20"/>
          <w:szCs w:val="20"/>
        </w:rPr>
        <w:t xml:space="preserve"> 15</w:t>
      </w:r>
      <w:r w:rsidRPr="00C60767">
        <w:rPr>
          <w:sz w:val="20"/>
          <w:szCs w:val="20"/>
        </w:rPr>
        <w:t>.</w:t>
      </w:r>
      <w:r w:rsidRPr="00EB7E20">
        <w:rPr>
          <w:sz w:val="20"/>
          <w:szCs w:val="20"/>
        </w:rPr>
        <w:t xml:space="preserve"> </w:t>
      </w:r>
      <w:r>
        <w:rPr>
          <w:sz w:val="20"/>
          <w:szCs w:val="20"/>
        </w:rPr>
        <w:t xml:space="preserve">BLER of multi-PDSCH with legacy DMRS vs DMRS reallocation under 960kHz SCS. </w:t>
      </w:r>
    </w:p>
    <w:p w14:paraId="716FD7AC" w14:textId="77777777" w:rsidR="008771DE" w:rsidRDefault="008771DE" w:rsidP="00E82C27">
      <w:pPr>
        <w:jc w:val="center"/>
        <w:rPr>
          <w:sz w:val="20"/>
          <w:szCs w:val="20"/>
        </w:rPr>
      </w:pPr>
    </w:p>
    <w:p w14:paraId="52F17215" w14:textId="2F26B577" w:rsidR="00137D36" w:rsidRPr="00BC3633" w:rsidRDefault="00137D36" w:rsidP="00137D36">
      <w:pPr>
        <w:rPr>
          <w:b/>
          <w:bCs/>
          <w:i/>
          <w:iCs/>
        </w:rPr>
      </w:pPr>
      <w:r w:rsidRPr="00F445F8">
        <w:rPr>
          <w:b/>
          <w:bCs/>
          <w:i/>
          <w:iCs/>
        </w:rPr>
        <w:t xml:space="preserve">Observation </w:t>
      </w:r>
      <w:r w:rsidR="00A70563">
        <w:rPr>
          <w:b/>
          <w:bCs/>
          <w:i/>
          <w:iCs/>
        </w:rPr>
        <w:t>9</w:t>
      </w:r>
      <w:r w:rsidRPr="00F445F8">
        <w:rPr>
          <w:b/>
          <w:bCs/>
          <w:i/>
          <w:iCs/>
        </w:rPr>
        <w:t xml:space="preserve">: </w:t>
      </w:r>
      <w:r>
        <w:rPr>
          <w:b/>
          <w:bCs/>
          <w:i/>
          <w:iCs/>
        </w:rPr>
        <w:t xml:space="preserve"> Channel </w:t>
      </w:r>
      <w:r w:rsidR="00291A79">
        <w:rPr>
          <w:b/>
          <w:bCs/>
          <w:i/>
          <w:iCs/>
        </w:rPr>
        <w:t>differences</w:t>
      </w:r>
      <w:r>
        <w:rPr>
          <w:b/>
          <w:bCs/>
          <w:i/>
          <w:iCs/>
        </w:rPr>
        <w:t xml:space="preserve"> </w:t>
      </w:r>
      <w:r w:rsidR="00291A79">
        <w:rPr>
          <w:b/>
          <w:bCs/>
          <w:i/>
          <w:iCs/>
        </w:rPr>
        <w:t>between</w:t>
      </w:r>
      <w:r>
        <w:rPr>
          <w:b/>
          <w:bCs/>
          <w:i/>
          <w:iCs/>
        </w:rPr>
        <w:t xml:space="preserve"> </w:t>
      </w:r>
      <w:r w:rsidR="00291A79">
        <w:rPr>
          <w:b/>
          <w:bCs/>
          <w:i/>
          <w:iCs/>
        </w:rPr>
        <w:t>consecutive</w:t>
      </w:r>
      <w:r>
        <w:rPr>
          <w:b/>
          <w:bCs/>
          <w:i/>
          <w:iCs/>
        </w:rPr>
        <w:t xml:space="preserve"> slots </w:t>
      </w:r>
      <w:r w:rsidR="00291A79">
        <w:rPr>
          <w:b/>
          <w:bCs/>
          <w:i/>
          <w:iCs/>
        </w:rPr>
        <w:t>of multi-PDSCH/PUSCH under</w:t>
      </w:r>
      <w:r>
        <w:rPr>
          <w:b/>
          <w:bCs/>
          <w:i/>
          <w:iCs/>
        </w:rPr>
        <w:t xml:space="preserve"> higher SCS </w:t>
      </w:r>
      <w:r w:rsidR="00291A79">
        <w:rPr>
          <w:b/>
          <w:bCs/>
          <w:i/>
          <w:iCs/>
        </w:rPr>
        <w:t>are</w:t>
      </w:r>
      <w:r>
        <w:rPr>
          <w:b/>
          <w:bCs/>
          <w:i/>
          <w:iCs/>
        </w:rPr>
        <w:t xml:space="preserve"> </w:t>
      </w:r>
      <w:r w:rsidR="00291A79">
        <w:rPr>
          <w:b/>
          <w:bCs/>
          <w:i/>
          <w:iCs/>
        </w:rPr>
        <w:t xml:space="preserve">typically </w:t>
      </w:r>
      <w:r>
        <w:rPr>
          <w:b/>
          <w:bCs/>
          <w:i/>
          <w:iCs/>
        </w:rPr>
        <w:t xml:space="preserve">smaller than </w:t>
      </w:r>
      <w:r w:rsidR="00291A79">
        <w:rPr>
          <w:b/>
          <w:bCs/>
          <w:i/>
          <w:iCs/>
        </w:rPr>
        <w:t xml:space="preserve">that of the </w:t>
      </w:r>
      <w:r>
        <w:rPr>
          <w:b/>
          <w:bCs/>
          <w:i/>
          <w:iCs/>
        </w:rPr>
        <w:t>lower SCS</w:t>
      </w:r>
      <w:r w:rsidR="00291A79">
        <w:rPr>
          <w:b/>
          <w:bCs/>
          <w:i/>
          <w:iCs/>
        </w:rPr>
        <w:t>s</w:t>
      </w:r>
      <w:r>
        <w:rPr>
          <w:b/>
          <w:bCs/>
          <w:i/>
          <w:iCs/>
        </w:rPr>
        <w:t xml:space="preserve">, such that </w:t>
      </w:r>
      <w:r w:rsidR="00291A79">
        <w:rPr>
          <w:b/>
          <w:bCs/>
          <w:i/>
          <w:iCs/>
        </w:rPr>
        <w:t xml:space="preserve">one may take advantage </w:t>
      </w:r>
      <w:r w:rsidR="00813612">
        <w:rPr>
          <w:b/>
          <w:bCs/>
          <w:i/>
          <w:iCs/>
        </w:rPr>
        <w:t>of a non</w:t>
      </w:r>
      <w:r w:rsidR="00A70563">
        <w:rPr>
          <w:b/>
          <w:bCs/>
          <w:i/>
          <w:iCs/>
        </w:rPr>
        <w:t>-</w:t>
      </w:r>
      <w:r w:rsidR="00813612">
        <w:rPr>
          <w:b/>
          <w:bCs/>
          <w:i/>
          <w:iCs/>
        </w:rPr>
        <w:t>uniform DMRS allocation</w:t>
      </w:r>
      <w:r>
        <w:rPr>
          <w:b/>
          <w:bCs/>
          <w:i/>
          <w:iCs/>
        </w:rPr>
        <w:t xml:space="preserve"> to </w:t>
      </w:r>
      <w:r w:rsidR="00813612">
        <w:rPr>
          <w:b/>
          <w:bCs/>
          <w:i/>
          <w:iCs/>
        </w:rPr>
        <w:t xml:space="preserve">improve </w:t>
      </w:r>
      <w:r w:rsidR="00A02172">
        <w:rPr>
          <w:b/>
          <w:bCs/>
          <w:i/>
          <w:iCs/>
        </w:rPr>
        <w:t xml:space="preserve">the </w:t>
      </w:r>
      <w:r w:rsidR="00291A79">
        <w:rPr>
          <w:b/>
          <w:bCs/>
          <w:i/>
          <w:iCs/>
        </w:rPr>
        <w:t xml:space="preserve">CE </w:t>
      </w:r>
      <w:r>
        <w:rPr>
          <w:b/>
          <w:bCs/>
          <w:i/>
          <w:iCs/>
        </w:rPr>
        <w:t xml:space="preserve">accuracy. </w:t>
      </w:r>
    </w:p>
    <w:p w14:paraId="706DBF2B" w14:textId="376AB163" w:rsidR="00A02172" w:rsidRPr="00B5178D" w:rsidRDefault="00A02172" w:rsidP="00A02172">
      <w:pPr>
        <w:rPr>
          <w:b/>
          <w:bCs/>
          <w:i/>
          <w:iCs/>
        </w:rPr>
      </w:pPr>
      <w:r w:rsidRPr="0046041F">
        <w:rPr>
          <w:b/>
          <w:bCs/>
          <w:i/>
          <w:iCs/>
        </w:rPr>
        <w:t xml:space="preserve">Proposal </w:t>
      </w:r>
      <w:r>
        <w:rPr>
          <w:b/>
          <w:bCs/>
          <w:i/>
          <w:iCs/>
        </w:rPr>
        <w:t>4</w:t>
      </w:r>
      <w:r w:rsidRPr="0046041F">
        <w:rPr>
          <w:b/>
          <w:bCs/>
          <w:i/>
          <w:iCs/>
        </w:rPr>
        <w:t>:</w:t>
      </w:r>
      <w:r>
        <w:rPr>
          <w:b/>
          <w:bCs/>
          <w:i/>
          <w:iCs/>
        </w:rPr>
        <w:t xml:space="preserve"> Consider </w:t>
      </w:r>
      <w:r w:rsidR="00813612">
        <w:rPr>
          <w:b/>
          <w:bCs/>
          <w:i/>
          <w:iCs/>
        </w:rPr>
        <w:t>non</w:t>
      </w:r>
      <w:r w:rsidR="00B41E07">
        <w:rPr>
          <w:b/>
          <w:bCs/>
          <w:i/>
          <w:iCs/>
        </w:rPr>
        <w:t>-</w:t>
      </w:r>
      <w:r w:rsidR="00813612">
        <w:rPr>
          <w:b/>
          <w:bCs/>
          <w:i/>
          <w:iCs/>
        </w:rPr>
        <w:t xml:space="preserve">uniform </w:t>
      </w:r>
      <w:r>
        <w:rPr>
          <w:b/>
          <w:bCs/>
          <w:i/>
          <w:iCs/>
        </w:rPr>
        <w:t xml:space="preserve">DMRS reallocation in the time-domain to improve CE for multi-PDSCH/PUSCH. </w:t>
      </w:r>
    </w:p>
    <w:p w14:paraId="48F567B7" w14:textId="1283D7F2" w:rsidR="00B61FD9" w:rsidRPr="00A02172" w:rsidRDefault="00B61FD9" w:rsidP="00A02172">
      <w:pPr>
        <w:rPr>
          <w:b/>
          <w:bCs/>
          <w:i/>
          <w:iCs/>
        </w:rPr>
      </w:pPr>
    </w:p>
    <w:p w14:paraId="3C22D5FA" w14:textId="77777777" w:rsidR="00FC1FFF" w:rsidRDefault="00FC1FFF" w:rsidP="00FC1FFF">
      <w:pPr>
        <w:pStyle w:val="Heading1"/>
      </w:pPr>
      <w:r>
        <w:t>Conclusion</w:t>
      </w:r>
    </w:p>
    <w:p w14:paraId="1F779ABC" w14:textId="0A92D92A" w:rsidR="00FC1FFF" w:rsidRDefault="00A02172" w:rsidP="00FC1FFF">
      <w:r>
        <w:t>DMRS/</w:t>
      </w:r>
      <w:r w:rsidR="005C4090">
        <w:t>PT-RS</w:t>
      </w:r>
      <w:r>
        <w:t xml:space="preserve"> enhancement</w:t>
      </w:r>
      <w:r w:rsidR="00FC1FFF">
        <w:t xml:space="preserve"> techniques </w:t>
      </w:r>
      <w:r>
        <w:t xml:space="preserve">are investigated for single PDSCH, and a DMRS enhancement technique is presented for multi-PDSCH. HARQ-ACK feedback for multi-PDSCH is briefly discussed. </w:t>
      </w:r>
    </w:p>
    <w:p w14:paraId="1EF14BF7" w14:textId="45379D5C" w:rsidR="00A02172" w:rsidRDefault="00A02172" w:rsidP="00A02172">
      <w:pPr>
        <w:rPr>
          <w:b/>
          <w:bCs/>
          <w:i/>
          <w:iCs/>
        </w:rPr>
      </w:pPr>
      <w:r w:rsidRPr="00F445F8">
        <w:rPr>
          <w:b/>
          <w:bCs/>
          <w:i/>
          <w:iCs/>
        </w:rPr>
        <w:t xml:space="preserve">Observation </w:t>
      </w:r>
      <w:r>
        <w:rPr>
          <w:b/>
          <w:bCs/>
          <w:i/>
          <w:iCs/>
        </w:rPr>
        <w:t>1</w:t>
      </w:r>
      <w:r w:rsidRPr="00F445F8">
        <w:rPr>
          <w:b/>
          <w:bCs/>
          <w:i/>
          <w:iCs/>
        </w:rPr>
        <w:t xml:space="preserve">: </w:t>
      </w:r>
      <w:r>
        <w:rPr>
          <w:b/>
          <w:bCs/>
          <w:i/>
          <w:iCs/>
        </w:rPr>
        <w:t xml:space="preserve">The inherent interplays between CE and PN-induced ICI for beyond 52.6GHz worth in-depth further studies.  </w:t>
      </w:r>
    </w:p>
    <w:p w14:paraId="303B49EA" w14:textId="77777777" w:rsidR="00A70563" w:rsidRDefault="00A70563" w:rsidP="00A70563">
      <w:pPr>
        <w:rPr>
          <w:b/>
          <w:bCs/>
          <w:i/>
          <w:iCs/>
        </w:rPr>
      </w:pPr>
      <w:r w:rsidRPr="00F445F8">
        <w:rPr>
          <w:b/>
          <w:bCs/>
          <w:i/>
          <w:iCs/>
        </w:rPr>
        <w:t xml:space="preserve">Observation </w:t>
      </w:r>
      <w:r>
        <w:rPr>
          <w:b/>
          <w:bCs/>
          <w:i/>
          <w:iCs/>
        </w:rPr>
        <w:t>2</w:t>
      </w:r>
      <w:r w:rsidRPr="00F445F8">
        <w:rPr>
          <w:b/>
          <w:bCs/>
          <w:i/>
          <w:iCs/>
        </w:rPr>
        <w:t xml:space="preserve">: </w:t>
      </w:r>
      <w:r>
        <w:rPr>
          <w:b/>
          <w:bCs/>
          <w:i/>
          <w:iCs/>
        </w:rPr>
        <w:t xml:space="preserve">For beyond 52.6GHz with the standard-compliant implementation, symbol-wise ICI cancellation is needed for efficient PN cancellation as observed in prior meetings. On symbols without PT-RS, DMRS is utilized for PN cancellation purpose. </w:t>
      </w:r>
    </w:p>
    <w:p w14:paraId="574DBAE1" w14:textId="61A66092" w:rsidR="00A02172" w:rsidRPr="00F445F8" w:rsidRDefault="00A02172" w:rsidP="00A02172">
      <w:pPr>
        <w:rPr>
          <w:b/>
          <w:bCs/>
          <w:i/>
          <w:iCs/>
        </w:rPr>
      </w:pPr>
      <w:r w:rsidRPr="00F445F8">
        <w:rPr>
          <w:b/>
          <w:bCs/>
          <w:i/>
          <w:iCs/>
        </w:rPr>
        <w:t xml:space="preserve">Observation </w:t>
      </w:r>
      <w:r>
        <w:rPr>
          <w:b/>
          <w:bCs/>
          <w:i/>
          <w:iCs/>
        </w:rPr>
        <w:t>3</w:t>
      </w:r>
      <w:r w:rsidRPr="00F445F8">
        <w:rPr>
          <w:b/>
          <w:bCs/>
          <w:i/>
          <w:iCs/>
        </w:rPr>
        <w:t xml:space="preserve">: </w:t>
      </w:r>
      <w:r>
        <w:rPr>
          <w:b/>
          <w:bCs/>
          <w:i/>
          <w:iCs/>
        </w:rPr>
        <w:t xml:space="preserve">The CE with dual-purpose </w:t>
      </w:r>
      <w:r w:rsidR="005C4090">
        <w:rPr>
          <w:b/>
          <w:bCs/>
          <w:i/>
          <w:iCs/>
        </w:rPr>
        <w:t>PT-RS</w:t>
      </w:r>
      <w:r>
        <w:rPr>
          <w:b/>
          <w:bCs/>
          <w:i/>
          <w:iCs/>
        </w:rPr>
        <w:t xml:space="preserve"> outperforms legacy CE and CE with DMRS staggering under the larger SCSs with larger DSs for both MSE and BLER. </w:t>
      </w:r>
    </w:p>
    <w:p w14:paraId="1C482FC6" w14:textId="40D7E52B" w:rsidR="00A02172" w:rsidRPr="00E955FF" w:rsidRDefault="00A02172" w:rsidP="00A02172">
      <w:pPr>
        <w:rPr>
          <w:b/>
          <w:bCs/>
          <w:i/>
          <w:iCs/>
        </w:rPr>
      </w:pPr>
      <w:r w:rsidRPr="00F445F8">
        <w:rPr>
          <w:b/>
          <w:bCs/>
          <w:i/>
          <w:iCs/>
        </w:rPr>
        <w:lastRenderedPageBreak/>
        <w:t xml:space="preserve">Observation </w:t>
      </w:r>
      <w:r>
        <w:rPr>
          <w:b/>
          <w:bCs/>
          <w:i/>
          <w:iCs/>
        </w:rPr>
        <w:t>4</w:t>
      </w:r>
      <w:r w:rsidRPr="00F445F8">
        <w:rPr>
          <w:b/>
          <w:bCs/>
          <w:i/>
          <w:iCs/>
        </w:rPr>
        <w:t xml:space="preserve">: </w:t>
      </w:r>
      <w:r w:rsidRPr="00E955FF">
        <w:rPr>
          <w:b/>
          <w:bCs/>
          <w:i/>
          <w:iCs/>
        </w:rPr>
        <w:t>Comb-</w:t>
      </w:r>
      <w:r w:rsidR="005C4090">
        <w:rPr>
          <w:b/>
          <w:bCs/>
          <w:i/>
          <w:iCs/>
        </w:rPr>
        <w:t>PT-RS</w:t>
      </w:r>
      <w:r w:rsidRPr="00E955FF">
        <w:rPr>
          <w:b/>
          <w:bCs/>
          <w:i/>
          <w:iCs/>
        </w:rPr>
        <w:t xml:space="preserve"> is more scattered over </w:t>
      </w:r>
      <w:r>
        <w:rPr>
          <w:b/>
          <w:bCs/>
          <w:i/>
          <w:iCs/>
        </w:rPr>
        <w:t>frequency-domain</w:t>
      </w:r>
      <w:r w:rsidRPr="00E955FF">
        <w:rPr>
          <w:b/>
          <w:bCs/>
          <w:i/>
          <w:iCs/>
        </w:rPr>
        <w:t>, thus may capture better global information for ICI estimation/cancellation; comb-</w:t>
      </w:r>
      <w:r w:rsidR="005C4090">
        <w:rPr>
          <w:b/>
          <w:bCs/>
          <w:i/>
          <w:iCs/>
        </w:rPr>
        <w:t>PT-RS</w:t>
      </w:r>
      <w:r w:rsidRPr="00E955FF">
        <w:rPr>
          <w:b/>
          <w:bCs/>
          <w:i/>
          <w:iCs/>
        </w:rPr>
        <w:t xml:space="preserve"> has more ICI on adjacent data subcarriers, thus has low opportunity to enjoy the benefit from power-boosting.</w:t>
      </w:r>
    </w:p>
    <w:p w14:paraId="533A3A1E" w14:textId="7407ECDE" w:rsidR="00A02172" w:rsidRDefault="00A02172" w:rsidP="00A02172">
      <w:pPr>
        <w:rPr>
          <w:b/>
          <w:bCs/>
          <w:i/>
          <w:iCs/>
        </w:rPr>
      </w:pPr>
      <w:r w:rsidRPr="00F445F8">
        <w:rPr>
          <w:b/>
          <w:bCs/>
          <w:i/>
          <w:iCs/>
        </w:rPr>
        <w:t xml:space="preserve">Observation </w:t>
      </w:r>
      <w:r>
        <w:rPr>
          <w:b/>
          <w:bCs/>
          <w:i/>
          <w:iCs/>
        </w:rPr>
        <w:t>5</w:t>
      </w:r>
      <w:r w:rsidRPr="00F445F8">
        <w:rPr>
          <w:b/>
          <w:bCs/>
          <w:i/>
          <w:iCs/>
        </w:rPr>
        <w:t xml:space="preserve">: </w:t>
      </w:r>
      <w:r w:rsidRPr="00E955FF">
        <w:rPr>
          <w:b/>
          <w:bCs/>
          <w:i/>
          <w:iCs/>
        </w:rPr>
        <w:t>Block-</w:t>
      </w:r>
      <w:r w:rsidR="005C4090">
        <w:rPr>
          <w:b/>
          <w:bCs/>
          <w:i/>
          <w:iCs/>
        </w:rPr>
        <w:t>PT-RS</w:t>
      </w:r>
      <w:r w:rsidRPr="00E955FF">
        <w:rPr>
          <w:b/>
          <w:bCs/>
          <w:i/>
          <w:iCs/>
        </w:rPr>
        <w:t xml:space="preserve"> is the least scattered pattern over </w:t>
      </w:r>
      <w:r>
        <w:rPr>
          <w:b/>
          <w:bCs/>
          <w:i/>
          <w:iCs/>
        </w:rPr>
        <w:t>frequency-domain</w:t>
      </w:r>
      <w:r w:rsidRPr="00E955FF">
        <w:rPr>
          <w:b/>
          <w:bCs/>
          <w:i/>
          <w:iCs/>
        </w:rPr>
        <w:t>, thus captures rather local information over frequency; Block-</w:t>
      </w:r>
      <w:r w:rsidR="005C4090">
        <w:rPr>
          <w:b/>
          <w:bCs/>
          <w:i/>
          <w:iCs/>
        </w:rPr>
        <w:t>PT-RS</w:t>
      </w:r>
      <w:r w:rsidRPr="00E955FF">
        <w:rPr>
          <w:b/>
          <w:bCs/>
          <w:i/>
          <w:iCs/>
        </w:rPr>
        <w:t xml:space="preserve"> has less neighboring data subcarriers, thus lower ICI on data, and in turn higher opportunity to benefit from power-boosting.</w:t>
      </w:r>
    </w:p>
    <w:p w14:paraId="309AC256" w14:textId="77777777" w:rsidR="00A70563" w:rsidRDefault="00A70563" w:rsidP="00A70563">
      <w:pPr>
        <w:rPr>
          <w:b/>
          <w:bCs/>
          <w:i/>
          <w:iCs/>
        </w:rPr>
      </w:pPr>
      <w:r w:rsidRPr="00F445F8">
        <w:rPr>
          <w:b/>
          <w:bCs/>
          <w:i/>
          <w:iCs/>
        </w:rPr>
        <w:t xml:space="preserve">Observation </w:t>
      </w:r>
      <w:r>
        <w:rPr>
          <w:b/>
          <w:bCs/>
          <w:i/>
          <w:iCs/>
        </w:rPr>
        <w:t>6</w:t>
      </w:r>
      <w:r w:rsidRPr="00F445F8">
        <w:rPr>
          <w:b/>
          <w:bCs/>
          <w:i/>
          <w:iCs/>
        </w:rPr>
        <w:t xml:space="preserve">: </w:t>
      </w:r>
      <w:r>
        <w:rPr>
          <w:b/>
          <w:bCs/>
          <w:i/>
          <w:iCs/>
        </w:rPr>
        <w:t>Cluster</w:t>
      </w:r>
      <w:r w:rsidRPr="00E955FF">
        <w:rPr>
          <w:b/>
          <w:bCs/>
          <w:i/>
          <w:iCs/>
        </w:rPr>
        <w:t>-</w:t>
      </w:r>
      <w:r>
        <w:rPr>
          <w:b/>
          <w:bCs/>
          <w:i/>
          <w:iCs/>
        </w:rPr>
        <w:t>PT-RS is a pattern that can achieve a tradeoff between the scattering over frequency-domain and the level of ICI imposed on data subcarriers</w:t>
      </w:r>
      <w:r w:rsidRPr="00E955FF">
        <w:rPr>
          <w:b/>
          <w:bCs/>
          <w:i/>
          <w:iCs/>
        </w:rPr>
        <w:t>.</w:t>
      </w:r>
    </w:p>
    <w:p w14:paraId="6C008BA5" w14:textId="77777777" w:rsidR="00A70563" w:rsidRPr="00BC3633" w:rsidRDefault="00A70563" w:rsidP="00A70563">
      <w:pPr>
        <w:rPr>
          <w:b/>
          <w:bCs/>
          <w:i/>
          <w:iCs/>
        </w:rPr>
      </w:pPr>
      <w:r w:rsidRPr="00F445F8">
        <w:rPr>
          <w:b/>
          <w:bCs/>
          <w:i/>
          <w:iCs/>
        </w:rPr>
        <w:t xml:space="preserve">Observation </w:t>
      </w:r>
      <w:r>
        <w:rPr>
          <w:b/>
          <w:bCs/>
          <w:i/>
          <w:iCs/>
        </w:rPr>
        <w:t>7</w:t>
      </w:r>
      <w:r w:rsidRPr="00F445F8">
        <w:rPr>
          <w:b/>
          <w:bCs/>
          <w:i/>
          <w:iCs/>
        </w:rPr>
        <w:t xml:space="preserve">: </w:t>
      </w:r>
      <w:r>
        <w:rPr>
          <w:b/>
          <w:bCs/>
          <w:i/>
          <w:iCs/>
        </w:rPr>
        <w:t xml:space="preserve"> Cluster-PT-RS with non-uniform selective boosting window can improve performance while limit excessive power usage. </w:t>
      </w:r>
    </w:p>
    <w:p w14:paraId="7B5D41BF" w14:textId="2722F4FD" w:rsidR="005D4A30" w:rsidRDefault="005D4A30" w:rsidP="00A02172">
      <w:pPr>
        <w:rPr>
          <w:b/>
          <w:bCs/>
          <w:i/>
          <w:iCs/>
        </w:rPr>
      </w:pPr>
      <w:r w:rsidRPr="00F445F8">
        <w:rPr>
          <w:b/>
          <w:bCs/>
          <w:i/>
          <w:iCs/>
        </w:rPr>
        <w:t>Observation</w:t>
      </w:r>
      <w:r w:rsidR="008771DE">
        <w:rPr>
          <w:b/>
          <w:bCs/>
          <w:i/>
          <w:iCs/>
        </w:rPr>
        <w:t xml:space="preserve"> </w:t>
      </w:r>
      <w:r>
        <w:rPr>
          <w:b/>
          <w:bCs/>
          <w:i/>
          <w:iCs/>
        </w:rPr>
        <w:t>8</w:t>
      </w:r>
      <w:r w:rsidRPr="00F445F8">
        <w:rPr>
          <w:b/>
          <w:bCs/>
          <w:i/>
          <w:iCs/>
        </w:rPr>
        <w:t>:</w:t>
      </w:r>
      <w:r w:rsidR="008771DE">
        <w:rPr>
          <w:b/>
          <w:bCs/>
          <w:i/>
          <w:iCs/>
        </w:rPr>
        <w:t xml:space="preserve"> </w:t>
      </w:r>
      <w:r>
        <w:rPr>
          <w:b/>
          <w:bCs/>
          <w:i/>
          <w:iCs/>
        </w:rPr>
        <w:t xml:space="preserve">The dynamic HARQ-ACK codebook design proposed during RAN1#104e can be simplified to achieve a tradeoff between efficiency and reliability, e.g. by fixing the size of multi-PDSCH corresponding to SCS and fixing the bundling size for multi-PDSCH. To improve detection performance of a codebook with increased payload, multi-PUCCH may be considered instead of single PUCCH for multi-PDSCH.   </w:t>
      </w:r>
    </w:p>
    <w:p w14:paraId="031D59AB" w14:textId="2A0DFF2F" w:rsidR="00A70563" w:rsidRDefault="00A70563" w:rsidP="00A02172">
      <w:pPr>
        <w:rPr>
          <w:b/>
          <w:bCs/>
          <w:i/>
          <w:iCs/>
        </w:rPr>
      </w:pPr>
      <w:r w:rsidRPr="00F445F8">
        <w:rPr>
          <w:b/>
          <w:bCs/>
          <w:i/>
          <w:iCs/>
        </w:rPr>
        <w:t xml:space="preserve">Observation </w:t>
      </w:r>
      <w:r>
        <w:rPr>
          <w:b/>
          <w:bCs/>
          <w:i/>
          <w:iCs/>
        </w:rPr>
        <w:t>9</w:t>
      </w:r>
      <w:r w:rsidRPr="00F445F8">
        <w:rPr>
          <w:b/>
          <w:bCs/>
          <w:i/>
          <w:iCs/>
        </w:rPr>
        <w:t xml:space="preserve">: </w:t>
      </w:r>
      <w:r>
        <w:rPr>
          <w:b/>
          <w:bCs/>
          <w:i/>
          <w:iCs/>
        </w:rPr>
        <w:t xml:space="preserve"> Channel differences between consecutive slots of multi-PDSCH/PUSCH under higher SCS are typically smaller than that of the lower SCSs, such that one may take advantage of a non-uniform DMRS allocation to improve the CE accuracy. </w:t>
      </w:r>
    </w:p>
    <w:p w14:paraId="20687291" w14:textId="4549C8CD" w:rsidR="00A84AC5" w:rsidRPr="009944A7" w:rsidRDefault="00A84AC5" w:rsidP="00A02172">
      <w:pPr>
        <w:rPr>
          <w:b/>
          <w:bCs/>
          <w:i/>
          <w:iCs/>
        </w:rPr>
      </w:pPr>
      <w:r>
        <w:rPr>
          <w:b/>
          <w:bCs/>
          <w:i/>
          <w:iCs/>
        </w:rPr>
        <w:t xml:space="preserve">Proposal 1: For PN cancellation on symbols without PT-RS, the same number of DMRS tones with the number of PT-RS tones on each symbol is recommended. Using the full DMRS or more tones than the PT-RS symbol tones for the cancellation does not provide non-trivial gain.   </w:t>
      </w:r>
    </w:p>
    <w:p w14:paraId="5527357B" w14:textId="39C5D3DC" w:rsidR="00A02172" w:rsidRPr="00B5178D" w:rsidRDefault="00A02172" w:rsidP="00A02172">
      <w:pPr>
        <w:rPr>
          <w:b/>
          <w:bCs/>
          <w:i/>
          <w:iCs/>
        </w:rPr>
      </w:pPr>
      <w:r w:rsidRPr="0046041F">
        <w:rPr>
          <w:b/>
          <w:bCs/>
          <w:i/>
          <w:iCs/>
        </w:rPr>
        <w:t xml:space="preserve">Proposal </w:t>
      </w:r>
      <w:r>
        <w:rPr>
          <w:b/>
          <w:bCs/>
          <w:i/>
          <w:iCs/>
        </w:rPr>
        <w:t>2</w:t>
      </w:r>
      <w:r w:rsidRPr="0046041F">
        <w:rPr>
          <w:b/>
          <w:bCs/>
          <w:i/>
          <w:iCs/>
        </w:rPr>
        <w:t>:</w:t>
      </w:r>
      <w:r>
        <w:rPr>
          <w:b/>
          <w:bCs/>
          <w:i/>
          <w:iCs/>
        </w:rPr>
        <w:t xml:space="preserve"> Consider using </w:t>
      </w:r>
      <w:r w:rsidR="005C4090">
        <w:rPr>
          <w:b/>
          <w:bCs/>
          <w:i/>
          <w:iCs/>
        </w:rPr>
        <w:t>PT-RS</w:t>
      </w:r>
      <w:r>
        <w:rPr>
          <w:b/>
          <w:bCs/>
          <w:i/>
          <w:iCs/>
        </w:rPr>
        <w:t xml:space="preserve"> for both the purpose of ICI cancellation and CE when necessary; consider introducing different staggering levels for different </w:t>
      </w:r>
      <w:r w:rsidR="005C4090">
        <w:rPr>
          <w:b/>
          <w:bCs/>
          <w:i/>
          <w:iCs/>
        </w:rPr>
        <w:t>PT-RS</w:t>
      </w:r>
      <w:r>
        <w:rPr>
          <w:b/>
          <w:bCs/>
          <w:i/>
          <w:iCs/>
        </w:rPr>
        <w:t xml:space="preserve"> symbols to cover as many REs as possible. </w:t>
      </w:r>
    </w:p>
    <w:p w14:paraId="74CF7790" w14:textId="0AA2666D" w:rsidR="00A02172" w:rsidRPr="00B5178D" w:rsidRDefault="00A02172" w:rsidP="00A02172">
      <w:pPr>
        <w:rPr>
          <w:b/>
          <w:bCs/>
          <w:i/>
          <w:iCs/>
        </w:rPr>
      </w:pPr>
      <w:r w:rsidRPr="0046041F">
        <w:rPr>
          <w:b/>
          <w:bCs/>
          <w:i/>
          <w:iCs/>
        </w:rPr>
        <w:t xml:space="preserve">Proposal </w:t>
      </w:r>
      <w:r>
        <w:rPr>
          <w:b/>
          <w:bCs/>
          <w:i/>
          <w:iCs/>
        </w:rPr>
        <w:t>3</w:t>
      </w:r>
      <w:r w:rsidRPr="0046041F">
        <w:rPr>
          <w:b/>
          <w:bCs/>
          <w:i/>
          <w:iCs/>
        </w:rPr>
        <w:t>:</w:t>
      </w:r>
      <w:r>
        <w:rPr>
          <w:b/>
          <w:bCs/>
          <w:i/>
          <w:iCs/>
        </w:rPr>
        <w:t xml:space="preserve"> If block-</w:t>
      </w:r>
      <w:r w:rsidR="005C4090">
        <w:rPr>
          <w:b/>
          <w:bCs/>
          <w:i/>
          <w:iCs/>
        </w:rPr>
        <w:t>PT-RS</w:t>
      </w:r>
      <w:r>
        <w:rPr>
          <w:b/>
          <w:bCs/>
          <w:i/>
          <w:iCs/>
        </w:rPr>
        <w:t xml:space="preserve"> </w:t>
      </w:r>
      <w:r w:rsidR="004F0F7F">
        <w:rPr>
          <w:b/>
          <w:bCs/>
          <w:i/>
          <w:iCs/>
        </w:rPr>
        <w:t>is</w:t>
      </w:r>
      <w:r>
        <w:rPr>
          <w:b/>
          <w:bCs/>
          <w:i/>
          <w:iCs/>
        </w:rPr>
        <w:t xml:space="preserve"> used for beyond 52.6GHz, power-boosting is a recommended technique to improve ICI cancellation. </w:t>
      </w:r>
    </w:p>
    <w:p w14:paraId="4398E3DA" w14:textId="77777777" w:rsidR="00A84AC5" w:rsidRPr="00B5178D" w:rsidRDefault="00A84AC5" w:rsidP="00A84AC5">
      <w:pPr>
        <w:rPr>
          <w:b/>
          <w:bCs/>
          <w:i/>
          <w:iCs/>
        </w:rPr>
      </w:pPr>
      <w:r w:rsidRPr="0046041F">
        <w:rPr>
          <w:b/>
          <w:bCs/>
          <w:i/>
          <w:iCs/>
        </w:rPr>
        <w:t xml:space="preserve">Proposal </w:t>
      </w:r>
      <w:r>
        <w:rPr>
          <w:b/>
          <w:bCs/>
          <w:i/>
          <w:iCs/>
        </w:rPr>
        <w:t>4</w:t>
      </w:r>
      <w:r w:rsidRPr="0046041F">
        <w:rPr>
          <w:b/>
          <w:bCs/>
          <w:i/>
          <w:iCs/>
        </w:rPr>
        <w:t>:</w:t>
      </w:r>
      <w:r>
        <w:rPr>
          <w:b/>
          <w:bCs/>
          <w:i/>
          <w:iCs/>
        </w:rPr>
        <w:t xml:space="preserve"> Consider non-uniform DMRS reallocation in the time-domain to improve CE for multi-PDSCH/PUSCH. </w:t>
      </w:r>
    </w:p>
    <w:p w14:paraId="069F4C5C" w14:textId="77777777" w:rsidR="008C36FE" w:rsidRPr="008C36FE" w:rsidRDefault="008C36FE" w:rsidP="008C36FE"/>
    <w:p w14:paraId="03F5C4F6" w14:textId="4A422A53" w:rsidR="008C36FE" w:rsidRDefault="008C36FE" w:rsidP="008C36FE">
      <w:pPr>
        <w:pStyle w:val="Heading1"/>
        <w:numPr>
          <w:ilvl w:val="0"/>
          <w:numId w:val="0"/>
        </w:numPr>
        <w:ind w:left="432" w:hanging="432"/>
      </w:pPr>
      <w:r>
        <w:t>References</w:t>
      </w:r>
    </w:p>
    <w:p w14:paraId="6E825940" w14:textId="4BEB7B9B" w:rsidR="00940311" w:rsidRPr="00940311" w:rsidRDefault="00940311" w:rsidP="00940311">
      <w:pPr>
        <w:pStyle w:val="2222"/>
        <w:numPr>
          <w:ilvl w:val="0"/>
          <w:numId w:val="15"/>
        </w:numPr>
        <w:spacing w:after="120" w:line="240" w:lineRule="auto"/>
        <w:ind w:firstLineChars="0"/>
        <w:rPr>
          <w:color w:val="000000" w:themeColor="text1"/>
          <w:sz w:val="20"/>
          <w:lang w:val="en-US" w:eastAsia="ko-KR"/>
        </w:rPr>
      </w:pPr>
      <w:r w:rsidRPr="00940311">
        <w:rPr>
          <w:color w:val="000000" w:themeColor="text1"/>
          <w:sz w:val="20"/>
          <w:lang w:val="en-US" w:eastAsia="ko-KR"/>
        </w:rPr>
        <w:t>TR 38.8</w:t>
      </w:r>
      <w:r w:rsidR="00EF7763">
        <w:rPr>
          <w:color w:val="000000" w:themeColor="text1"/>
          <w:sz w:val="20"/>
          <w:lang w:val="en-US" w:eastAsia="ko-KR"/>
        </w:rPr>
        <w:t>0</w:t>
      </w:r>
      <w:r w:rsidRPr="00940311">
        <w:rPr>
          <w:color w:val="000000" w:themeColor="text1"/>
          <w:sz w:val="20"/>
          <w:lang w:val="en-US" w:eastAsia="ko-KR"/>
        </w:rPr>
        <w:t>8, “</w:t>
      </w:r>
      <w:r w:rsidRPr="00940311">
        <w:rPr>
          <w:i/>
          <w:iCs/>
          <w:color w:val="000000" w:themeColor="text1"/>
          <w:sz w:val="20"/>
          <w:lang w:val="en-US" w:eastAsia="ko-KR"/>
        </w:rPr>
        <w:t>Studying on supporting NR from 52.6 GHz to 71GHz</w:t>
      </w:r>
      <w:r w:rsidRPr="00940311">
        <w:rPr>
          <w:color w:val="000000" w:themeColor="text1"/>
          <w:sz w:val="20"/>
          <w:lang w:val="en-US" w:eastAsia="ko-KR"/>
        </w:rPr>
        <w:t>”</w:t>
      </w:r>
      <w:r>
        <w:rPr>
          <w:color w:val="000000" w:themeColor="text1"/>
          <w:sz w:val="20"/>
          <w:lang w:val="en-US" w:eastAsia="ko-KR"/>
        </w:rPr>
        <w:t xml:space="preserve">. </w:t>
      </w:r>
    </w:p>
    <w:p w14:paraId="19A6DB12" w14:textId="3C902A8A" w:rsidR="00940311" w:rsidRPr="00940311" w:rsidRDefault="00940311" w:rsidP="00940311">
      <w:pPr>
        <w:pStyle w:val="2222"/>
        <w:numPr>
          <w:ilvl w:val="0"/>
          <w:numId w:val="15"/>
        </w:numPr>
        <w:spacing w:after="120" w:line="240" w:lineRule="auto"/>
        <w:ind w:firstLineChars="0"/>
        <w:rPr>
          <w:color w:val="000000" w:themeColor="text1"/>
          <w:sz w:val="20"/>
          <w:lang w:val="en-US" w:eastAsia="ko-KR"/>
        </w:rPr>
      </w:pPr>
      <w:r w:rsidRPr="00940311">
        <w:rPr>
          <w:color w:val="000000" w:themeColor="text1"/>
          <w:sz w:val="20"/>
          <w:lang w:val="en-US" w:eastAsia="ko-KR"/>
        </w:rPr>
        <w:t>RP-202925, “</w:t>
      </w:r>
      <w:r w:rsidRPr="00940311">
        <w:rPr>
          <w:i/>
          <w:iCs/>
          <w:color w:val="000000" w:themeColor="text1"/>
          <w:sz w:val="20"/>
          <w:lang w:val="en-US" w:eastAsia="ko-KR"/>
        </w:rPr>
        <w:t>Revised WID: Extending current NR operation to 71 GHz</w:t>
      </w:r>
      <w:r w:rsidRPr="00940311">
        <w:rPr>
          <w:color w:val="000000" w:themeColor="text1"/>
          <w:sz w:val="20"/>
          <w:lang w:val="en-US" w:eastAsia="ko-KR"/>
        </w:rPr>
        <w:t>”, CMCC, RAN#90e</w:t>
      </w:r>
      <w:r>
        <w:rPr>
          <w:color w:val="000000" w:themeColor="text1"/>
          <w:sz w:val="20"/>
          <w:lang w:val="en-US" w:eastAsia="ko-KR"/>
        </w:rPr>
        <w:t>.</w:t>
      </w:r>
    </w:p>
    <w:p w14:paraId="312F0DE4" w14:textId="01BCCACD" w:rsidR="00940311" w:rsidRPr="00940311" w:rsidRDefault="00940311" w:rsidP="00940311">
      <w:pPr>
        <w:pStyle w:val="ListParagraph"/>
        <w:numPr>
          <w:ilvl w:val="0"/>
          <w:numId w:val="15"/>
        </w:numPr>
        <w:spacing w:beforeLines="50" w:before="120"/>
        <w:rPr>
          <w:rFonts w:asciiTheme="majorBidi" w:hAnsiTheme="majorBidi" w:cstheme="majorBidi"/>
          <w:sz w:val="20"/>
          <w:szCs w:val="20"/>
        </w:rPr>
      </w:pPr>
      <w:r w:rsidRPr="00940311">
        <w:rPr>
          <w:rFonts w:asciiTheme="majorBidi" w:hAnsiTheme="majorBidi" w:cstheme="majorBidi"/>
          <w:sz w:val="20"/>
          <w:szCs w:val="20"/>
        </w:rPr>
        <w:t xml:space="preserve">“RAN1 </w:t>
      </w:r>
      <w:r w:rsidRPr="00940311">
        <w:rPr>
          <w:rFonts w:asciiTheme="majorBidi" w:hAnsiTheme="majorBidi" w:cstheme="majorBidi"/>
          <w:i/>
          <w:iCs/>
          <w:sz w:val="20"/>
          <w:szCs w:val="20"/>
        </w:rPr>
        <w:t>Chairman’s Notes</w:t>
      </w:r>
      <w:r w:rsidRPr="00940311">
        <w:rPr>
          <w:rFonts w:asciiTheme="majorBidi" w:hAnsiTheme="majorBidi" w:cstheme="majorBidi"/>
          <w:sz w:val="20"/>
          <w:szCs w:val="20"/>
        </w:rPr>
        <w:t>”, 3GPP RAN1#104-e</w:t>
      </w:r>
      <w:r>
        <w:rPr>
          <w:rFonts w:asciiTheme="majorBidi" w:hAnsiTheme="majorBidi" w:cstheme="majorBidi"/>
          <w:sz w:val="20"/>
          <w:szCs w:val="20"/>
        </w:rPr>
        <w:t>.</w:t>
      </w:r>
      <w:r w:rsidRPr="00940311">
        <w:rPr>
          <w:rFonts w:asciiTheme="majorBidi" w:hAnsiTheme="majorBidi" w:cstheme="majorBidi"/>
          <w:sz w:val="20"/>
          <w:szCs w:val="20"/>
        </w:rPr>
        <w:t xml:space="preserve"> </w:t>
      </w:r>
    </w:p>
    <w:p w14:paraId="107AB5DC" w14:textId="5EF9832D" w:rsidR="008C36FE" w:rsidRPr="00940311" w:rsidRDefault="008C36FE" w:rsidP="008C36FE">
      <w:pPr>
        <w:pStyle w:val="2222"/>
        <w:numPr>
          <w:ilvl w:val="0"/>
          <w:numId w:val="15"/>
        </w:numPr>
        <w:spacing w:after="120" w:line="240" w:lineRule="auto"/>
        <w:ind w:firstLineChars="0"/>
        <w:rPr>
          <w:rStyle w:val="Emphasis"/>
          <w:rFonts w:cs="Times New Roman"/>
          <w:i w:val="0"/>
          <w:iCs w:val="0"/>
          <w:color w:val="000000" w:themeColor="text1"/>
          <w:sz w:val="20"/>
          <w:lang w:val="en-US" w:eastAsia="ko-KR"/>
        </w:rPr>
      </w:pPr>
      <w:r w:rsidRPr="00940311">
        <w:rPr>
          <w:rFonts w:cs="Times New Roman"/>
          <w:color w:val="000000" w:themeColor="text1"/>
          <w:sz w:val="20"/>
          <w:lang w:val="en-US" w:eastAsia="ko-KR"/>
        </w:rPr>
        <w:t>TS 38.211, “</w:t>
      </w:r>
      <w:r w:rsidRPr="00940311">
        <w:rPr>
          <w:rFonts w:cs="Times New Roman"/>
          <w:i/>
          <w:iCs/>
          <w:color w:val="000000" w:themeColor="text1"/>
          <w:sz w:val="20"/>
          <w:shd w:val="clear" w:color="auto" w:fill="FFFFFF"/>
        </w:rPr>
        <w:t>Physical channels and modulation (Release 15)</w:t>
      </w:r>
      <w:r w:rsidRPr="00940311">
        <w:rPr>
          <w:rFonts w:cs="Times New Roman"/>
          <w:color w:val="000000" w:themeColor="text1"/>
          <w:sz w:val="20"/>
          <w:lang w:val="en-US" w:eastAsia="ko-KR"/>
        </w:rPr>
        <w:t>”</w:t>
      </w:r>
      <w:r w:rsidR="00940311">
        <w:rPr>
          <w:rFonts w:cs="Times New Roman"/>
          <w:color w:val="000000" w:themeColor="text1"/>
          <w:sz w:val="20"/>
          <w:lang w:val="en-US" w:eastAsia="ko-KR"/>
        </w:rPr>
        <w:t>.</w:t>
      </w:r>
    </w:p>
    <w:p w14:paraId="4E9F8439" w14:textId="77777777" w:rsidR="008C36FE" w:rsidRPr="00940311" w:rsidRDefault="008C36FE" w:rsidP="008C36FE">
      <w:pPr>
        <w:pStyle w:val="References"/>
        <w:numPr>
          <w:ilvl w:val="0"/>
          <w:numId w:val="15"/>
        </w:numPr>
        <w:rPr>
          <w:color w:val="000000" w:themeColor="text1"/>
          <w:szCs w:val="20"/>
        </w:rPr>
      </w:pPr>
      <w:r w:rsidRPr="00940311">
        <w:rPr>
          <w:color w:val="000000" w:themeColor="text1"/>
          <w:szCs w:val="20"/>
        </w:rPr>
        <w:t>S. Coleri, M. Ergen, A. Puri and A. Bahai, "</w:t>
      </w:r>
      <w:r w:rsidRPr="00940311">
        <w:rPr>
          <w:i/>
          <w:iCs/>
          <w:color w:val="000000" w:themeColor="text1"/>
          <w:szCs w:val="20"/>
        </w:rPr>
        <w:t>Channel estimation techniques based on pilot arrangement in OFDM systems</w:t>
      </w:r>
      <w:r w:rsidRPr="00940311">
        <w:rPr>
          <w:color w:val="000000" w:themeColor="text1"/>
          <w:szCs w:val="20"/>
        </w:rPr>
        <w:t>," in IEEE Transactions on Broadcasting, vol. 48, no. 3, pp. 223-229, Sept. 2002, doi: 10.1109/TBC.2002.804034.</w:t>
      </w:r>
    </w:p>
    <w:p w14:paraId="7BCF57B1" w14:textId="0D63DDF3" w:rsidR="008C36FE" w:rsidRPr="00940311" w:rsidRDefault="008C36FE" w:rsidP="00980FB9">
      <w:pPr>
        <w:pStyle w:val="2222"/>
        <w:numPr>
          <w:ilvl w:val="0"/>
          <w:numId w:val="15"/>
        </w:numPr>
        <w:spacing w:after="120" w:line="240" w:lineRule="auto"/>
        <w:ind w:firstLineChars="0"/>
        <w:rPr>
          <w:color w:val="000000" w:themeColor="text1"/>
          <w:sz w:val="20"/>
          <w:lang w:val="en-US" w:eastAsia="ko-KR"/>
        </w:rPr>
      </w:pPr>
      <w:r w:rsidRPr="00940311">
        <w:rPr>
          <w:color w:val="000000" w:themeColor="text1"/>
          <w:sz w:val="20"/>
        </w:rPr>
        <w:t>TR 38.901, “</w:t>
      </w:r>
      <w:r w:rsidRPr="00940311">
        <w:rPr>
          <w:i/>
          <w:iCs/>
          <w:color w:val="000000" w:themeColor="text1"/>
          <w:sz w:val="20"/>
        </w:rPr>
        <w:t>Study on channel model for frequencies from 0.5 to 100 GHz (Release 16)</w:t>
      </w:r>
      <w:r w:rsidRPr="00940311">
        <w:rPr>
          <w:color w:val="000000" w:themeColor="text1"/>
          <w:sz w:val="20"/>
        </w:rPr>
        <w:t>”.</w:t>
      </w:r>
    </w:p>
    <w:p w14:paraId="5B2AC227" w14:textId="63D5ED5D" w:rsidR="004C36E0" w:rsidRDefault="004C36E0" w:rsidP="004C36E0">
      <w:pPr>
        <w:spacing w:beforeLines="50" w:before="120"/>
        <w:rPr>
          <w:sz w:val="20"/>
          <w:szCs w:val="20"/>
        </w:rPr>
      </w:pPr>
      <w:r w:rsidRPr="004C36E0">
        <w:rPr>
          <w:sz w:val="20"/>
          <w:szCs w:val="20"/>
          <w:lang w:eastAsia="x-none"/>
        </w:rPr>
        <w:t>[7</w:t>
      </w:r>
      <w:r w:rsidR="00B319AD" w:rsidRPr="004C36E0">
        <w:rPr>
          <w:sz w:val="20"/>
          <w:szCs w:val="20"/>
          <w:lang w:eastAsia="x-none"/>
        </w:rPr>
        <w:t xml:space="preserve">] </w:t>
      </w:r>
      <w:r w:rsidR="00B319AD">
        <w:rPr>
          <w:sz w:val="20"/>
          <w:szCs w:val="20"/>
          <w:lang w:eastAsia="x-none"/>
        </w:rPr>
        <w:t xml:space="preserve"> R</w:t>
      </w:r>
      <w:r w:rsidRPr="004C36E0">
        <w:rPr>
          <w:kern w:val="2"/>
          <w:sz w:val="20"/>
          <w:szCs w:val="20"/>
          <w:lang w:eastAsia="zh-CN"/>
        </w:rPr>
        <w:t>1-2100050, “</w:t>
      </w:r>
      <w:r w:rsidRPr="004C36E0">
        <w:rPr>
          <w:sz w:val="20"/>
          <w:szCs w:val="20"/>
          <w:lang w:eastAsia="zh-CN"/>
        </w:rPr>
        <w:t>Considerations for higher SCS support in beyond 52.6GHz</w:t>
      </w:r>
      <w:r w:rsidRPr="004C36E0">
        <w:rPr>
          <w:kern w:val="2"/>
          <w:sz w:val="20"/>
          <w:szCs w:val="20"/>
          <w:lang w:eastAsia="zh-CN"/>
        </w:rPr>
        <w:t xml:space="preserve">”, </w:t>
      </w:r>
      <w:r w:rsidRPr="004C36E0">
        <w:rPr>
          <w:sz w:val="20"/>
          <w:szCs w:val="20"/>
        </w:rPr>
        <w:t xml:space="preserve">3GPP RAN1#104-e. </w:t>
      </w:r>
    </w:p>
    <w:p w14:paraId="44B2B80F" w14:textId="4FC8BD15" w:rsidR="00B319AD" w:rsidRPr="00B319AD" w:rsidRDefault="00B319AD" w:rsidP="004C36E0">
      <w:pPr>
        <w:spacing w:beforeLines="50" w:before="120"/>
        <w:rPr>
          <w:sz w:val="20"/>
          <w:szCs w:val="20"/>
        </w:rPr>
      </w:pPr>
      <w:r w:rsidRPr="00B319AD">
        <w:rPr>
          <w:sz w:val="20"/>
          <w:szCs w:val="20"/>
        </w:rPr>
        <w:t>[8]</w:t>
      </w:r>
      <w:r>
        <w:rPr>
          <w:sz w:val="20"/>
          <w:szCs w:val="20"/>
        </w:rPr>
        <w:t xml:space="preserve"> </w:t>
      </w:r>
      <w:r w:rsidRPr="00B319AD">
        <w:rPr>
          <w:sz w:val="20"/>
          <w:szCs w:val="20"/>
        </w:rPr>
        <w:t xml:space="preserve"> R1-2101310, “PDSCH/PUSCH enhancements”</w:t>
      </w:r>
      <w:r>
        <w:rPr>
          <w:sz w:val="20"/>
          <w:szCs w:val="20"/>
        </w:rPr>
        <w:t xml:space="preserve">, </w:t>
      </w:r>
      <w:r w:rsidRPr="004C36E0">
        <w:rPr>
          <w:sz w:val="20"/>
          <w:szCs w:val="20"/>
        </w:rPr>
        <w:t>3GPP RAN1#104-e.</w:t>
      </w:r>
    </w:p>
    <w:p w14:paraId="7C99DAFD" w14:textId="126738BF" w:rsidR="00980FB9" w:rsidRPr="004C36E0" w:rsidRDefault="00980FB9" w:rsidP="004C36E0">
      <w:pPr>
        <w:spacing w:after="60"/>
        <w:ind w:left="1555" w:hanging="1555"/>
        <w:jc w:val="left"/>
        <w:rPr>
          <w:rFonts w:ascii="Arial" w:hAnsi="Arial" w:cs="Arial"/>
          <w:b/>
          <w:lang w:eastAsia="zh-CN"/>
        </w:rPr>
      </w:pPr>
    </w:p>
    <w:sectPr w:rsidR="00980FB9" w:rsidRPr="004C36E0" w:rsidSect="00521308">
      <w:pgSz w:w="11909" w:h="16834" w:code="9"/>
      <w:pgMar w:top="1440" w:right="1152" w:bottom="1440" w:left="1440"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IDFont+F6">
    <w:altName w:val="Yu Gothic"/>
    <w:panose1 w:val="00000000000000000000"/>
    <w:charset w:val="80"/>
    <w:family w:val="auto"/>
    <w:notTrueType/>
    <w:pitch w:val="default"/>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F03C44"/>
    <w:multiLevelType w:val="hybridMultilevel"/>
    <w:tmpl w:val="AF9439E6"/>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103D2167"/>
    <w:multiLevelType w:val="hybridMultilevel"/>
    <w:tmpl w:val="BDF4D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166E1D45"/>
    <w:multiLevelType w:val="hybridMultilevel"/>
    <w:tmpl w:val="1844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16B3E77"/>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891AD5"/>
    <w:multiLevelType w:val="hybridMultilevel"/>
    <w:tmpl w:val="573269B4"/>
    <w:lvl w:ilvl="0" w:tplc="D59EA5F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570660"/>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1746"/>
        </w:tabs>
        <w:ind w:left="174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D041FB"/>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CF53914"/>
    <w:multiLevelType w:val="hybridMultilevel"/>
    <w:tmpl w:val="D28E1EB2"/>
    <w:lvl w:ilvl="0" w:tplc="1DCA4EF4">
      <w:start w:val="1"/>
      <w:numFmt w:val="bullet"/>
      <w:pStyle w:val="ListParagraph"/>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6" w15:restartNumberingAfterBreak="0">
    <w:nsid w:val="40AB24F6"/>
    <w:multiLevelType w:val="hybridMultilevel"/>
    <w:tmpl w:val="363E3A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F8F7240"/>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5A65EA"/>
    <w:multiLevelType w:val="hybridMultilevel"/>
    <w:tmpl w:val="5EC89C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9F123F"/>
    <w:multiLevelType w:val="hybridMultilevel"/>
    <w:tmpl w:val="3B8CB89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3"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7B7A42E1"/>
    <w:multiLevelType w:val="hybridMultilevel"/>
    <w:tmpl w:val="E926D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0"/>
  </w:num>
  <w:num w:numId="4">
    <w:abstractNumId w:val="6"/>
  </w:num>
  <w:num w:numId="5">
    <w:abstractNumId w:val="23"/>
  </w:num>
  <w:num w:numId="6">
    <w:abstractNumId w:val="19"/>
  </w:num>
  <w:num w:numId="7">
    <w:abstractNumId w:val="12"/>
  </w:num>
  <w:num w:numId="8">
    <w:abstractNumId w:val="2"/>
  </w:num>
  <w:num w:numId="9">
    <w:abstractNumId w:val="12"/>
  </w:num>
  <w:num w:numId="10">
    <w:abstractNumId w:val="26"/>
  </w:num>
  <w:num w:numId="11">
    <w:abstractNumId w:val="3"/>
  </w:num>
  <w:num w:numId="12">
    <w:abstractNumId w:val="24"/>
  </w:num>
  <w:num w:numId="13">
    <w:abstractNumId w:val="25"/>
  </w:num>
  <w:num w:numId="14">
    <w:abstractNumId w:val="13"/>
  </w:num>
  <w:num w:numId="15">
    <w:abstractNumId w:val="1"/>
  </w:num>
  <w:num w:numId="16">
    <w:abstractNumId w:val="4"/>
  </w:num>
  <w:num w:numId="17">
    <w:abstractNumId w:val="27"/>
  </w:num>
  <w:num w:numId="18">
    <w:abstractNumId w:val="8"/>
  </w:num>
  <w:num w:numId="19">
    <w:abstractNumId w:val="20"/>
  </w:num>
  <w:num w:numId="20">
    <w:abstractNumId w:val="16"/>
  </w:num>
  <w:num w:numId="21">
    <w:abstractNumId w:val="14"/>
  </w:num>
  <w:num w:numId="22">
    <w:abstractNumId w:val="5"/>
  </w:num>
  <w:num w:numId="23">
    <w:abstractNumId w:val="10"/>
  </w:num>
  <w:num w:numId="24">
    <w:abstractNumId w:val="9"/>
  </w:num>
  <w:num w:numId="25">
    <w:abstractNumId w:val="18"/>
  </w:num>
  <w:num w:numId="26">
    <w:abstractNumId w:val="21"/>
  </w:num>
  <w:num w:numId="27">
    <w:abstractNumId w:val="7"/>
  </w:num>
  <w:num w:numId="28">
    <w:abstractNumId w:val="22"/>
  </w:num>
  <w:num w:numId="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9C7"/>
    <w:rsid w:val="000103C5"/>
    <w:rsid w:val="0001291A"/>
    <w:rsid w:val="00014F30"/>
    <w:rsid w:val="00113027"/>
    <w:rsid w:val="00137D36"/>
    <w:rsid w:val="00157D2A"/>
    <w:rsid w:val="0018134C"/>
    <w:rsid w:val="001A551E"/>
    <w:rsid w:val="001D3490"/>
    <w:rsid w:val="001E3C6D"/>
    <w:rsid w:val="002007FC"/>
    <w:rsid w:val="00204792"/>
    <w:rsid w:val="00243406"/>
    <w:rsid w:val="00273006"/>
    <w:rsid w:val="00291A79"/>
    <w:rsid w:val="002B1C35"/>
    <w:rsid w:val="002D0D1C"/>
    <w:rsid w:val="002E531E"/>
    <w:rsid w:val="002F3B6E"/>
    <w:rsid w:val="0032338F"/>
    <w:rsid w:val="00326EAD"/>
    <w:rsid w:val="00343E4E"/>
    <w:rsid w:val="00344EB3"/>
    <w:rsid w:val="00356E85"/>
    <w:rsid w:val="00366199"/>
    <w:rsid w:val="0038111A"/>
    <w:rsid w:val="00387BFF"/>
    <w:rsid w:val="0039223A"/>
    <w:rsid w:val="003A14EA"/>
    <w:rsid w:val="003B5C47"/>
    <w:rsid w:val="003D001E"/>
    <w:rsid w:val="0040394C"/>
    <w:rsid w:val="00415376"/>
    <w:rsid w:val="00415D1D"/>
    <w:rsid w:val="00477B4A"/>
    <w:rsid w:val="00483CA2"/>
    <w:rsid w:val="004856F2"/>
    <w:rsid w:val="004937D2"/>
    <w:rsid w:val="00495D54"/>
    <w:rsid w:val="004B5F0E"/>
    <w:rsid w:val="004C36E0"/>
    <w:rsid w:val="004D3DA9"/>
    <w:rsid w:val="004E042C"/>
    <w:rsid w:val="004F0F7F"/>
    <w:rsid w:val="00521308"/>
    <w:rsid w:val="005729E3"/>
    <w:rsid w:val="005C4090"/>
    <w:rsid w:val="005C553E"/>
    <w:rsid w:val="005D4A30"/>
    <w:rsid w:val="005E20DD"/>
    <w:rsid w:val="00612EC7"/>
    <w:rsid w:val="006229C7"/>
    <w:rsid w:val="00623ABF"/>
    <w:rsid w:val="0062750C"/>
    <w:rsid w:val="00657883"/>
    <w:rsid w:val="00672A0A"/>
    <w:rsid w:val="006B5B73"/>
    <w:rsid w:val="006C5F4E"/>
    <w:rsid w:val="006F19A0"/>
    <w:rsid w:val="00710E6B"/>
    <w:rsid w:val="00711D98"/>
    <w:rsid w:val="007401FF"/>
    <w:rsid w:val="00790941"/>
    <w:rsid w:val="00792692"/>
    <w:rsid w:val="00794133"/>
    <w:rsid w:val="008028C1"/>
    <w:rsid w:val="00813612"/>
    <w:rsid w:val="008366DC"/>
    <w:rsid w:val="00844839"/>
    <w:rsid w:val="008675AC"/>
    <w:rsid w:val="008771DE"/>
    <w:rsid w:val="00881C20"/>
    <w:rsid w:val="008B3375"/>
    <w:rsid w:val="008C36FE"/>
    <w:rsid w:val="008D32D7"/>
    <w:rsid w:val="008E2500"/>
    <w:rsid w:val="008E7338"/>
    <w:rsid w:val="008F6D47"/>
    <w:rsid w:val="00912EE3"/>
    <w:rsid w:val="00940311"/>
    <w:rsid w:val="0094415B"/>
    <w:rsid w:val="00947AF9"/>
    <w:rsid w:val="00965B0F"/>
    <w:rsid w:val="00965BA5"/>
    <w:rsid w:val="0097761B"/>
    <w:rsid w:val="009806EE"/>
    <w:rsid w:val="00980FB9"/>
    <w:rsid w:val="009944A7"/>
    <w:rsid w:val="009D3F1D"/>
    <w:rsid w:val="009E1AB3"/>
    <w:rsid w:val="009F1C13"/>
    <w:rsid w:val="00A02172"/>
    <w:rsid w:val="00A02226"/>
    <w:rsid w:val="00A1182B"/>
    <w:rsid w:val="00A119AD"/>
    <w:rsid w:val="00A16C02"/>
    <w:rsid w:val="00A2631C"/>
    <w:rsid w:val="00A3095C"/>
    <w:rsid w:val="00A46258"/>
    <w:rsid w:val="00A5355E"/>
    <w:rsid w:val="00A65191"/>
    <w:rsid w:val="00A65E67"/>
    <w:rsid w:val="00A70563"/>
    <w:rsid w:val="00A82EBD"/>
    <w:rsid w:val="00A84AC5"/>
    <w:rsid w:val="00A97E31"/>
    <w:rsid w:val="00AE0C3A"/>
    <w:rsid w:val="00B319AD"/>
    <w:rsid w:val="00B41E07"/>
    <w:rsid w:val="00B5178D"/>
    <w:rsid w:val="00B61FD9"/>
    <w:rsid w:val="00BC3633"/>
    <w:rsid w:val="00BE1AAE"/>
    <w:rsid w:val="00BF0D72"/>
    <w:rsid w:val="00C44039"/>
    <w:rsid w:val="00C60767"/>
    <w:rsid w:val="00C67BC4"/>
    <w:rsid w:val="00C717F4"/>
    <w:rsid w:val="00C74FF4"/>
    <w:rsid w:val="00C84E7B"/>
    <w:rsid w:val="00CB5474"/>
    <w:rsid w:val="00CE1CB6"/>
    <w:rsid w:val="00CF209E"/>
    <w:rsid w:val="00D041EB"/>
    <w:rsid w:val="00D11731"/>
    <w:rsid w:val="00D27DF9"/>
    <w:rsid w:val="00D6109A"/>
    <w:rsid w:val="00D82FEA"/>
    <w:rsid w:val="00D87994"/>
    <w:rsid w:val="00D91A50"/>
    <w:rsid w:val="00DC5B5B"/>
    <w:rsid w:val="00DC7427"/>
    <w:rsid w:val="00DE672F"/>
    <w:rsid w:val="00DF4617"/>
    <w:rsid w:val="00E13C49"/>
    <w:rsid w:val="00E35747"/>
    <w:rsid w:val="00E55A76"/>
    <w:rsid w:val="00E82C27"/>
    <w:rsid w:val="00E955FF"/>
    <w:rsid w:val="00EA48C1"/>
    <w:rsid w:val="00EA77EC"/>
    <w:rsid w:val="00EB19A1"/>
    <w:rsid w:val="00EB5E13"/>
    <w:rsid w:val="00EB7E20"/>
    <w:rsid w:val="00EF7763"/>
    <w:rsid w:val="00FB41E2"/>
    <w:rsid w:val="00FC1FFF"/>
    <w:rsid w:val="00FD0441"/>
    <w:rsid w:val="00FD1E57"/>
    <w:rsid w:val="00FD6C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446A36"/>
  <w15:chartTrackingRefBased/>
  <w15:docId w15:val="{6B9B5AAA-E5DC-46D1-B68C-B20013AF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0FB9"/>
    <w:pPr>
      <w:autoSpaceDE w:val="0"/>
      <w:autoSpaceDN w:val="0"/>
      <w:adjustRightInd w:val="0"/>
      <w:snapToGrid w:val="0"/>
      <w:spacing w:after="120" w:line="240" w:lineRule="auto"/>
      <w:jc w:val="both"/>
    </w:pPr>
    <w:rPr>
      <w:rFonts w:ascii="Times New Roman" w:eastAsia="SimSun" w:hAnsi="Times New Roman" w:cs="Times New Roman"/>
      <w:lang w:eastAsia="en-US"/>
    </w:rPr>
  </w:style>
  <w:style w:type="paragraph" w:styleId="Heading1">
    <w:name w:val="heading 1"/>
    <w:basedOn w:val="Normal"/>
    <w:next w:val="Normal"/>
    <w:link w:val="Heading1Char"/>
    <w:qFormat/>
    <w:rsid w:val="00980FB9"/>
    <w:pPr>
      <w:keepNext/>
      <w:numPr>
        <w:numId w:val="1"/>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link w:val="Heading2Char"/>
    <w:qFormat/>
    <w:rsid w:val="00980FB9"/>
    <w:pPr>
      <w:keepNext/>
      <w:numPr>
        <w:ilvl w:val="1"/>
        <w:numId w:val="1"/>
      </w:numPr>
      <w:tabs>
        <w:tab w:val="clear" w:pos="1746"/>
      </w:tabs>
      <w:spacing w:before="120"/>
      <w:ind w:left="576"/>
      <w:outlineLvl w:val="1"/>
    </w:pPr>
    <w:rPr>
      <w:rFonts w:ascii="Arial" w:hAnsi="Arial"/>
      <w:b/>
      <w:bCs/>
      <w:sz w:val="24"/>
    </w:rPr>
  </w:style>
  <w:style w:type="paragraph" w:styleId="Heading3">
    <w:name w:val="heading 3"/>
    <w:basedOn w:val="Normal"/>
    <w:next w:val="Normal"/>
    <w:link w:val="Heading3Char"/>
    <w:qFormat/>
    <w:rsid w:val="00980FB9"/>
    <w:pPr>
      <w:keepNext/>
      <w:numPr>
        <w:ilvl w:val="2"/>
        <w:numId w:val="1"/>
      </w:numPr>
      <w:tabs>
        <w:tab w:val="clear" w:pos="720"/>
      </w:tabs>
      <w:spacing w:before="120"/>
      <w:outlineLvl w:val="2"/>
    </w:pPr>
    <w:rPr>
      <w:rFonts w:ascii="Arial" w:hAnsi="Arial"/>
      <w:b/>
    </w:rPr>
  </w:style>
  <w:style w:type="paragraph" w:styleId="Heading4">
    <w:name w:val="heading 4"/>
    <w:basedOn w:val="Normal"/>
    <w:next w:val="Normal"/>
    <w:link w:val="Heading4Char"/>
    <w:qFormat/>
    <w:rsid w:val="00980FB9"/>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980FB9"/>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980FB9"/>
    <w:pPr>
      <w:numPr>
        <w:ilvl w:val="5"/>
        <w:numId w:val="1"/>
      </w:numPr>
      <w:spacing w:before="240" w:after="60"/>
      <w:outlineLvl w:val="5"/>
    </w:pPr>
    <w:rPr>
      <w:b/>
      <w:bCs/>
    </w:rPr>
  </w:style>
  <w:style w:type="paragraph" w:styleId="Heading7">
    <w:name w:val="heading 7"/>
    <w:basedOn w:val="Normal"/>
    <w:next w:val="Normal"/>
    <w:link w:val="Heading7Char"/>
    <w:qFormat/>
    <w:rsid w:val="00980FB9"/>
    <w:pPr>
      <w:numPr>
        <w:ilvl w:val="6"/>
        <w:numId w:val="1"/>
      </w:numPr>
      <w:spacing w:before="240" w:after="60"/>
      <w:outlineLvl w:val="6"/>
    </w:pPr>
    <w:rPr>
      <w:sz w:val="24"/>
      <w:szCs w:val="24"/>
    </w:rPr>
  </w:style>
  <w:style w:type="paragraph" w:styleId="Heading8">
    <w:name w:val="heading 8"/>
    <w:basedOn w:val="Normal"/>
    <w:next w:val="Normal"/>
    <w:link w:val="Heading8Char"/>
    <w:qFormat/>
    <w:rsid w:val="00980FB9"/>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980FB9"/>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80FB9"/>
    <w:rPr>
      <w:rFonts w:ascii="Arial" w:eastAsia="SimSun" w:hAnsi="Arial" w:cs="Times New Roman"/>
      <w:b/>
      <w:bCs/>
      <w:sz w:val="28"/>
      <w:szCs w:val="28"/>
      <w:lang w:eastAsia="en-US"/>
    </w:rPr>
  </w:style>
  <w:style w:type="character" w:customStyle="1" w:styleId="Heading2Char">
    <w:name w:val="Heading 2 Char"/>
    <w:basedOn w:val="DefaultParagraphFont"/>
    <w:link w:val="Heading2"/>
    <w:rsid w:val="00980FB9"/>
    <w:rPr>
      <w:rFonts w:ascii="Arial" w:eastAsia="SimSun" w:hAnsi="Arial" w:cs="Times New Roman"/>
      <w:b/>
      <w:bCs/>
      <w:sz w:val="24"/>
      <w:lang w:eastAsia="en-US"/>
    </w:rPr>
  </w:style>
  <w:style w:type="character" w:customStyle="1" w:styleId="Heading3Char">
    <w:name w:val="Heading 3 Char"/>
    <w:basedOn w:val="DefaultParagraphFont"/>
    <w:link w:val="Heading3"/>
    <w:rsid w:val="00980FB9"/>
    <w:rPr>
      <w:rFonts w:ascii="Arial" w:eastAsia="SimSun" w:hAnsi="Arial" w:cs="Times New Roman"/>
      <w:b/>
      <w:lang w:eastAsia="en-US"/>
    </w:rPr>
  </w:style>
  <w:style w:type="character" w:customStyle="1" w:styleId="Heading4Char">
    <w:name w:val="Heading 4 Char"/>
    <w:basedOn w:val="DefaultParagraphFont"/>
    <w:link w:val="Heading4"/>
    <w:rsid w:val="00980FB9"/>
    <w:rPr>
      <w:rFonts w:ascii="Times New Roman" w:eastAsia="SimSun" w:hAnsi="Times New Roman" w:cs="Times New Roman"/>
      <w:b/>
      <w:bCs/>
      <w:szCs w:val="28"/>
      <w:lang w:eastAsia="en-US"/>
    </w:rPr>
  </w:style>
  <w:style w:type="character" w:customStyle="1" w:styleId="Heading5Char">
    <w:name w:val="Heading 5 Char"/>
    <w:basedOn w:val="DefaultParagraphFont"/>
    <w:link w:val="Heading5"/>
    <w:rsid w:val="00980FB9"/>
    <w:rPr>
      <w:rFonts w:ascii="Times New Roman" w:eastAsia="SimSun" w:hAnsi="Times New Roman" w:cs="Times New Roman"/>
      <w:b/>
      <w:bCs/>
      <w:i/>
      <w:iCs/>
      <w:szCs w:val="26"/>
      <w:lang w:eastAsia="en-US"/>
    </w:rPr>
  </w:style>
  <w:style w:type="character" w:customStyle="1" w:styleId="Heading6Char">
    <w:name w:val="Heading 6 Char"/>
    <w:basedOn w:val="DefaultParagraphFont"/>
    <w:link w:val="Heading6"/>
    <w:rsid w:val="00980FB9"/>
    <w:rPr>
      <w:rFonts w:ascii="Times New Roman" w:eastAsia="SimSun" w:hAnsi="Times New Roman" w:cs="Times New Roman"/>
      <w:b/>
      <w:bCs/>
      <w:lang w:eastAsia="en-US"/>
    </w:rPr>
  </w:style>
  <w:style w:type="character" w:customStyle="1" w:styleId="Heading7Char">
    <w:name w:val="Heading 7 Char"/>
    <w:basedOn w:val="DefaultParagraphFont"/>
    <w:link w:val="Heading7"/>
    <w:rsid w:val="00980FB9"/>
    <w:rPr>
      <w:rFonts w:ascii="Times New Roman" w:eastAsia="SimSun" w:hAnsi="Times New Roman" w:cs="Times New Roman"/>
      <w:sz w:val="24"/>
      <w:szCs w:val="24"/>
      <w:lang w:eastAsia="en-US"/>
    </w:rPr>
  </w:style>
  <w:style w:type="character" w:customStyle="1" w:styleId="Heading8Char">
    <w:name w:val="Heading 8 Char"/>
    <w:basedOn w:val="DefaultParagraphFont"/>
    <w:link w:val="Heading8"/>
    <w:rsid w:val="00980FB9"/>
    <w:rPr>
      <w:rFonts w:ascii="Times New Roman" w:eastAsia="SimSun" w:hAnsi="Times New Roman" w:cs="Times New Roman"/>
      <w:i/>
      <w:iCs/>
      <w:sz w:val="24"/>
      <w:szCs w:val="24"/>
      <w:lang w:eastAsia="en-US"/>
    </w:rPr>
  </w:style>
  <w:style w:type="character" w:customStyle="1" w:styleId="Heading9Char">
    <w:name w:val="Heading 9 Char"/>
    <w:basedOn w:val="DefaultParagraphFont"/>
    <w:link w:val="Heading9"/>
    <w:rsid w:val="00980FB9"/>
    <w:rPr>
      <w:rFonts w:ascii="Arial" w:eastAsia="SimSun" w:hAnsi="Arial" w:cs="Arial"/>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980FB9"/>
    <w:pPr>
      <w:numPr>
        <w:numId w:val="2"/>
      </w:numPr>
      <w:autoSpaceDE/>
      <w:autoSpaceDN/>
      <w:adjustRightInd/>
      <w:snapToGrid/>
      <w:contextualSpacing/>
    </w:pPr>
    <w:rPr>
      <w:rFonts w:eastAsia="DengXian"/>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980FB9"/>
    <w:rPr>
      <w:rFonts w:ascii="Times New Roman" w:eastAsia="DengXian" w:hAnsi="Times New Roman" w:cs="Times New Roman"/>
      <w:lang w:eastAsia="en-US"/>
    </w:rPr>
  </w:style>
  <w:style w:type="character" w:styleId="Hyperlink">
    <w:name w:val="Hyperlink"/>
    <w:uiPriority w:val="99"/>
    <w:rsid w:val="00980FB9"/>
    <w:rPr>
      <w:color w:val="0000FF"/>
      <w:u w:val="single"/>
    </w:rPr>
  </w:style>
  <w:style w:type="paragraph" w:styleId="BodyText">
    <w:name w:val="Body Text"/>
    <w:aliases w:val="bt,正文文本,正 文 文 本,본 문"/>
    <w:basedOn w:val="Normal"/>
    <w:link w:val="BodyTextChar"/>
    <w:qFormat/>
    <w:rsid w:val="007401FF"/>
    <w:pPr>
      <w:autoSpaceDE/>
      <w:autoSpaceDN/>
      <w:adjustRightInd/>
      <w:snapToGrid/>
    </w:pPr>
    <w:rPr>
      <w:rFonts w:ascii="Times" w:eastAsia="Batang" w:hAnsi="Times"/>
      <w:sz w:val="20"/>
      <w:szCs w:val="24"/>
      <w:lang w:val="en-GB" w:eastAsia="x-none"/>
    </w:rPr>
  </w:style>
  <w:style w:type="character" w:customStyle="1" w:styleId="BodyTextChar">
    <w:name w:val="Body Text Char"/>
    <w:aliases w:val="bt Char,正文文本 Char,正 文 文 本 Char,본 문 Char"/>
    <w:basedOn w:val="DefaultParagraphFont"/>
    <w:link w:val="BodyText"/>
    <w:qFormat/>
    <w:rsid w:val="007401FF"/>
    <w:rPr>
      <w:rFonts w:ascii="Times" w:eastAsia="Batang" w:hAnsi="Times" w:cs="Times New Roman"/>
      <w:sz w:val="20"/>
      <w:szCs w:val="24"/>
      <w:lang w:val="en-GB" w:eastAsia="x-none"/>
    </w:rPr>
  </w:style>
  <w:style w:type="paragraph" w:customStyle="1" w:styleId="References">
    <w:name w:val="References"/>
    <w:basedOn w:val="Normal"/>
    <w:rsid w:val="008C36FE"/>
    <w:pPr>
      <w:numPr>
        <w:numId w:val="14"/>
      </w:numPr>
      <w:adjustRightInd/>
      <w:spacing w:after="60"/>
    </w:pPr>
    <w:rPr>
      <w:sz w:val="20"/>
      <w:szCs w:val="16"/>
    </w:rPr>
  </w:style>
  <w:style w:type="character" w:styleId="Emphasis">
    <w:name w:val="Emphasis"/>
    <w:basedOn w:val="DefaultParagraphFont"/>
    <w:uiPriority w:val="20"/>
    <w:qFormat/>
    <w:rsid w:val="008C36FE"/>
    <w:rPr>
      <w:i/>
      <w:iCs/>
    </w:rPr>
  </w:style>
  <w:style w:type="paragraph" w:customStyle="1" w:styleId="2222">
    <w:name w:val="스타일 스타일 스타일 스타일 양쪽 첫 줄:  2 글자 + 첫 줄:  2 글자 + 첫 줄:  2 글자 + 첫 줄:  2..."/>
    <w:basedOn w:val="Normal"/>
    <w:link w:val="2222Char"/>
    <w:rsid w:val="008C36FE"/>
    <w:pPr>
      <w:autoSpaceDE/>
      <w:autoSpaceDN/>
      <w:adjustRightInd/>
      <w:snapToGrid/>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basedOn w:val="DefaultParagraphFont"/>
    <w:link w:val="2222"/>
    <w:rsid w:val="008C36FE"/>
    <w:rPr>
      <w:rFonts w:ascii="Times New Roman" w:eastAsia="Malgun Gothic" w:hAnsi="Times New Roman" w:cs="Batang"/>
      <w:szCs w:val="20"/>
      <w:lang w:val="en-GB" w:eastAsia="en-US"/>
    </w:rPr>
  </w:style>
  <w:style w:type="paragraph" w:styleId="NormalWeb">
    <w:name w:val="Normal (Web)"/>
    <w:basedOn w:val="Normal"/>
    <w:uiPriority w:val="99"/>
    <w:semiHidden/>
    <w:unhideWhenUsed/>
    <w:rsid w:val="00B61FD9"/>
    <w:pPr>
      <w:autoSpaceDE/>
      <w:autoSpaceDN/>
      <w:adjustRightInd/>
      <w:snapToGrid/>
      <w:spacing w:before="100" w:beforeAutospacing="1" w:after="100" w:afterAutospacing="1"/>
      <w:jc w:val="left"/>
    </w:pPr>
    <w:rPr>
      <w:rFonts w:ascii="Calibri" w:eastAsiaTheme="minorHAnsi" w:hAnsi="Calibri" w:cs="Calibri"/>
    </w:rPr>
  </w:style>
  <w:style w:type="paragraph" w:customStyle="1" w:styleId="B1">
    <w:name w:val="B1"/>
    <w:basedOn w:val="Normal"/>
    <w:link w:val="B1Zchn"/>
    <w:qFormat/>
    <w:rsid w:val="00D041EB"/>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D041EB"/>
    <w:rPr>
      <w:rFonts w:ascii="Times New Roman" w:eastAsia="Times New Roman" w:hAnsi="Times New Roman" w:cs="Times New Roman"/>
      <w:sz w:val="20"/>
      <w:szCs w:val="20"/>
      <w:lang w:val="x-none" w:eastAsia="en-US"/>
    </w:rPr>
  </w:style>
  <w:style w:type="table" w:styleId="TableGrid">
    <w:name w:val="Table Grid"/>
    <w:aliases w:val="TableGrid"/>
    <w:basedOn w:val="TableNormal"/>
    <w:qFormat/>
    <w:rsid w:val="00EA48C1"/>
    <w:pPr>
      <w:widowControl w:val="0"/>
      <w:autoSpaceDE w:val="0"/>
      <w:autoSpaceDN w:val="0"/>
      <w:adjustRightInd w:val="0"/>
      <w:spacing w:after="120" w:line="240" w:lineRule="auto"/>
      <w:jc w:val="both"/>
    </w:pPr>
    <w:rPr>
      <w:rFonts w:ascii="Times New Roman" w:eastAsia="SimSu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qFormat/>
    <w:rsid w:val="00612EC7"/>
  </w:style>
  <w:style w:type="paragraph" w:styleId="BalloonText">
    <w:name w:val="Balloon Text"/>
    <w:basedOn w:val="Normal"/>
    <w:link w:val="BalloonTextChar"/>
    <w:uiPriority w:val="99"/>
    <w:semiHidden/>
    <w:unhideWhenUsed/>
    <w:rsid w:val="00AE0C3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E0C3A"/>
    <w:rPr>
      <w:rFonts w:ascii="Segoe UI" w:eastAsia="SimSun" w:hAnsi="Segoe UI" w:cs="Segoe UI"/>
      <w:sz w:val="18"/>
      <w:szCs w:val="18"/>
      <w:lang w:eastAsia="en-US"/>
    </w:rPr>
  </w:style>
  <w:style w:type="character" w:styleId="CommentReference">
    <w:name w:val="annotation reference"/>
    <w:basedOn w:val="DefaultParagraphFont"/>
    <w:uiPriority w:val="99"/>
    <w:semiHidden/>
    <w:unhideWhenUsed/>
    <w:rsid w:val="00AE0C3A"/>
    <w:rPr>
      <w:sz w:val="16"/>
      <w:szCs w:val="16"/>
    </w:rPr>
  </w:style>
  <w:style w:type="paragraph" w:styleId="CommentText">
    <w:name w:val="annotation text"/>
    <w:basedOn w:val="Normal"/>
    <w:link w:val="CommentTextChar"/>
    <w:uiPriority w:val="99"/>
    <w:semiHidden/>
    <w:unhideWhenUsed/>
    <w:rsid w:val="00AE0C3A"/>
    <w:rPr>
      <w:sz w:val="20"/>
      <w:szCs w:val="20"/>
    </w:rPr>
  </w:style>
  <w:style w:type="character" w:customStyle="1" w:styleId="CommentTextChar">
    <w:name w:val="Comment Text Char"/>
    <w:basedOn w:val="DefaultParagraphFont"/>
    <w:link w:val="CommentText"/>
    <w:uiPriority w:val="99"/>
    <w:semiHidden/>
    <w:rsid w:val="00AE0C3A"/>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AE0C3A"/>
    <w:rPr>
      <w:b/>
      <w:bCs/>
    </w:rPr>
  </w:style>
  <w:style w:type="character" w:customStyle="1" w:styleId="CommentSubjectChar">
    <w:name w:val="Comment Subject Char"/>
    <w:basedOn w:val="CommentTextChar"/>
    <w:link w:val="CommentSubject"/>
    <w:uiPriority w:val="99"/>
    <w:semiHidden/>
    <w:rsid w:val="00AE0C3A"/>
    <w:rPr>
      <w:rFonts w:ascii="Times New Roman" w:eastAsia="SimSun" w:hAnsi="Times New Roman" w:cs="Times New Roman"/>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hyperlink" Target="file:///C:\Users\wanshic\OneDrive%20-%20Qualcomm\Documents\Standards\3GPP%20Standards\Meeting%20Documents\TSGR1_104\Docs\R1-2102072.zip" TargetMode="External"/><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8E6B6-2CCA-4D0C-8420-8DA4C16E1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3758</Words>
  <Characters>21423</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 Gao</dc:creator>
  <cp:keywords/>
  <dc:description/>
  <cp:lastModifiedBy>George Calcev</cp:lastModifiedBy>
  <cp:revision>3</cp:revision>
  <dcterms:created xsi:type="dcterms:W3CDTF">2021-04-06T21:21:00Z</dcterms:created>
  <dcterms:modified xsi:type="dcterms:W3CDTF">2021-04-07T00:09:00Z</dcterms:modified>
</cp:coreProperties>
</file>