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E535C" w14:textId="15115690" w:rsidR="001B3AA0" w:rsidRPr="00DE5B89" w:rsidRDefault="001B3AA0" w:rsidP="001B3AA0">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554442">
        <w:rPr>
          <w:bCs/>
          <w:sz w:val="24"/>
        </w:rPr>
        <w:t>4</w:t>
      </w:r>
      <w:r w:rsidR="00DF3590">
        <w:rPr>
          <w:bCs/>
          <w:sz w:val="24"/>
        </w:rPr>
        <w:t>b</w:t>
      </w:r>
      <w:r w:rsidR="003F4618">
        <w:rPr>
          <w:bCs/>
          <w:sz w:val="24"/>
        </w:rPr>
        <w:t>is</w:t>
      </w:r>
      <w:bookmarkStart w:id="4" w:name="_GoBack"/>
      <w:bookmarkEnd w:id="4"/>
      <w:r>
        <w:rPr>
          <w:bCs/>
          <w:sz w:val="24"/>
        </w:rPr>
        <w:t>-e</w:t>
      </w:r>
      <w:r w:rsidRPr="00DE5B89">
        <w:rPr>
          <w:bCs/>
          <w:sz w:val="24"/>
        </w:rPr>
        <w:tab/>
      </w:r>
      <w:r w:rsidRPr="00657AE4">
        <w:rPr>
          <w:bCs/>
          <w:sz w:val="24"/>
        </w:rPr>
        <w:t>R1-2</w:t>
      </w:r>
      <w:r w:rsidR="00554442">
        <w:rPr>
          <w:bCs/>
          <w:sz w:val="24"/>
        </w:rPr>
        <w:t>1</w:t>
      </w:r>
      <w:r w:rsidR="00320B7F">
        <w:rPr>
          <w:bCs/>
          <w:sz w:val="24"/>
        </w:rPr>
        <w:t>02652</w:t>
      </w:r>
    </w:p>
    <w:bookmarkEnd w:id="0"/>
    <w:p w14:paraId="5470A9BE" w14:textId="23C0A3E0" w:rsidR="001B3AA0" w:rsidRPr="00DE5B89" w:rsidRDefault="001B3AA0" w:rsidP="001B3AA0">
      <w:pPr>
        <w:pStyle w:val="Header"/>
        <w:rPr>
          <w:bCs/>
          <w:sz w:val="24"/>
        </w:rPr>
      </w:pPr>
      <w:r w:rsidRPr="00A31EF1">
        <w:rPr>
          <w:bCs/>
          <w:sz w:val="24"/>
        </w:rPr>
        <w:t xml:space="preserve">e-Meeting, </w:t>
      </w:r>
      <w:r w:rsidR="00A30B79">
        <w:rPr>
          <w:bCs/>
          <w:sz w:val="24"/>
        </w:rPr>
        <w:t>April 12</w:t>
      </w:r>
      <w:r w:rsidRPr="00621D04">
        <w:rPr>
          <w:bCs/>
          <w:sz w:val="24"/>
          <w:vertAlign w:val="superscript"/>
        </w:rPr>
        <w:t>th</w:t>
      </w:r>
      <w:r w:rsidRPr="00621D04">
        <w:rPr>
          <w:bCs/>
          <w:sz w:val="24"/>
        </w:rPr>
        <w:t xml:space="preserve"> – </w:t>
      </w:r>
      <w:r w:rsidR="00554442">
        <w:rPr>
          <w:bCs/>
          <w:sz w:val="24"/>
        </w:rPr>
        <w:t>2</w:t>
      </w:r>
      <w:r w:rsidR="00A30B79">
        <w:rPr>
          <w:bCs/>
          <w:sz w:val="24"/>
        </w:rPr>
        <w:t>0</w:t>
      </w:r>
      <w:r w:rsidRPr="00621D04">
        <w:rPr>
          <w:bCs/>
          <w:sz w:val="24"/>
          <w:vertAlign w:val="superscript"/>
        </w:rPr>
        <w:t>th</w:t>
      </w:r>
      <w:r w:rsidRPr="00621D04">
        <w:rPr>
          <w:bCs/>
          <w:sz w:val="24"/>
        </w:rPr>
        <w:t>, 202</w:t>
      </w:r>
      <w:r w:rsidR="00554442">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893D29">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5" w:name="OLE_LINK1"/>
      <w:bookmarkStart w:id="6" w:name="OLE_LINK2"/>
      <w:r w:rsidR="008F23B9" w:rsidRPr="00DE5B89">
        <w:rPr>
          <w:rFonts w:ascii="Arial" w:hAnsi="Arial" w:cs="Arial"/>
          <w:b/>
          <w:bCs/>
          <w:sz w:val="24"/>
          <w:lang w:val="en-US"/>
        </w:rPr>
        <w:t>Nokia</w:t>
      </w:r>
      <w:bookmarkEnd w:id="5"/>
      <w:bookmarkEnd w:id="6"/>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09E2C87B"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0141E1AA"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DB43B9">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8"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8"/>
      <w:r w:rsidRPr="00200CBF">
        <w:rPr>
          <w:lang w:val="en-US"/>
        </w:rPr>
        <w:t xml:space="preserve"> </w:t>
      </w:r>
    </w:p>
    <w:p w14:paraId="64502198" w14:textId="77777777" w:rsidR="00E420B1" w:rsidRDefault="00E420B1" w:rsidP="00783BCB">
      <w:pPr>
        <w:pStyle w:val="ListParagraph"/>
        <w:spacing w:before="240" w:after="120"/>
        <w:ind w:left="0"/>
        <w:contextualSpacing w:val="0"/>
        <w:jc w:val="both"/>
        <w:rPr>
          <w:lang w:val="en-US"/>
        </w:rPr>
      </w:pPr>
      <w:r>
        <w:rPr>
          <w:lang w:val="en-US"/>
        </w:rPr>
        <w:t>In RAN1#10</w:t>
      </w:r>
      <w:r w:rsidR="00554442">
        <w:rPr>
          <w:lang w:val="en-US"/>
        </w:rPr>
        <w:t>3</w:t>
      </w:r>
      <w:r>
        <w:rPr>
          <w:lang w:val="en-US"/>
        </w:rPr>
        <w:t>e, the following agreements were made –</w:t>
      </w:r>
    </w:p>
    <w:p w14:paraId="02938689" w14:textId="77777777" w:rsidR="00507F47" w:rsidRPr="00507F47" w:rsidRDefault="00507F47" w:rsidP="00507F47">
      <w:pPr>
        <w:overflowPunct/>
        <w:autoSpaceDE/>
        <w:autoSpaceDN/>
        <w:adjustRightInd/>
        <w:spacing w:after="0"/>
        <w:textAlignment w:val="auto"/>
        <w:rPr>
          <w:rFonts w:ascii="Times" w:eastAsia="Batang" w:hAnsi="Times" w:cs="Times"/>
          <w:b/>
          <w:bCs/>
          <w:szCs w:val="24"/>
          <w:highlight w:val="darkYellow"/>
          <w:lang w:eastAsia="x-none"/>
        </w:rPr>
      </w:pPr>
      <w:r w:rsidRPr="00507F47">
        <w:rPr>
          <w:rFonts w:ascii="Times" w:eastAsia="Batang" w:hAnsi="Times" w:cs="Times"/>
          <w:b/>
          <w:bCs/>
          <w:szCs w:val="24"/>
          <w:highlight w:val="darkYellow"/>
          <w:lang w:eastAsia="x-none"/>
        </w:rPr>
        <w:t>Working Assumption</w:t>
      </w:r>
    </w:p>
    <w:p w14:paraId="709CF588" w14:textId="61D5967C" w:rsidR="00507F47" w:rsidRDefault="00507F47" w:rsidP="00507F47">
      <w:pPr>
        <w:suppressAutoHyphens/>
        <w:autoSpaceDE/>
        <w:autoSpaceDN/>
        <w:adjustRightInd/>
        <w:spacing w:after="0"/>
        <w:rPr>
          <w:rFonts w:ascii="Times" w:eastAsia="Times New Roman" w:hAnsi="Times" w:cs="Times"/>
          <w:lang w:eastAsia="ar-SA"/>
        </w:rPr>
      </w:pPr>
      <w:r w:rsidRPr="00507F47">
        <w:rPr>
          <w:rFonts w:ascii="Times" w:eastAsia="Times New Roman" w:hAnsi="Times" w:cs="Times"/>
          <w:lang w:eastAsia="ar-SA"/>
        </w:rPr>
        <w:t>The previous working assumption on the following TBS indices for downlink is updated with following modifications:</w:t>
      </w:r>
    </w:p>
    <w:p w14:paraId="59FAF8A6" w14:textId="77777777" w:rsidR="00533C40" w:rsidRPr="00507F47" w:rsidRDefault="00533C40" w:rsidP="00507F47">
      <w:pPr>
        <w:suppressAutoHyphens/>
        <w:autoSpaceDE/>
        <w:autoSpaceDN/>
        <w:adjustRightInd/>
        <w:spacing w:after="0"/>
        <w:rPr>
          <w:rFonts w:ascii="Times" w:eastAsia="Times New Roman" w:hAnsi="Times" w:cs="Times"/>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507F47" w:rsidRPr="00507F47" w14:paraId="0B11B8D0" w14:textId="77777777" w:rsidTr="007B19E1">
        <w:trPr>
          <w:cantSplit/>
          <w:jc w:val="center"/>
        </w:trPr>
        <w:tc>
          <w:tcPr>
            <w:tcW w:w="652" w:type="dxa"/>
            <w:vMerge w:val="restart"/>
            <w:tcBorders>
              <w:right w:val="double" w:sz="4" w:space="0" w:color="auto"/>
            </w:tcBorders>
            <w:shd w:val="clear" w:color="auto" w:fill="E0E0E0"/>
            <w:vAlign w:val="center"/>
          </w:tcPr>
          <w:p w14:paraId="50845DD9"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position w:val="-10"/>
                <w:sz w:val="18"/>
                <w:szCs w:val="18"/>
              </w:rPr>
              <w:object w:dxaOrig="426" w:dyaOrig="276" w14:anchorId="0B88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v:imagedata r:id="rId13" o:title=""/>
                </v:shape>
                <o:OLEObject Type="Embed" ProgID="Equation.3" ShapeID="_x0000_i1025" DrawAspect="Content" ObjectID="_1679208712" r:id="rId14"/>
              </w:object>
            </w:r>
          </w:p>
        </w:tc>
        <w:tc>
          <w:tcPr>
            <w:tcW w:w="0" w:type="auto"/>
            <w:gridSpan w:val="8"/>
            <w:tcBorders>
              <w:left w:val="double" w:sz="4" w:space="0" w:color="auto"/>
            </w:tcBorders>
            <w:shd w:val="clear" w:color="auto" w:fill="E0E0E0"/>
            <w:vAlign w:val="center"/>
          </w:tcPr>
          <w:p w14:paraId="01112DAB"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b/>
                <w:position w:val="-12"/>
                <w:sz w:val="18"/>
              </w:rPr>
              <w:object w:dxaOrig="276" w:dyaOrig="426" w14:anchorId="0143013F">
                <v:shape id="_x0000_i1026" type="#_x0000_t75" style="width:13.5pt;height:21pt" o:ole="">
                  <v:imagedata r:id="rId15" o:title=""/>
                </v:shape>
                <o:OLEObject Type="Embed" ProgID="Equation.DSMT4" ShapeID="_x0000_i1026" DrawAspect="Content" ObjectID="_1679208713" r:id="rId16"/>
              </w:object>
            </w:r>
          </w:p>
        </w:tc>
      </w:tr>
      <w:tr w:rsidR="00507F47" w:rsidRPr="00507F47" w14:paraId="336DF01A" w14:textId="77777777" w:rsidTr="007B19E1">
        <w:trPr>
          <w:cantSplit/>
          <w:jc w:val="center"/>
        </w:trPr>
        <w:tc>
          <w:tcPr>
            <w:tcW w:w="652" w:type="dxa"/>
            <w:vMerge/>
            <w:tcBorders>
              <w:bottom w:val="double" w:sz="4" w:space="0" w:color="auto"/>
              <w:right w:val="double" w:sz="4" w:space="0" w:color="auto"/>
            </w:tcBorders>
            <w:shd w:val="clear" w:color="auto" w:fill="E0E0E0"/>
            <w:vAlign w:val="center"/>
          </w:tcPr>
          <w:p w14:paraId="41EBC62D"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p>
        </w:tc>
        <w:tc>
          <w:tcPr>
            <w:tcW w:w="0" w:type="auto"/>
            <w:tcBorders>
              <w:left w:val="double" w:sz="4" w:space="0" w:color="auto"/>
              <w:bottom w:val="double" w:sz="4" w:space="0" w:color="auto"/>
            </w:tcBorders>
            <w:shd w:val="clear" w:color="auto" w:fill="E0E0E0"/>
            <w:vAlign w:val="center"/>
          </w:tcPr>
          <w:p w14:paraId="0D1E7DB0"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0</w:t>
            </w:r>
          </w:p>
        </w:tc>
        <w:tc>
          <w:tcPr>
            <w:tcW w:w="0" w:type="auto"/>
            <w:tcBorders>
              <w:bottom w:val="double" w:sz="4" w:space="0" w:color="auto"/>
            </w:tcBorders>
            <w:shd w:val="clear" w:color="auto" w:fill="E0E0E0"/>
            <w:vAlign w:val="center"/>
          </w:tcPr>
          <w:p w14:paraId="65C86FC0"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1</w:t>
            </w:r>
          </w:p>
        </w:tc>
        <w:tc>
          <w:tcPr>
            <w:tcW w:w="0" w:type="auto"/>
            <w:tcBorders>
              <w:bottom w:val="double" w:sz="4" w:space="0" w:color="auto"/>
            </w:tcBorders>
            <w:shd w:val="clear" w:color="auto" w:fill="E0E0E0"/>
            <w:vAlign w:val="center"/>
          </w:tcPr>
          <w:p w14:paraId="5573F609"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2</w:t>
            </w:r>
          </w:p>
        </w:tc>
        <w:tc>
          <w:tcPr>
            <w:tcW w:w="0" w:type="auto"/>
            <w:tcBorders>
              <w:bottom w:val="double" w:sz="4" w:space="0" w:color="auto"/>
            </w:tcBorders>
            <w:shd w:val="clear" w:color="auto" w:fill="E0E0E0"/>
            <w:vAlign w:val="center"/>
          </w:tcPr>
          <w:p w14:paraId="5CB29694"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3</w:t>
            </w:r>
          </w:p>
        </w:tc>
        <w:tc>
          <w:tcPr>
            <w:tcW w:w="0" w:type="auto"/>
            <w:tcBorders>
              <w:bottom w:val="double" w:sz="4" w:space="0" w:color="auto"/>
            </w:tcBorders>
            <w:shd w:val="clear" w:color="auto" w:fill="E0E0E0"/>
            <w:vAlign w:val="center"/>
          </w:tcPr>
          <w:p w14:paraId="4A478767"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4</w:t>
            </w:r>
          </w:p>
        </w:tc>
        <w:tc>
          <w:tcPr>
            <w:tcW w:w="0" w:type="auto"/>
            <w:tcBorders>
              <w:bottom w:val="double" w:sz="4" w:space="0" w:color="auto"/>
            </w:tcBorders>
            <w:shd w:val="clear" w:color="auto" w:fill="E0E0E0"/>
            <w:vAlign w:val="center"/>
          </w:tcPr>
          <w:p w14:paraId="352259E1"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5</w:t>
            </w:r>
          </w:p>
        </w:tc>
        <w:tc>
          <w:tcPr>
            <w:tcW w:w="0" w:type="auto"/>
            <w:tcBorders>
              <w:bottom w:val="double" w:sz="4" w:space="0" w:color="auto"/>
            </w:tcBorders>
            <w:shd w:val="clear" w:color="auto" w:fill="E0E0E0"/>
            <w:vAlign w:val="center"/>
          </w:tcPr>
          <w:p w14:paraId="01DECFF4"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6</w:t>
            </w:r>
          </w:p>
        </w:tc>
        <w:tc>
          <w:tcPr>
            <w:tcW w:w="0" w:type="auto"/>
            <w:tcBorders>
              <w:bottom w:val="double" w:sz="4" w:space="0" w:color="auto"/>
            </w:tcBorders>
            <w:shd w:val="clear" w:color="auto" w:fill="E0E0E0"/>
            <w:vAlign w:val="center"/>
          </w:tcPr>
          <w:p w14:paraId="5BDC747E" w14:textId="77777777" w:rsidR="00507F47" w:rsidRPr="00507F47" w:rsidRDefault="00507F47" w:rsidP="00507F47">
            <w:pPr>
              <w:keepNext/>
              <w:keepLines/>
              <w:autoSpaceDE/>
              <w:autoSpaceDN/>
              <w:adjustRightInd/>
              <w:spacing w:after="0"/>
              <w:jc w:val="center"/>
              <w:rPr>
                <w:rFonts w:ascii="Arial" w:eastAsia="Times New Roman" w:hAnsi="Arial" w:cs="Arial"/>
                <w:b/>
                <w:sz w:val="18"/>
                <w:szCs w:val="18"/>
              </w:rPr>
            </w:pPr>
            <w:r w:rsidRPr="00507F47">
              <w:rPr>
                <w:rFonts w:ascii="Arial" w:eastAsia="Times New Roman" w:hAnsi="Arial" w:cs="Arial"/>
                <w:b/>
                <w:sz w:val="18"/>
                <w:szCs w:val="18"/>
              </w:rPr>
              <w:t>7</w:t>
            </w:r>
          </w:p>
        </w:tc>
      </w:tr>
      <w:tr w:rsidR="00507F47" w:rsidRPr="00507F47" w14:paraId="085219B8"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BA0D643"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0448806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256</w:t>
            </w:r>
          </w:p>
        </w:tc>
        <w:tc>
          <w:tcPr>
            <w:tcW w:w="0" w:type="auto"/>
            <w:tcBorders>
              <w:top w:val="single" w:sz="4" w:space="0" w:color="auto"/>
              <w:left w:val="single" w:sz="4" w:space="0" w:color="auto"/>
              <w:bottom w:val="single" w:sz="4" w:space="0" w:color="auto"/>
              <w:right w:val="single" w:sz="4" w:space="0" w:color="auto"/>
            </w:tcBorders>
          </w:tcPr>
          <w:p w14:paraId="6C722AB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552</w:t>
            </w:r>
          </w:p>
        </w:tc>
        <w:tc>
          <w:tcPr>
            <w:tcW w:w="0" w:type="auto"/>
            <w:tcBorders>
              <w:top w:val="single" w:sz="4" w:space="0" w:color="auto"/>
              <w:left w:val="single" w:sz="4" w:space="0" w:color="auto"/>
              <w:bottom w:val="single" w:sz="4" w:space="0" w:color="auto"/>
              <w:right w:val="single" w:sz="4" w:space="0" w:color="auto"/>
            </w:tcBorders>
          </w:tcPr>
          <w:p w14:paraId="72DD4C4D"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840</w:t>
            </w:r>
          </w:p>
        </w:tc>
        <w:tc>
          <w:tcPr>
            <w:tcW w:w="0" w:type="auto"/>
            <w:tcBorders>
              <w:top w:val="single" w:sz="4" w:space="0" w:color="auto"/>
              <w:left w:val="single" w:sz="4" w:space="0" w:color="auto"/>
              <w:bottom w:val="single" w:sz="4" w:space="0" w:color="auto"/>
              <w:right w:val="single" w:sz="4" w:space="0" w:color="auto"/>
            </w:tcBorders>
          </w:tcPr>
          <w:p w14:paraId="2EC50B3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1128</w:t>
            </w:r>
          </w:p>
        </w:tc>
        <w:tc>
          <w:tcPr>
            <w:tcW w:w="0" w:type="auto"/>
            <w:tcBorders>
              <w:top w:val="single" w:sz="4" w:space="0" w:color="auto"/>
              <w:left w:val="single" w:sz="4" w:space="0" w:color="auto"/>
              <w:bottom w:val="single" w:sz="4" w:space="0" w:color="auto"/>
              <w:right w:val="single" w:sz="4" w:space="0" w:color="auto"/>
            </w:tcBorders>
          </w:tcPr>
          <w:p w14:paraId="584B8CA7"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1416</w:t>
            </w:r>
          </w:p>
        </w:tc>
        <w:tc>
          <w:tcPr>
            <w:tcW w:w="0" w:type="auto"/>
            <w:tcBorders>
              <w:top w:val="single" w:sz="4" w:space="0" w:color="auto"/>
              <w:left w:val="single" w:sz="4" w:space="0" w:color="auto"/>
              <w:bottom w:val="single" w:sz="4" w:space="0" w:color="auto"/>
              <w:right w:val="single" w:sz="4" w:space="0" w:color="auto"/>
            </w:tcBorders>
          </w:tcPr>
          <w:p w14:paraId="655FB670"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1736</w:t>
            </w:r>
          </w:p>
        </w:tc>
        <w:tc>
          <w:tcPr>
            <w:tcW w:w="0" w:type="auto"/>
            <w:tcBorders>
              <w:top w:val="single" w:sz="4" w:space="0" w:color="auto"/>
              <w:left w:val="single" w:sz="4" w:space="0" w:color="auto"/>
              <w:bottom w:val="single" w:sz="4" w:space="0" w:color="auto"/>
              <w:right w:val="single" w:sz="4" w:space="0" w:color="auto"/>
            </w:tcBorders>
          </w:tcPr>
          <w:p w14:paraId="23E6C360"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2280</w:t>
            </w:r>
          </w:p>
        </w:tc>
        <w:tc>
          <w:tcPr>
            <w:tcW w:w="0" w:type="auto"/>
            <w:tcBorders>
              <w:top w:val="single" w:sz="4" w:space="0" w:color="auto"/>
              <w:left w:val="single" w:sz="4" w:space="0" w:color="auto"/>
              <w:bottom w:val="single" w:sz="4" w:space="0" w:color="auto"/>
              <w:right w:val="single" w:sz="4" w:space="0" w:color="auto"/>
            </w:tcBorders>
          </w:tcPr>
          <w:p w14:paraId="66E207CC"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2856</w:t>
            </w:r>
          </w:p>
        </w:tc>
      </w:tr>
      <w:tr w:rsidR="00507F47" w:rsidRPr="00507F47" w14:paraId="3E69D343"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0B15DF1"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3F6DC5EF"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280</w:t>
            </w:r>
          </w:p>
        </w:tc>
        <w:tc>
          <w:tcPr>
            <w:tcW w:w="0" w:type="auto"/>
            <w:tcBorders>
              <w:top w:val="single" w:sz="4" w:space="0" w:color="auto"/>
              <w:left w:val="single" w:sz="4" w:space="0" w:color="auto"/>
              <w:bottom w:val="single" w:sz="4" w:space="0" w:color="auto"/>
              <w:right w:val="single" w:sz="4" w:space="0" w:color="auto"/>
            </w:tcBorders>
          </w:tcPr>
          <w:p w14:paraId="714F446D"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600</w:t>
            </w:r>
          </w:p>
        </w:tc>
        <w:tc>
          <w:tcPr>
            <w:tcW w:w="0" w:type="auto"/>
            <w:tcBorders>
              <w:top w:val="single" w:sz="4" w:space="0" w:color="auto"/>
              <w:left w:val="single" w:sz="4" w:space="0" w:color="auto"/>
              <w:bottom w:val="single" w:sz="4" w:space="0" w:color="auto"/>
              <w:right w:val="single" w:sz="4" w:space="0" w:color="auto"/>
            </w:tcBorders>
          </w:tcPr>
          <w:p w14:paraId="09010B4D"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904</w:t>
            </w:r>
          </w:p>
        </w:tc>
        <w:tc>
          <w:tcPr>
            <w:tcW w:w="0" w:type="auto"/>
            <w:tcBorders>
              <w:top w:val="single" w:sz="4" w:space="0" w:color="auto"/>
              <w:left w:val="single" w:sz="4" w:space="0" w:color="auto"/>
              <w:bottom w:val="single" w:sz="4" w:space="0" w:color="auto"/>
              <w:right w:val="single" w:sz="4" w:space="0" w:color="auto"/>
            </w:tcBorders>
          </w:tcPr>
          <w:p w14:paraId="081B4CA3"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1224</w:t>
            </w:r>
          </w:p>
        </w:tc>
        <w:tc>
          <w:tcPr>
            <w:tcW w:w="0" w:type="auto"/>
            <w:tcBorders>
              <w:top w:val="single" w:sz="4" w:space="0" w:color="auto"/>
              <w:left w:val="single" w:sz="4" w:space="0" w:color="auto"/>
              <w:bottom w:val="single" w:sz="4" w:space="0" w:color="auto"/>
              <w:right w:val="single" w:sz="4" w:space="0" w:color="auto"/>
            </w:tcBorders>
          </w:tcPr>
          <w:p w14:paraId="1A57BD8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1544</w:t>
            </w:r>
          </w:p>
        </w:tc>
        <w:tc>
          <w:tcPr>
            <w:tcW w:w="0" w:type="auto"/>
            <w:tcBorders>
              <w:top w:val="single" w:sz="4" w:space="0" w:color="auto"/>
              <w:left w:val="single" w:sz="4" w:space="0" w:color="auto"/>
              <w:bottom w:val="single" w:sz="4" w:space="0" w:color="auto"/>
              <w:right w:val="single" w:sz="4" w:space="0" w:color="auto"/>
            </w:tcBorders>
          </w:tcPr>
          <w:p w14:paraId="330E428D"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1800</w:t>
            </w:r>
          </w:p>
        </w:tc>
        <w:tc>
          <w:tcPr>
            <w:tcW w:w="0" w:type="auto"/>
            <w:tcBorders>
              <w:top w:val="single" w:sz="4" w:space="0" w:color="auto"/>
              <w:left w:val="single" w:sz="4" w:space="0" w:color="auto"/>
              <w:bottom w:val="single" w:sz="4" w:space="0" w:color="auto"/>
              <w:right w:val="single" w:sz="4" w:space="0" w:color="auto"/>
            </w:tcBorders>
          </w:tcPr>
          <w:p w14:paraId="451BEDA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5B78A549"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3112</w:t>
            </w:r>
          </w:p>
        </w:tc>
      </w:tr>
      <w:tr w:rsidR="00507F47" w:rsidRPr="00507F47" w14:paraId="66405B91"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CDA80D6"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658D873A"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trike/>
                <w:color w:val="FF0000"/>
                <w:sz w:val="16"/>
                <w:szCs w:val="16"/>
                <w:lang w:eastAsia="zh-CN"/>
              </w:rPr>
              <w:t>[</w:t>
            </w:r>
            <w:r w:rsidRPr="00507F47">
              <w:rPr>
                <w:rFonts w:ascii="Arial" w:eastAsia="Batang" w:hAnsi="Arial" w:cs="Arial"/>
                <w:sz w:val="16"/>
                <w:szCs w:val="16"/>
                <w:lang w:eastAsia="zh-CN"/>
              </w:rPr>
              <w:t>328</w:t>
            </w:r>
            <w:r w:rsidRPr="00507F47">
              <w:rPr>
                <w:rFonts w:ascii="Arial" w:eastAsia="Batang" w:hAnsi="Arial" w:cs="Arial"/>
                <w:strike/>
                <w:color w:val="FF0000"/>
                <w:sz w:val="16"/>
                <w:szCs w:val="16"/>
                <w:lang w:eastAsia="zh-CN"/>
              </w:rPr>
              <w:t>, 296]</w:t>
            </w:r>
          </w:p>
        </w:tc>
        <w:tc>
          <w:tcPr>
            <w:tcW w:w="0" w:type="auto"/>
            <w:tcBorders>
              <w:top w:val="single" w:sz="4" w:space="0" w:color="auto"/>
              <w:left w:val="single" w:sz="4" w:space="0" w:color="auto"/>
              <w:bottom w:val="single" w:sz="4" w:space="0" w:color="auto"/>
              <w:right w:val="single" w:sz="4" w:space="0" w:color="auto"/>
            </w:tcBorders>
          </w:tcPr>
          <w:p w14:paraId="0189B51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632</w:t>
            </w:r>
          </w:p>
        </w:tc>
        <w:tc>
          <w:tcPr>
            <w:tcW w:w="0" w:type="auto"/>
            <w:tcBorders>
              <w:top w:val="single" w:sz="4" w:space="0" w:color="auto"/>
              <w:left w:val="single" w:sz="4" w:space="0" w:color="auto"/>
              <w:bottom w:val="single" w:sz="4" w:space="0" w:color="auto"/>
              <w:right w:val="single" w:sz="4" w:space="0" w:color="auto"/>
            </w:tcBorders>
          </w:tcPr>
          <w:p w14:paraId="1AF4A78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968</w:t>
            </w:r>
          </w:p>
        </w:tc>
        <w:tc>
          <w:tcPr>
            <w:tcW w:w="0" w:type="auto"/>
            <w:tcBorders>
              <w:top w:val="single" w:sz="4" w:space="0" w:color="auto"/>
              <w:left w:val="single" w:sz="4" w:space="0" w:color="auto"/>
              <w:bottom w:val="single" w:sz="4" w:space="0" w:color="auto"/>
              <w:right w:val="single" w:sz="4" w:space="0" w:color="auto"/>
            </w:tcBorders>
          </w:tcPr>
          <w:p w14:paraId="36CB585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1288</w:t>
            </w:r>
          </w:p>
        </w:tc>
        <w:tc>
          <w:tcPr>
            <w:tcW w:w="0" w:type="auto"/>
            <w:tcBorders>
              <w:top w:val="single" w:sz="4" w:space="0" w:color="auto"/>
              <w:left w:val="single" w:sz="4" w:space="0" w:color="auto"/>
              <w:bottom w:val="single" w:sz="4" w:space="0" w:color="auto"/>
              <w:right w:val="single" w:sz="4" w:space="0" w:color="auto"/>
            </w:tcBorders>
          </w:tcPr>
          <w:p w14:paraId="32089101"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1608</w:t>
            </w:r>
          </w:p>
        </w:tc>
        <w:tc>
          <w:tcPr>
            <w:tcW w:w="0" w:type="auto"/>
            <w:tcBorders>
              <w:top w:val="single" w:sz="4" w:space="0" w:color="auto"/>
              <w:left w:val="single" w:sz="4" w:space="0" w:color="auto"/>
              <w:bottom w:val="single" w:sz="4" w:space="0" w:color="auto"/>
              <w:right w:val="single" w:sz="4" w:space="0" w:color="auto"/>
            </w:tcBorders>
          </w:tcPr>
          <w:p w14:paraId="0DAFA689"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1928</w:t>
            </w:r>
          </w:p>
        </w:tc>
        <w:tc>
          <w:tcPr>
            <w:tcW w:w="0" w:type="auto"/>
            <w:tcBorders>
              <w:top w:val="single" w:sz="4" w:space="0" w:color="auto"/>
              <w:left w:val="single" w:sz="4" w:space="0" w:color="auto"/>
              <w:bottom w:val="single" w:sz="4" w:space="0" w:color="auto"/>
              <w:right w:val="single" w:sz="4" w:space="0" w:color="auto"/>
            </w:tcBorders>
          </w:tcPr>
          <w:p w14:paraId="2694A113"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2600</w:t>
            </w:r>
          </w:p>
        </w:tc>
        <w:tc>
          <w:tcPr>
            <w:tcW w:w="0" w:type="auto"/>
            <w:tcBorders>
              <w:top w:val="single" w:sz="4" w:space="0" w:color="auto"/>
              <w:left w:val="single" w:sz="4" w:space="0" w:color="auto"/>
              <w:bottom w:val="single" w:sz="4" w:space="0" w:color="auto"/>
              <w:right w:val="single" w:sz="4" w:space="0" w:color="auto"/>
            </w:tcBorders>
          </w:tcPr>
          <w:p w14:paraId="2EF41E6F"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3240</w:t>
            </w:r>
          </w:p>
        </w:tc>
      </w:tr>
      <w:tr w:rsidR="00507F47" w:rsidRPr="00507F47" w14:paraId="3F82D386"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E05C24F"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4DFC3B79"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336</w:t>
            </w:r>
          </w:p>
        </w:tc>
        <w:tc>
          <w:tcPr>
            <w:tcW w:w="0" w:type="auto"/>
            <w:tcBorders>
              <w:top w:val="single" w:sz="4" w:space="0" w:color="auto"/>
              <w:left w:val="single" w:sz="4" w:space="0" w:color="auto"/>
              <w:bottom w:val="single" w:sz="4" w:space="0" w:color="auto"/>
              <w:right w:val="single" w:sz="4" w:space="0" w:color="auto"/>
            </w:tcBorders>
          </w:tcPr>
          <w:p w14:paraId="60826493"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696</w:t>
            </w:r>
          </w:p>
        </w:tc>
        <w:tc>
          <w:tcPr>
            <w:tcW w:w="0" w:type="auto"/>
            <w:tcBorders>
              <w:top w:val="single" w:sz="4" w:space="0" w:color="auto"/>
              <w:left w:val="single" w:sz="4" w:space="0" w:color="auto"/>
              <w:bottom w:val="single" w:sz="4" w:space="0" w:color="auto"/>
              <w:right w:val="single" w:sz="4" w:space="0" w:color="auto"/>
            </w:tcBorders>
          </w:tcPr>
          <w:p w14:paraId="0559508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1064</w:t>
            </w:r>
          </w:p>
        </w:tc>
        <w:tc>
          <w:tcPr>
            <w:tcW w:w="0" w:type="auto"/>
            <w:tcBorders>
              <w:top w:val="single" w:sz="4" w:space="0" w:color="auto"/>
              <w:left w:val="single" w:sz="4" w:space="0" w:color="auto"/>
              <w:bottom w:val="single" w:sz="4" w:space="0" w:color="auto"/>
              <w:right w:val="single" w:sz="4" w:space="0" w:color="auto"/>
            </w:tcBorders>
          </w:tcPr>
          <w:p w14:paraId="4E72AE1F"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1416</w:t>
            </w:r>
          </w:p>
        </w:tc>
        <w:tc>
          <w:tcPr>
            <w:tcW w:w="0" w:type="auto"/>
            <w:tcBorders>
              <w:top w:val="single" w:sz="4" w:space="0" w:color="auto"/>
              <w:left w:val="single" w:sz="4" w:space="0" w:color="auto"/>
              <w:bottom w:val="single" w:sz="4" w:space="0" w:color="auto"/>
              <w:right w:val="single" w:sz="4" w:space="0" w:color="auto"/>
            </w:tcBorders>
          </w:tcPr>
          <w:p w14:paraId="208EB0C2"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1800</w:t>
            </w:r>
          </w:p>
        </w:tc>
        <w:tc>
          <w:tcPr>
            <w:tcW w:w="0" w:type="auto"/>
            <w:tcBorders>
              <w:top w:val="single" w:sz="4" w:space="0" w:color="auto"/>
              <w:left w:val="single" w:sz="4" w:space="0" w:color="auto"/>
              <w:bottom w:val="single" w:sz="4" w:space="0" w:color="auto"/>
              <w:right w:val="single" w:sz="4" w:space="0" w:color="auto"/>
            </w:tcBorders>
          </w:tcPr>
          <w:p w14:paraId="1D1FBF9F"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2152</w:t>
            </w:r>
          </w:p>
        </w:tc>
        <w:tc>
          <w:tcPr>
            <w:tcW w:w="0" w:type="auto"/>
            <w:tcBorders>
              <w:top w:val="single" w:sz="4" w:space="0" w:color="auto"/>
              <w:left w:val="single" w:sz="4" w:space="0" w:color="auto"/>
              <w:bottom w:val="single" w:sz="4" w:space="0" w:color="auto"/>
              <w:right w:val="single" w:sz="4" w:space="0" w:color="auto"/>
            </w:tcBorders>
          </w:tcPr>
          <w:p w14:paraId="6606F2A1"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2856</w:t>
            </w:r>
          </w:p>
        </w:tc>
        <w:tc>
          <w:tcPr>
            <w:tcW w:w="0" w:type="auto"/>
            <w:tcBorders>
              <w:top w:val="single" w:sz="4" w:space="0" w:color="auto"/>
              <w:left w:val="single" w:sz="4" w:space="0" w:color="auto"/>
              <w:bottom w:val="single" w:sz="4" w:space="0" w:color="auto"/>
              <w:right w:val="single" w:sz="4" w:space="0" w:color="auto"/>
            </w:tcBorders>
          </w:tcPr>
          <w:p w14:paraId="3396E959"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3624</w:t>
            </w:r>
          </w:p>
        </w:tc>
      </w:tr>
      <w:tr w:rsidR="00507F47" w:rsidRPr="00507F47" w14:paraId="415BD7C0"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8F98D81"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38B64ED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376</w:t>
            </w:r>
          </w:p>
        </w:tc>
        <w:tc>
          <w:tcPr>
            <w:tcW w:w="0" w:type="auto"/>
            <w:tcBorders>
              <w:top w:val="single" w:sz="4" w:space="0" w:color="auto"/>
              <w:left w:val="single" w:sz="4" w:space="0" w:color="auto"/>
              <w:bottom w:val="single" w:sz="4" w:space="0" w:color="auto"/>
              <w:right w:val="single" w:sz="4" w:space="0" w:color="auto"/>
            </w:tcBorders>
          </w:tcPr>
          <w:p w14:paraId="44FAE100"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776</w:t>
            </w:r>
          </w:p>
        </w:tc>
        <w:tc>
          <w:tcPr>
            <w:tcW w:w="0" w:type="auto"/>
            <w:tcBorders>
              <w:top w:val="single" w:sz="4" w:space="0" w:color="auto"/>
              <w:left w:val="single" w:sz="4" w:space="0" w:color="auto"/>
              <w:bottom w:val="single" w:sz="4" w:space="0" w:color="auto"/>
              <w:right w:val="single" w:sz="4" w:space="0" w:color="auto"/>
            </w:tcBorders>
          </w:tcPr>
          <w:p w14:paraId="67968980"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1160</w:t>
            </w:r>
          </w:p>
        </w:tc>
        <w:tc>
          <w:tcPr>
            <w:tcW w:w="0" w:type="auto"/>
            <w:tcBorders>
              <w:top w:val="single" w:sz="4" w:space="0" w:color="auto"/>
              <w:left w:val="single" w:sz="4" w:space="0" w:color="auto"/>
              <w:bottom w:val="single" w:sz="4" w:space="0" w:color="auto"/>
              <w:right w:val="single" w:sz="4" w:space="0" w:color="auto"/>
            </w:tcBorders>
          </w:tcPr>
          <w:p w14:paraId="1525DECD"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1544</w:t>
            </w:r>
          </w:p>
        </w:tc>
        <w:tc>
          <w:tcPr>
            <w:tcW w:w="0" w:type="auto"/>
            <w:tcBorders>
              <w:top w:val="single" w:sz="4" w:space="0" w:color="auto"/>
              <w:left w:val="single" w:sz="4" w:space="0" w:color="auto"/>
              <w:bottom w:val="single" w:sz="4" w:space="0" w:color="auto"/>
              <w:right w:val="single" w:sz="4" w:space="0" w:color="auto"/>
            </w:tcBorders>
          </w:tcPr>
          <w:p w14:paraId="68E1162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1992</w:t>
            </w:r>
          </w:p>
        </w:tc>
        <w:tc>
          <w:tcPr>
            <w:tcW w:w="0" w:type="auto"/>
            <w:tcBorders>
              <w:top w:val="single" w:sz="4" w:space="0" w:color="auto"/>
              <w:left w:val="single" w:sz="4" w:space="0" w:color="auto"/>
              <w:bottom w:val="single" w:sz="4" w:space="0" w:color="auto"/>
              <w:right w:val="single" w:sz="4" w:space="0" w:color="auto"/>
            </w:tcBorders>
          </w:tcPr>
          <w:p w14:paraId="1E1B61B6"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2344</w:t>
            </w:r>
          </w:p>
        </w:tc>
        <w:tc>
          <w:tcPr>
            <w:tcW w:w="0" w:type="auto"/>
            <w:tcBorders>
              <w:top w:val="single" w:sz="4" w:space="0" w:color="auto"/>
              <w:left w:val="single" w:sz="4" w:space="0" w:color="auto"/>
              <w:bottom w:val="single" w:sz="4" w:space="0" w:color="auto"/>
              <w:right w:val="single" w:sz="4" w:space="0" w:color="auto"/>
            </w:tcBorders>
          </w:tcPr>
          <w:p w14:paraId="1B80358C"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3112</w:t>
            </w:r>
          </w:p>
        </w:tc>
        <w:tc>
          <w:tcPr>
            <w:tcW w:w="0" w:type="auto"/>
            <w:tcBorders>
              <w:top w:val="single" w:sz="4" w:space="0" w:color="auto"/>
              <w:left w:val="single" w:sz="4" w:space="0" w:color="auto"/>
              <w:bottom w:val="single" w:sz="4" w:space="0" w:color="auto"/>
              <w:right w:val="single" w:sz="4" w:space="0" w:color="auto"/>
            </w:tcBorders>
          </w:tcPr>
          <w:p w14:paraId="2092F8B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4008</w:t>
            </w:r>
          </w:p>
        </w:tc>
      </w:tr>
      <w:tr w:rsidR="00507F47" w:rsidRPr="00507F47" w14:paraId="2CDA5820"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B70A9BA"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2C2C41A1"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408</w:t>
            </w:r>
          </w:p>
        </w:tc>
        <w:tc>
          <w:tcPr>
            <w:tcW w:w="0" w:type="auto"/>
            <w:tcBorders>
              <w:top w:val="single" w:sz="4" w:space="0" w:color="auto"/>
              <w:left w:val="single" w:sz="4" w:space="0" w:color="auto"/>
              <w:bottom w:val="single" w:sz="4" w:space="0" w:color="auto"/>
              <w:right w:val="single" w:sz="4" w:space="0" w:color="auto"/>
            </w:tcBorders>
          </w:tcPr>
          <w:p w14:paraId="38DE771C"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840</w:t>
            </w:r>
          </w:p>
        </w:tc>
        <w:tc>
          <w:tcPr>
            <w:tcW w:w="0" w:type="auto"/>
            <w:tcBorders>
              <w:top w:val="single" w:sz="4" w:space="0" w:color="auto"/>
              <w:left w:val="single" w:sz="4" w:space="0" w:color="auto"/>
              <w:bottom w:val="single" w:sz="4" w:space="0" w:color="auto"/>
              <w:right w:val="single" w:sz="4" w:space="0" w:color="auto"/>
            </w:tcBorders>
          </w:tcPr>
          <w:p w14:paraId="498C3ACC"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1288</w:t>
            </w:r>
          </w:p>
        </w:tc>
        <w:tc>
          <w:tcPr>
            <w:tcW w:w="0" w:type="auto"/>
            <w:tcBorders>
              <w:top w:val="single" w:sz="4" w:space="0" w:color="auto"/>
              <w:left w:val="single" w:sz="4" w:space="0" w:color="auto"/>
              <w:bottom w:val="single" w:sz="4" w:space="0" w:color="auto"/>
              <w:right w:val="single" w:sz="4" w:space="0" w:color="auto"/>
            </w:tcBorders>
          </w:tcPr>
          <w:p w14:paraId="23B884D8"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1736</w:t>
            </w:r>
          </w:p>
        </w:tc>
        <w:tc>
          <w:tcPr>
            <w:tcW w:w="0" w:type="auto"/>
            <w:tcBorders>
              <w:top w:val="single" w:sz="4" w:space="0" w:color="auto"/>
              <w:left w:val="single" w:sz="4" w:space="0" w:color="auto"/>
              <w:bottom w:val="single" w:sz="4" w:space="0" w:color="auto"/>
              <w:right w:val="single" w:sz="4" w:space="0" w:color="auto"/>
            </w:tcBorders>
          </w:tcPr>
          <w:p w14:paraId="78CD190C"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2152</w:t>
            </w:r>
          </w:p>
        </w:tc>
        <w:tc>
          <w:tcPr>
            <w:tcW w:w="0" w:type="auto"/>
            <w:tcBorders>
              <w:top w:val="single" w:sz="4" w:space="0" w:color="auto"/>
              <w:left w:val="single" w:sz="4" w:space="0" w:color="auto"/>
              <w:bottom w:val="single" w:sz="4" w:space="0" w:color="auto"/>
              <w:right w:val="single" w:sz="4" w:space="0" w:color="auto"/>
            </w:tcBorders>
          </w:tcPr>
          <w:p w14:paraId="6F46E59B"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2600</w:t>
            </w:r>
          </w:p>
        </w:tc>
        <w:tc>
          <w:tcPr>
            <w:tcW w:w="0" w:type="auto"/>
            <w:tcBorders>
              <w:top w:val="single" w:sz="4" w:space="0" w:color="auto"/>
              <w:left w:val="single" w:sz="4" w:space="0" w:color="auto"/>
              <w:bottom w:val="single" w:sz="4" w:space="0" w:color="auto"/>
              <w:right w:val="single" w:sz="4" w:space="0" w:color="auto"/>
            </w:tcBorders>
          </w:tcPr>
          <w:p w14:paraId="0DE35C1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3496</w:t>
            </w:r>
          </w:p>
        </w:tc>
        <w:tc>
          <w:tcPr>
            <w:tcW w:w="0" w:type="auto"/>
            <w:tcBorders>
              <w:top w:val="single" w:sz="4" w:space="0" w:color="auto"/>
              <w:left w:val="single" w:sz="4" w:space="0" w:color="auto"/>
              <w:bottom w:val="single" w:sz="4" w:space="0" w:color="auto"/>
              <w:right w:val="single" w:sz="4" w:space="0" w:color="auto"/>
            </w:tcBorders>
          </w:tcPr>
          <w:p w14:paraId="66502CFA"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4264</w:t>
            </w:r>
          </w:p>
        </w:tc>
      </w:tr>
      <w:tr w:rsidR="00507F47" w:rsidRPr="00507F47" w14:paraId="2ED86364" w14:textId="77777777" w:rsidTr="007B19E1">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F738D47"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1EFFCBD7"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440</w:t>
            </w:r>
          </w:p>
        </w:tc>
        <w:tc>
          <w:tcPr>
            <w:tcW w:w="0" w:type="auto"/>
            <w:tcBorders>
              <w:top w:val="single" w:sz="4" w:space="0" w:color="auto"/>
              <w:left w:val="single" w:sz="4" w:space="0" w:color="auto"/>
              <w:bottom w:val="single" w:sz="4" w:space="0" w:color="auto"/>
              <w:right w:val="single" w:sz="4" w:space="0" w:color="auto"/>
            </w:tcBorders>
          </w:tcPr>
          <w:p w14:paraId="563BB1EC"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904</w:t>
            </w:r>
          </w:p>
        </w:tc>
        <w:tc>
          <w:tcPr>
            <w:tcW w:w="0" w:type="auto"/>
            <w:tcBorders>
              <w:top w:val="single" w:sz="4" w:space="0" w:color="auto"/>
              <w:left w:val="single" w:sz="4" w:space="0" w:color="auto"/>
              <w:bottom w:val="single" w:sz="4" w:space="0" w:color="auto"/>
              <w:right w:val="single" w:sz="4" w:space="0" w:color="auto"/>
            </w:tcBorders>
          </w:tcPr>
          <w:p w14:paraId="4B259B20"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1384</w:t>
            </w:r>
          </w:p>
        </w:tc>
        <w:tc>
          <w:tcPr>
            <w:tcW w:w="0" w:type="auto"/>
            <w:tcBorders>
              <w:top w:val="single" w:sz="4" w:space="0" w:color="auto"/>
              <w:left w:val="single" w:sz="4" w:space="0" w:color="auto"/>
              <w:bottom w:val="single" w:sz="4" w:space="0" w:color="auto"/>
              <w:right w:val="single" w:sz="4" w:space="0" w:color="auto"/>
            </w:tcBorders>
          </w:tcPr>
          <w:p w14:paraId="7CBD062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1864</w:t>
            </w:r>
          </w:p>
        </w:tc>
        <w:tc>
          <w:tcPr>
            <w:tcW w:w="0" w:type="auto"/>
            <w:tcBorders>
              <w:top w:val="single" w:sz="4" w:space="0" w:color="auto"/>
              <w:left w:val="single" w:sz="4" w:space="0" w:color="auto"/>
              <w:bottom w:val="single" w:sz="4" w:space="0" w:color="auto"/>
              <w:right w:val="single" w:sz="4" w:space="0" w:color="auto"/>
            </w:tcBorders>
          </w:tcPr>
          <w:p w14:paraId="7AA1AC61"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2344</w:t>
            </w:r>
          </w:p>
        </w:tc>
        <w:tc>
          <w:tcPr>
            <w:tcW w:w="0" w:type="auto"/>
            <w:tcBorders>
              <w:top w:val="single" w:sz="4" w:space="0" w:color="auto"/>
              <w:left w:val="single" w:sz="4" w:space="0" w:color="auto"/>
              <w:bottom w:val="single" w:sz="4" w:space="0" w:color="auto"/>
              <w:right w:val="single" w:sz="4" w:space="0" w:color="auto"/>
            </w:tcBorders>
          </w:tcPr>
          <w:p w14:paraId="275EF7A8"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2792</w:t>
            </w:r>
          </w:p>
        </w:tc>
        <w:tc>
          <w:tcPr>
            <w:tcW w:w="0" w:type="auto"/>
            <w:tcBorders>
              <w:top w:val="single" w:sz="4" w:space="0" w:color="auto"/>
              <w:left w:val="single" w:sz="4" w:space="0" w:color="auto"/>
              <w:bottom w:val="single" w:sz="4" w:space="0" w:color="auto"/>
              <w:right w:val="single" w:sz="4" w:space="0" w:color="auto"/>
            </w:tcBorders>
          </w:tcPr>
          <w:p w14:paraId="014FA999"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3752</w:t>
            </w:r>
          </w:p>
        </w:tc>
        <w:tc>
          <w:tcPr>
            <w:tcW w:w="0" w:type="auto"/>
            <w:tcBorders>
              <w:top w:val="single" w:sz="4" w:space="0" w:color="auto"/>
              <w:left w:val="single" w:sz="4" w:space="0" w:color="auto"/>
              <w:bottom w:val="single" w:sz="4" w:space="0" w:color="auto"/>
              <w:right w:val="single" w:sz="4" w:space="0" w:color="auto"/>
            </w:tcBorders>
          </w:tcPr>
          <w:p w14:paraId="682A0395"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4584</w:t>
            </w:r>
          </w:p>
        </w:tc>
      </w:tr>
      <w:tr w:rsidR="00507F47" w:rsidRPr="00507F47" w14:paraId="2CF019F1" w14:textId="77777777" w:rsidTr="009F2B43">
        <w:trPr>
          <w:cantSplit/>
          <w:trHeight w:val="70"/>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E69C6B9" w14:textId="77777777" w:rsidR="00507F47" w:rsidRPr="00507F47" w:rsidRDefault="00507F47" w:rsidP="00507F47">
            <w:pPr>
              <w:overflowPunct/>
              <w:autoSpaceDE/>
              <w:autoSpaceDN/>
              <w:adjustRightInd/>
              <w:spacing w:after="0"/>
              <w:jc w:val="center"/>
              <w:textAlignment w:val="auto"/>
              <w:rPr>
                <w:rFonts w:ascii="Arial" w:eastAsia="Malgun Gothic" w:hAnsi="Arial" w:cs="Arial"/>
                <w:sz w:val="16"/>
                <w:szCs w:val="16"/>
                <w:lang w:eastAsia="zh-CN"/>
              </w:rPr>
            </w:pPr>
            <w:r w:rsidRPr="00507F47">
              <w:rPr>
                <w:rFonts w:ascii="Arial" w:eastAsia="Malgun Gothic"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7AF98769"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488</w:t>
            </w:r>
          </w:p>
        </w:tc>
        <w:tc>
          <w:tcPr>
            <w:tcW w:w="0" w:type="auto"/>
            <w:tcBorders>
              <w:top w:val="single" w:sz="4" w:space="0" w:color="auto"/>
              <w:left w:val="single" w:sz="4" w:space="0" w:color="auto"/>
              <w:bottom w:val="single" w:sz="4" w:space="0" w:color="auto"/>
              <w:right w:val="single" w:sz="4" w:space="0" w:color="auto"/>
            </w:tcBorders>
          </w:tcPr>
          <w:p w14:paraId="51CCD00A"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3955E414"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2F1BA1F1"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1992</w:t>
            </w:r>
          </w:p>
        </w:tc>
        <w:tc>
          <w:tcPr>
            <w:tcW w:w="0" w:type="auto"/>
            <w:tcBorders>
              <w:top w:val="single" w:sz="4" w:space="0" w:color="auto"/>
              <w:left w:val="single" w:sz="4" w:space="0" w:color="auto"/>
              <w:bottom w:val="single" w:sz="4" w:space="0" w:color="auto"/>
              <w:right w:val="single" w:sz="4" w:space="0" w:color="auto"/>
            </w:tcBorders>
          </w:tcPr>
          <w:p w14:paraId="522069C0"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bookmarkStart w:id="9" w:name="_Hlk67924443"/>
            <w:r w:rsidRPr="00507F47">
              <w:rPr>
                <w:rFonts w:ascii="Arial" w:eastAsia="Batang" w:hAnsi="Arial" w:cs="Arial"/>
                <w:strike/>
                <w:color w:val="FF0000"/>
                <w:sz w:val="16"/>
                <w:szCs w:val="16"/>
                <w:lang w:eastAsia="zh-CN"/>
              </w:rPr>
              <w:t>[</w:t>
            </w:r>
            <w:r w:rsidRPr="00507F47">
              <w:rPr>
                <w:rFonts w:ascii="Arial" w:eastAsia="Batang" w:hAnsi="Arial" w:cs="Arial"/>
                <w:sz w:val="16"/>
                <w:szCs w:val="16"/>
                <w:lang w:eastAsia="zh-CN"/>
              </w:rPr>
              <w:t>2472</w:t>
            </w:r>
            <w:r w:rsidRPr="00507F47">
              <w:rPr>
                <w:rFonts w:ascii="Arial" w:eastAsia="Batang" w:hAnsi="Arial" w:cs="Arial"/>
                <w:strike/>
                <w:color w:val="FF0000"/>
                <w:sz w:val="16"/>
                <w:szCs w:val="16"/>
                <w:lang w:eastAsia="zh-CN"/>
              </w:rPr>
              <w:t>, 2536]</w:t>
            </w:r>
            <w:bookmarkEnd w:id="9"/>
          </w:p>
        </w:tc>
        <w:tc>
          <w:tcPr>
            <w:tcW w:w="0" w:type="auto"/>
            <w:tcBorders>
              <w:top w:val="single" w:sz="4" w:space="0" w:color="auto"/>
              <w:left w:val="single" w:sz="4" w:space="0" w:color="auto"/>
              <w:bottom w:val="single" w:sz="4" w:space="0" w:color="auto"/>
              <w:right w:val="single" w:sz="4" w:space="0" w:color="auto"/>
            </w:tcBorders>
          </w:tcPr>
          <w:p w14:paraId="4085C45D"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2984</w:t>
            </w:r>
          </w:p>
        </w:tc>
        <w:tc>
          <w:tcPr>
            <w:tcW w:w="0" w:type="auto"/>
            <w:tcBorders>
              <w:top w:val="single" w:sz="4" w:space="0" w:color="auto"/>
              <w:left w:val="single" w:sz="4" w:space="0" w:color="auto"/>
              <w:bottom w:val="single" w:sz="4" w:space="0" w:color="auto"/>
              <w:right w:val="single" w:sz="4" w:space="0" w:color="auto"/>
            </w:tcBorders>
          </w:tcPr>
          <w:p w14:paraId="66CB06EA"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4008</w:t>
            </w:r>
          </w:p>
        </w:tc>
        <w:tc>
          <w:tcPr>
            <w:tcW w:w="0" w:type="auto"/>
            <w:tcBorders>
              <w:top w:val="single" w:sz="4" w:space="0" w:color="auto"/>
              <w:left w:val="single" w:sz="4" w:space="0" w:color="auto"/>
              <w:bottom w:val="single" w:sz="4" w:space="0" w:color="auto"/>
              <w:right w:val="single" w:sz="4" w:space="0" w:color="auto"/>
            </w:tcBorders>
          </w:tcPr>
          <w:p w14:paraId="15D524C3" w14:textId="77777777" w:rsidR="00507F47" w:rsidRPr="00507F47" w:rsidRDefault="00507F47" w:rsidP="00507F47">
            <w:pPr>
              <w:overflowPunct/>
              <w:autoSpaceDE/>
              <w:autoSpaceDN/>
              <w:adjustRightInd/>
              <w:spacing w:after="0"/>
              <w:jc w:val="center"/>
              <w:textAlignment w:val="auto"/>
              <w:rPr>
                <w:rFonts w:ascii="Arial" w:eastAsia="Batang" w:hAnsi="Arial" w:cs="Arial"/>
                <w:sz w:val="16"/>
                <w:szCs w:val="16"/>
                <w:lang w:eastAsia="zh-CN"/>
              </w:rPr>
            </w:pPr>
            <w:r w:rsidRPr="00507F47">
              <w:rPr>
                <w:rFonts w:ascii="Arial" w:eastAsia="Batang" w:hAnsi="Arial" w:cs="Arial"/>
                <w:sz w:val="16"/>
                <w:szCs w:val="16"/>
                <w:lang w:eastAsia="zh-CN"/>
              </w:rPr>
              <w:t>4968</w:t>
            </w:r>
          </w:p>
        </w:tc>
      </w:tr>
    </w:tbl>
    <w:p w14:paraId="72011013" w14:textId="77777777" w:rsidR="00507F47" w:rsidRPr="00507F47" w:rsidRDefault="00507F47" w:rsidP="00507F47">
      <w:pPr>
        <w:overflowPunct/>
        <w:autoSpaceDE/>
        <w:autoSpaceDN/>
        <w:adjustRightInd/>
        <w:spacing w:after="0"/>
        <w:textAlignment w:val="auto"/>
        <w:rPr>
          <w:rFonts w:ascii="Times" w:eastAsia="Batang" w:hAnsi="Times"/>
          <w:szCs w:val="24"/>
          <w:lang w:eastAsia="x-none"/>
        </w:rPr>
      </w:pPr>
    </w:p>
    <w:p w14:paraId="2DD2AA88" w14:textId="77777777" w:rsidR="00507F47" w:rsidRPr="00507F47" w:rsidRDefault="00507F47" w:rsidP="00507F47">
      <w:pPr>
        <w:overflowPunct/>
        <w:autoSpaceDE/>
        <w:autoSpaceDN/>
        <w:adjustRightInd/>
        <w:spacing w:after="0"/>
        <w:textAlignment w:val="auto"/>
        <w:rPr>
          <w:rFonts w:ascii="Times" w:eastAsia="Batang" w:hAnsi="Times"/>
          <w:b/>
          <w:bCs/>
          <w:highlight w:val="green"/>
          <w:lang w:eastAsia="x-none"/>
        </w:rPr>
      </w:pPr>
      <w:r w:rsidRPr="00507F47">
        <w:rPr>
          <w:rFonts w:ascii="Times" w:eastAsia="Batang" w:hAnsi="Times"/>
          <w:b/>
          <w:bCs/>
          <w:highlight w:val="green"/>
          <w:lang w:eastAsia="x-none"/>
        </w:rPr>
        <w:t>Agreement</w:t>
      </w:r>
    </w:p>
    <w:p w14:paraId="05E4E02D" w14:textId="77777777" w:rsidR="00507F47" w:rsidRPr="00507F47" w:rsidRDefault="00507F47" w:rsidP="00507F47">
      <w:pPr>
        <w:overflowPunct/>
        <w:autoSpaceDE/>
        <w:autoSpaceDN/>
        <w:adjustRightInd/>
        <w:spacing w:after="0"/>
        <w:textAlignment w:val="auto"/>
        <w:rPr>
          <w:rFonts w:ascii="Times" w:eastAsia="Batang" w:hAnsi="Times"/>
          <w:lang w:eastAsia="x-none"/>
        </w:rPr>
      </w:pPr>
      <w:r w:rsidRPr="00507F47">
        <w:rPr>
          <w:rFonts w:ascii="Times" w:eastAsia="Batang" w:hAnsi="Times"/>
        </w:rPr>
        <w:t>I_SF&gt;7 is not supported in Rel-17.</w:t>
      </w:r>
    </w:p>
    <w:p w14:paraId="3878DDBD" w14:textId="77777777" w:rsidR="00507F47" w:rsidRPr="00507F47" w:rsidRDefault="00507F47" w:rsidP="00507F47">
      <w:pPr>
        <w:overflowPunct/>
        <w:autoSpaceDE/>
        <w:autoSpaceDN/>
        <w:adjustRightInd/>
        <w:spacing w:after="0"/>
        <w:textAlignment w:val="auto"/>
        <w:rPr>
          <w:rFonts w:ascii="Times" w:eastAsia="Batang" w:hAnsi="Times"/>
          <w:lang w:eastAsia="x-none"/>
        </w:rPr>
      </w:pPr>
    </w:p>
    <w:p w14:paraId="0FDF68C4" w14:textId="77777777" w:rsidR="00507F47" w:rsidRPr="00507F47" w:rsidRDefault="00507F47" w:rsidP="00507F47">
      <w:pPr>
        <w:overflowPunct/>
        <w:autoSpaceDE/>
        <w:autoSpaceDN/>
        <w:adjustRightInd/>
        <w:spacing w:after="0"/>
        <w:textAlignment w:val="auto"/>
        <w:rPr>
          <w:rFonts w:ascii="Times" w:eastAsia="Batang" w:hAnsi="Times"/>
          <w:b/>
          <w:bCs/>
          <w:highlight w:val="green"/>
          <w:lang w:eastAsia="x-none"/>
        </w:rPr>
      </w:pPr>
      <w:r w:rsidRPr="00507F47">
        <w:rPr>
          <w:rFonts w:ascii="Times" w:eastAsia="Batang" w:hAnsi="Times"/>
          <w:b/>
          <w:bCs/>
          <w:highlight w:val="green"/>
          <w:lang w:eastAsia="x-none"/>
        </w:rPr>
        <w:t>Agreement</w:t>
      </w:r>
    </w:p>
    <w:p w14:paraId="08C2D729" w14:textId="77777777" w:rsidR="00507F47" w:rsidRPr="00507F47" w:rsidRDefault="00507F47" w:rsidP="00507F47">
      <w:pPr>
        <w:overflowPunct/>
        <w:autoSpaceDE/>
        <w:autoSpaceDN/>
        <w:adjustRightInd/>
        <w:spacing w:after="0"/>
        <w:textAlignment w:val="auto"/>
        <w:rPr>
          <w:rFonts w:ascii="Times" w:eastAsia="Batang" w:hAnsi="Times"/>
          <w:lang w:eastAsia="x-none"/>
        </w:rPr>
      </w:pPr>
      <w:r w:rsidRPr="00507F47">
        <w:rPr>
          <w:rFonts w:ascii="Times" w:eastAsia="Batang" w:hAnsi="Times"/>
          <w:lang w:eastAsia="x-none"/>
        </w:rPr>
        <w:t>Confirm the following working assumption:</w:t>
      </w:r>
    </w:p>
    <w:p w14:paraId="35C4FCF6" w14:textId="755BD1E6" w:rsid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The following TBS indices are introduced for uplink</w:t>
      </w:r>
    </w:p>
    <w:p w14:paraId="5E905339" w14:textId="77777777" w:rsidR="00533C40" w:rsidRPr="00507F47" w:rsidRDefault="00533C40" w:rsidP="00533C40">
      <w:pPr>
        <w:overflowPunct/>
        <w:autoSpaceDE/>
        <w:autoSpaceDN/>
        <w:adjustRightInd/>
        <w:spacing w:after="0"/>
        <w:ind w:left="720"/>
        <w:contextualSpacing/>
        <w:textAlignment w:val="auto"/>
        <w:rPr>
          <w:rFonts w:ascii="Times" w:eastAsia="Batang" w:hAnsi="Times" w:cs="Times"/>
          <w:lang w:eastAsia="x-none"/>
        </w:rPr>
      </w:pP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507F47" w:rsidRPr="00507F47" w14:paraId="729D4E68" w14:textId="77777777" w:rsidTr="007B19E1">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12944A1"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73AB779"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position w:val="-12"/>
              </w:rPr>
              <w:t>I_RU</w:t>
            </w:r>
          </w:p>
        </w:tc>
      </w:tr>
      <w:tr w:rsidR="00507F47" w:rsidRPr="00507F47" w14:paraId="1FE9FBC8" w14:textId="77777777" w:rsidTr="007B19E1">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17D5E77E" w14:textId="77777777" w:rsidR="00507F47" w:rsidRPr="00507F47" w:rsidRDefault="00507F47" w:rsidP="00507F47">
            <w:pPr>
              <w:overflowPunct/>
              <w:autoSpaceDE/>
              <w:autoSpaceDN/>
              <w:adjustRightInd/>
              <w:spacing w:after="0"/>
              <w:textAlignment w:val="auto"/>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41E7C0F"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089F02B"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6CF553F"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B06317F"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7A5A648"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8E90D7F"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FB78600"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E9C5EB5" w14:textId="77777777" w:rsidR="00507F47" w:rsidRPr="00507F47" w:rsidRDefault="00507F47" w:rsidP="00507F47">
            <w:pPr>
              <w:keepNext/>
              <w:autoSpaceDE/>
              <w:autoSpaceDN/>
              <w:adjustRightInd/>
              <w:spacing w:after="0"/>
              <w:jc w:val="center"/>
              <w:textAlignment w:val="auto"/>
              <w:rPr>
                <w:rFonts w:ascii="Times" w:eastAsia="Batang" w:hAnsi="Times" w:cs="Times"/>
                <w:b/>
                <w:bCs/>
              </w:rPr>
            </w:pPr>
            <w:r w:rsidRPr="00507F47">
              <w:rPr>
                <w:rFonts w:ascii="Times" w:eastAsia="Batang" w:hAnsi="Times" w:cs="Times"/>
                <w:b/>
                <w:bCs/>
              </w:rPr>
              <w:t>7</w:t>
            </w:r>
          </w:p>
        </w:tc>
      </w:tr>
      <w:tr w:rsidR="00507F47" w:rsidRPr="00507F47" w14:paraId="39B7DB8A"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E6CD9B5"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E8DB7B"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38D8B8"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DEFF47"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F45156"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E12489"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4382DF"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007C74"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B34702"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r w:rsidR="00507F47" w:rsidRPr="00507F47" w14:paraId="100E9E70"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6DFF5E"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EAA8DD"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5D1FD2"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9A8698"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2A3DC0"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8FC1FE"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1225E9"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452033"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F14C73"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r w:rsidR="00507F47" w:rsidRPr="00507F47" w14:paraId="1D066D59"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BE0ED2E"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F7C3EC"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23EFC8"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B2843A"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87843A"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E89922"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479521"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30DC6A"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84CF02"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p>
        </w:tc>
      </w:tr>
      <w:tr w:rsidR="00507F47" w:rsidRPr="00507F47" w14:paraId="0D4E73EF"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A9DBF35"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BD1FDC"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7BF8F6"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0ADE7E"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065B8B"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F2C02F"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C39901"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D16B3E"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0C05FC"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r w:rsidR="00507F47" w:rsidRPr="00507F47" w14:paraId="319C87CE"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5C25412"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B1FEB83"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9AEA89"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2483D4"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E231CF"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9DAB38"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BE2EBA"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1375ED"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9FF591"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r w:rsidR="00507F47" w:rsidRPr="00507F47" w14:paraId="747449DA"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12B24A"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4EB386"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49F213"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D886F0"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BD7C55"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5785DF"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B7904D"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27E770"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E68B21"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r w:rsidR="00507F47" w:rsidRPr="00507F47" w14:paraId="17FE9883"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C421A5F"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FA70D2"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C71EF9"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FC2BDF"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2BD5B1"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B1AC50"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2C37B4"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61C889"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5708F0"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r w:rsidR="00507F47" w:rsidRPr="00507F47" w14:paraId="5F4FBF8D" w14:textId="77777777" w:rsidTr="007B19E1">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D2D8B58"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4779D2"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1958BD"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6E106B"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78B6D4"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0ADAAD" w14:textId="77777777" w:rsidR="00507F47" w:rsidRPr="00507F47" w:rsidRDefault="00507F47" w:rsidP="00507F47">
            <w:pPr>
              <w:autoSpaceDE/>
              <w:autoSpaceDN/>
              <w:adjustRightInd/>
              <w:spacing w:after="0"/>
              <w:jc w:val="center"/>
              <w:textAlignment w:val="auto"/>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73FBD5"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91042D"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F5A1E79" w14:textId="77777777" w:rsidR="00507F47" w:rsidRPr="00507F47" w:rsidRDefault="00507F47" w:rsidP="00507F47">
            <w:pPr>
              <w:autoSpaceDE/>
              <w:autoSpaceDN/>
              <w:adjustRightInd/>
              <w:spacing w:after="0"/>
              <w:jc w:val="center"/>
              <w:textAlignment w:val="auto"/>
              <w:rPr>
                <w:rFonts w:ascii="Times" w:eastAsia="Batang" w:hAnsi="Times" w:cs="Times"/>
                <w:sz w:val="16"/>
                <w:szCs w:val="16"/>
              </w:rPr>
            </w:pPr>
          </w:p>
        </w:tc>
      </w:tr>
    </w:tbl>
    <w:p w14:paraId="11747BE3" w14:textId="0C21DDD6" w:rsidR="00507F47" w:rsidRDefault="00507F47" w:rsidP="00507F47">
      <w:pPr>
        <w:overflowPunct/>
        <w:autoSpaceDE/>
        <w:autoSpaceDN/>
        <w:adjustRightInd/>
        <w:spacing w:after="0"/>
        <w:textAlignment w:val="auto"/>
        <w:rPr>
          <w:rFonts w:ascii="Times" w:eastAsia="Batang" w:hAnsi="Times" w:cs="Times"/>
          <w:b/>
          <w:szCs w:val="24"/>
        </w:rPr>
      </w:pPr>
    </w:p>
    <w:p w14:paraId="0A4812F1" w14:textId="77777777" w:rsidR="00533C40" w:rsidRPr="00507F47" w:rsidRDefault="00533C40" w:rsidP="00507F47">
      <w:pPr>
        <w:overflowPunct/>
        <w:autoSpaceDE/>
        <w:autoSpaceDN/>
        <w:adjustRightInd/>
        <w:spacing w:after="0"/>
        <w:textAlignment w:val="auto"/>
        <w:rPr>
          <w:rFonts w:ascii="Times" w:eastAsia="Batang" w:hAnsi="Times" w:cs="Times"/>
          <w:b/>
          <w:szCs w:val="24"/>
        </w:rPr>
      </w:pPr>
    </w:p>
    <w:p w14:paraId="3CC16A03" w14:textId="77777777" w:rsidR="00507F47" w:rsidRPr="00507F47" w:rsidRDefault="00507F47" w:rsidP="00507F47">
      <w:pPr>
        <w:overflowPunct/>
        <w:autoSpaceDE/>
        <w:autoSpaceDN/>
        <w:adjustRightInd/>
        <w:spacing w:after="0"/>
        <w:textAlignment w:val="auto"/>
        <w:rPr>
          <w:rFonts w:ascii="Times" w:eastAsia="Batang" w:hAnsi="Times" w:cs="Times"/>
          <w:b/>
          <w:bCs/>
          <w:lang w:val="en-US" w:eastAsia="zh-CN"/>
        </w:rPr>
      </w:pPr>
      <w:r w:rsidRPr="00507F47">
        <w:rPr>
          <w:rFonts w:ascii="Times" w:eastAsia="Batang" w:hAnsi="Times" w:cs="Times"/>
          <w:b/>
          <w:bCs/>
          <w:highlight w:val="green"/>
          <w:lang w:eastAsia="zh-CN"/>
        </w:rPr>
        <w:lastRenderedPageBreak/>
        <w:t>Agreement</w:t>
      </w:r>
    </w:p>
    <w:p w14:paraId="630CD7EB" w14:textId="77777777" w:rsidR="00507F47" w:rsidRPr="00507F47" w:rsidRDefault="00507F47" w:rsidP="00507F47">
      <w:pPr>
        <w:overflowPunct/>
        <w:autoSpaceDE/>
        <w:autoSpaceDN/>
        <w:adjustRightInd/>
        <w:spacing w:after="0"/>
        <w:textAlignment w:val="auto"/>
        <w:rPr>
          <w:rFonts w:ascii="Times" w:eastAsia="Batang" w:hAnsi="Times" w:cs="Times"/>
          <w:bCs/>
          <w:lang w:eastAsia="zh-CN"/>
        </w:rPr>
      </w:pPr>
      <w:r w:rsidRPr="00507F47">
        <w:rPr>
          <w:rFonts w:ascii="Times" w:eastAsia="Batang" w:hAnsi="Times" w:cs="Times"/>
          <w:bCs/>
          <w:lang w:eastAsia="zh-CN"/>
        </w:rPr>
        <w:t>DL 16-QAM is applicable for NPDSCH scheduled from a DCI with CRC scrambled by C-RNTI.</w:t>
      </w:r>
    </w:p>
    <w:p w14:paraId="7EC4429C" w14:textId="77777777" w:rsidR="00507F47" w:rsidRP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At least C-RNTI from USS is supported, FFS if 16-QAM is applied to C-RNTI from CSS.</w:t>
      </w:r>
    </w:p>
    <w:p w14:paraId="4A3C5E9F" w14:textId="77777777" w:rsidR="00507F47" w:rsidRP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FFS: Applicability of 16-QAM for PUR.</w:t>
      </w:r>
    </w:p>
    <w:p w14:paraId="0906CEA9" w14:textId="77777777" w:rsidR="00507F47" w:rsidRPr="00507F47" w:rsidRDefault="00507F47" w:rsidP="00507F47">
      <w:pPr>
        <w:overflowPunct/>
        <w:autoSpaceDE/>
        <w:autoSpaceDN/>
        <w:adjustRightInd/>
        <w:spacing w:after="0"/>
        <w:textAlignment w:val="auto"/>
        <w:rPr>
          <w:rFonts w:ascii="Times" w:eastAsia="Batang" w:hAnsi="Times" w:cs="Times"/>
          <w:b/>
          <w:bCs/>
          <w:lang w:eastAsia="zh-CN"/>
        </w:rPr>
      </w:pPr>
    </w:p>
    <w:p w14:paraId="6532D527" w14:textId="77777777" w:rsidR="00507F47" w:rsidRPr="00507F47" w:rsidRDefault="00507F47" w:rsidP="00507F47">
      <w:pPr>
        <w:overflowPunct/>
        <w:autoSpaceDE/>
        <w:autoSpaceDN/>
        <w:adjustRightInd/>
        <w:spacing w:after="0"/>
        <w:textAlignment w:val="auto"/>
        <w:rPr>
          <w:rFonts w:ascii="Times" w:eastAsia="Batang" w:hAnsi="Times" w:cs="Times"/>
          <w:b/>
          <w:bCs/>
          <w:lang w:eastAsia="zh-CN"/>
        </w:rPr>
      </w:pPr>
      <w:r w:rsidRPr="00507F47">
        <w:rPr>
          <w:rFonts w:ascii="Times" w:eastAsia="Batang" w:hAnsi="Times" w:cs="Times"/>
          <w:b/>
          <w:bCs/>
          <w:highlight w:val="green"/>
          <w:lang w:eastAsia="zh-CN"/>
        </w:rPr>
        <w:t>Agreement</w:t>
      </w:r>
    </w:p>
    <w:p w14:paraId="6A281600" w14:textId="77777777" w:rsidR="00507F47" w:rsidRPr="00507F47" w:rsidRDefault="00507F47" w:rsidP="00507F47">
      <w:pPr>
        <w:overflowPunct/>
        <w:autoSpaceDE/>
        <w:autoSpaceDN/>
        <w:adjustRightInd/>
        <w:spacing w:after="0"/>
        <w:textAlignment w:val="auto"/>
        <w:rPr>
          <w:rFonts w:ascii="Times" w:eastAsia="Batang" w:hAnsi="Times" w:cs="Times"/>
          <w:bCs/>
          <w:lang w:eastAsia="zh-CN"/>
        </w:rPr>
      </w:pPr>
      <w:r w:rsidRPr="00507F47">
        <w:rPr>
          <w:rFonts w:ascii="Times" w:eastAsia="Batang" w:hAnsi="Times" w:cs="Times"/>
          <w:bCs/>
          <w:lang w:eastAsia="zh-CN"/>
        </w:rPr>
        <w:t>Repetition is not used for 16-QAM in uplink.</w:t>
      </w:r>
    </w:p>
    <w:p w14:paraId="1EE1003A" w14:textId="77777777" w:rsidR="00507F47" w:rsidRPr="00507F47" w:rsidRDefault="00507F47" w:rsidP="00507F47">
      <w:pPr>
        <w:overflowPunct/>
        <w:autoSpaceDE/>
        <w:autoSpaceDN/>
        <w:adjustRightInd/>
        <w:spacing w:after="0"/>
        <w:textAlignment w:val="auto"/>
        <w:rPr>
          <w:rFonts w:ascii="Times" w:eastAsia="Batang" w:hAnsi="Times" w:cs="Times"/>
          <w:b/>
          <w:bCs/>
          <w:lang w:eastAsia="zh-CN"/>
        </w:rPr>
      </w:pPr>
    </w:p>
    <w:p w14:paraId="38D27F12" w14:textId="77777777" w:rsidR="00507F47" w:rsidRPr="00507F47" w:rsidRDefault="00507F47" w:rsidP="00507F47">
      <w:pPr>
        <w:overflowPunct/>
        <w:autoSpaceDE/>
        <w:autoSpaceDN/>
        <w:adjustRightInd/>
        <w:spacing w:after="0"/>
        <w:textAlignment w:val="auto"/>
        <w:rPr>
          <w:rFonts w:ascii="Times" w:eastAsia="Batang" w:hAnsi="Times" w:cs="Times"/>
          <w:b/>
          <w:bCs/>
          <w:lang w:eastAsia="zh-CN"/>
        </w:rPr>
      </w:pPr>
      <w:r w:rsidRPr="00507F47">
        <w:rPr>
          <w:rFonts w:ascii="Times" w:eastAsia="Batang" w:hAnsi="Times" w:cs="Times"/>
          <w:b/>
          <w:bCs/>
          <w:highlight w:val="green"/>
          <w:lang w:eastAsia="zh-CN"/>
        </w:rPr>
        <w:t>Agreement</w:t>
      </w:r>
    </w:p>
    <w:p w14:paraId="7E61B2BF" w14:textId="77777777" w:rsidR="00507F47" w:rsidRPr="00507F47" w:rsidRDefault="00507F47" w:rsidP="00507F47">
      <w:pPr>
        <w:overflowPunct/>
        <w:autoSpaceDE/>
        <w:autoSpaceDN/>
        <w:adjustRightInd/>
        <w:spacing w:after="0"/>
        <w:textAlignment w:val="auto"/>
        <w:rPr>
          <w:rFonts w:ascii="Times" w:eastAsia="Batang" w:hAnsi="Times" w:cs="Times"/>
          <w:bCs/>
          <w:lang w:eastAsia="zh-CN"/>
        </w:rPr>
      </w:pPr>
      <w:r w:rsidRPr="00507F47">
        <w:rPr>
          <w:rFonts w:ascii="Times" w:eastAsia="Batang" w:hAnsi="Times" w:cs="Times"/>
          <w:bCs/>
          <w:lang w:eastAsia="zh-CN"/>
        </w:rPr>
        <w:t>UL 16-QAM is applicable for NPUSCH scheduled from a DCI with CRC scrambled by C-RNTI.</w:t>
      </w:r>
    </w:p>
    <w:p w14:paraId="05134818" w14:textId="77777777" w:rsidR="00507F47" w:rsidRP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At least C-RNTI from USS is supported, FFS if 16-QAM is applied to C-RNTI from CSS.</w:t>
      </w:r>
    </w:p>
    <w:p w14:paraId="4FC17A30" w14:textId="77777777" w:rsidR="00507F47" w:rsidRP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FFS: Applicability of 16-QAM for PUR or EDT.</w:t>
      </w:r>
    </w:p>
    <w:p w14:paraId="4C79697D" w14:textId="77777777" w:rsidR="00507F47" w:rsidRPr="00507F47" w:rsidRDefault="00507F47" w:rsidP="00507F47">
      <w:pPr>
        <w:overflowPunct/>
        <w:autoSpaceDE/>
        <w:autoSpaceDN/>
        <w:adjustRightInd/>
        <w:spacing w:after="0"/>
        <w:textAlignment w:val="auto"/>
        <w:rPr>
          <w:rFonts w:ascii="Times" w:eastAsia="Batang" w:hAnsi="Times" w:cs="Times"/>
          <w:b/>
          <w:bCs/>
          <w:lang w:eastAsia="zh-CN"/>
        </w:rPr>
      </w:pPr>
    </w:p>
    <w:p w14:paraId="68D0C962" w14:textId="77777777" w:rsidR="00507F47" w:rsidRPr="00507F47" w:rsidRDefault="00507F47" w:rsidP="00507F47">
      <w:pPr>
        <w:overflowPunct/>
        <w:autoSpaceDE/>
        <w:autoSpaceDN/>
        <w:adjustRightInd/>
        <w:spacing w:after="0"/>
        <w:textAlignment w:val="auto"/>
        <w:rPr>
          <w:rFonts w:ascii="Times" w:eastAsia="Batang" w:hAnsi="Times" w:cs="Times"/>
          <w:b/>
          <w:bCs/>
          <w:lang w:eastAsia="zh-CN"/>
        </w:rPr>
      </w:pPr>
      <w:r w:rsidRPr="00507F47">
        <w:rPr>
          <w:rFonts w:ascii="Times" w:eastAsia="Batang" w:hAnsi="Times" w:cs="Times"/>
          <w:b/>
          <w:bCs/>
          <w:highlight w:val="green"/>
          <w:lang w:eastAsia="zh-CN"/>
        </w:rPr>
        <w:t>Agreement</w:t>
      </w:r>
    </w:p>
    <w:p w14:paraId="2CCAA0CD" w14:textId="77777777" w:rsidR="00507F47" w:rsidRPr="00507F47" w:rsidRDefault="00507F47" w:rsidP="00507F47">
      <w:pPr>
        <w:overflowPunct/>
        <w:autoSpaceDE/>
        <w:autoSpaceDN/>
        <w:adjustRightInd/>
        <w:spacing w:after="0"/>
        <w:textAlignment w:val="auto"/>
        <w:rPr>
          <w:rFonts w:ascii="Times" w:eastAsia="Batang" w:hAnsi="Times" w:cs="Times"/>
          <w:bCs/>
          <w:lang w:eastAsia="zh-CN"/>
        </w:rPr>
      </w:pPr>
      <w:r w:rsidRPr="00507F47">
        <w:rPr>
          <w:rFonts w:ascii="Times" w:eastAsia="Batang" w:hAnsi="Times" w:cs="Times"/>
          <w:bCs/>
          <w:lang w:eastAsia="zh-CN"/>
        </w:rPr>
        <w:t>The soft buffer size for Cat. NB2 UEs supporting 16QAM for downlink is 12800 bits.</w:t>
      </w:r>
    </w:p>
    <w:p w14:paraId="74879709" w14:textId="77777777" w:rsidR="00507F47" w:rsidRPr="00507F47" w:rsidRDefault="00507F47" w:rsidP="00507F47">
      <w:pPr>
        <w:overflowPunct/>
        <w:autoSpaceDE/>
        <w:autoSpaceDN/>
        <w:adjustRightInd/>
        <w:spacing w:after="0"/>
        <w:textAlignment w:val="auto"/>
        <w:rPr>
          <w:rFonts w:ascii="Times" w:eastAsia="Batang" w:hAnsi="Times" w:cs="Times"/>
          <w:bCs/>
          <w:lang w:eastAsia="zh-CN"/>
        </w:rPr>
      </w:pPr>
    </w:p>
    <w:p w14:paraId="2795ED19" w14:textId="77777777" w:rsidR="00507F47" w:rsidRPr="00507F47" w:rsidRDefault="00507F47" w:rsidP="00507F47">
      <w:pPr>
        <w:overflowPunct/>
        <w:autoSpaceDE/>
        <w:autoSpaceDN/>
        <w:adjustRightInd/>
        <w:spacing w:after="0"/>
        <w:textAlignment w:val="auto"/>
        <w:rPr>
          <w:rFonts w:ascii="Times" w:eastAsia="Batang" w:hAnsi="Times" w:cs="Times"/>
          <w:b/>
          <w:highlight w:val="green"/>
          <w:lang w:eastAsia="x-none"/>
        </w:rPr>
      </w:pPr>
      <w:r w:rsidRPr="00507F47">
        <w:rPr>
          <w:rFonts w:ascii="Times" w:eastAsia="Batang" w:hAnsi="Times" w:cs="Times"/>
          <w:b/>
          <w:highlight w:val="green"/>
          <w:lang w:eastAsia="x-none"/>
        </w:rPr>
        <w:t>Agreement</w:t>
      </w:r>
    </w:p>
    <w:p w14:paraId="3DB5AB7A" w14:textId="77777777" w:rsidR="00507F47" w:rsidRPr="00507F47" w:rsidRDefault="00507F47" w:rsidP="00507F47">
      <w:pPr>
        <w:suppressAutoHyphens/>
        <w:autoSpaceDN/>
        <w:adjustRightInd/>
        <w:spacing w:after="0"/>
        <w:jc w:val="both"/>
        <w:rPr>
          <w:rFonts w:ascii="Times" w:eastAsia="Times New Roman" w:hAnsi="Times" w:cs="Times"/>
          <w:lang w:eastAsia="ar-SA"/>
        </w:rPr>
      </w:pPr>
      <w:r w:rsidRPr="00507F47">
        <w:rPr>
          <w:rFonts w:ascii="Times" w:eastAsia="Times New Roman" w:hAnsi="Times" w:cs="Times"/>
          <w:lang w:eastAsia="ar-SA"/>
        </w:rPr>
        <w:t>The following working assumption is confirmed with following modifications:</w:t>
      </w:r>
    </w:p>
    <w:p w14:paraId="7D804786" w14:textId="77777777" w:rsidR="00507F47" w:rsidRP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 xml:space="preserve">For inband deployments, the downlink TBS entries between 11 (TBS of 2024 for I_SF=7) and </w:t>
      </w:r>
      <w:r w:rsidRPr="00507F47">
        <w:rPr>
          <w:rFonts w:ascii="Times" w:eastAsia="Batang" w:hAnsi="Times" w:cs="Times"/>
          <w:strike/>
          <w:color w:val="FF0000"/>
          <w:lang w:eastAsia="x-none"/>
        </w:rPr>
        <w:t>[</w:t>
      </w:r>
      <w:r w:rsidRPr="00507F47">
        <w:rPr>
          <w:rFonts w:ascii="Times" w:eastAsia="Batang" w:hAnsi="Times" w:cs="Times"/>
          <w:lang w:eastAsia="x-none"/>
        </w:rPr>
        <w:t>17</w:t>
      </w:r>
      <w:r w:rsidRPr="00507F47">
        <w:rPr>
          <w:rFonts w:ascii="Times" w:eastAsia="Batang" w:hAnsi="Times" w:cs="Times"/>
          <w:strike/>
          <w:color w:val="FF0000"/>
          <w:lang w:eastAsia="x-none"/>
        </w:rPr>
        <w:t>]</w:t>
      </w:r>
      <w:r w:rsidRPr="00507F47">
        <w:rPr>
          <w:rFonts w:ascii="Times" w:eastAsia="Batang" w:hAnsi="Times" w:cs="Times"/>
          <w:lang w:eastAsia="x-none"/>
        </w:rPr>
        <w:t xml:space="preserve"> are used for 16QAM.</w:t>
      </w:r>
    </w:p>
    <w:p w14:paraId="3D44E893" w14:textId="77777777" w:rsidR="00507F47" w:rsidRPr="00507F47" w:rsidRDefault="00507F47" w:rsidP="00507F47">
      <w:pPr>
        <w:overflowPunct/>
        <w:autoSpaceDE/>
        <w:autoSpaceDN/>
        <w:adjustRightInd/>
        <w:spacing w:after="0"/>
        <w:textAlignment w:val="auto"/>
        <w:rPr>
          <w:rFonts w:ascii="Times" w:eastAsia="Batang" w:hAnsi="Times"/>
          <w:szCs w:val="24"/>
          <w:lang w:eastAsia="x-none"/>
        </w:rPr>
      </w:pPr>
    </w:p>
    <w:p w14:paraId="179B23D9" w14:textId="77777777" w:rsidR="00507F47" w:rsidRPr="00507F47" w:rsidRDefault="00507F47" w:rsidP="00507F47">
      <w:pPr>
        <w:overflowPunct/>
        <w:autoSpaceDE/>
        <w:autoSpaceDN/>
        <w:adjustRightInd/>
        <w:spacing w:after="0"/>
        <w:textAlignment w:val="auto"/>
        <w:rPr>
          <w:rFonts w:ascii="Times" w:eastAsia="Batang" w:hAnsi="Times"/>
          <w:b/>
          <w:bCs/>
          <w:highlight w:val="green"/>
          <w:lang w:eastAsia="x-none"/>
        </w:rPr>
      </w:pPr>
      <w:r w:rsidRPr="00507F47">
        <w:rPr>
          <w:rFonts w:ascii="Times" w:eastAsia="Batang" w:hAnsi="Times"/>
          <w:b/>
          <w:bCs/>
          <w:highlight w:val="green"/>
          <w:lang w:eastAsia="x-none"/>
        </w:rPr>
        <w:t>Agreement</w:t>
      </w:r>
    </w:p>
    <w:p w14:paraId="35BB0A82" w14:textId="77777777" w:rsidR="00507F47" w:rsidRPr="00507F47" w:rsidRDefault="00507F47" w:rsidP="00507F47">
      <w:pPr>
        <w:overflowPunct/>
        <w:autoSpaceDE/>
        <w:autoSpaceDN/>
        <w:adjustRightInd/>
        <w:spacing w:after="0"/>
        <w:textAlignment w:val="auto"/>
        <w:rPr>
          <w:rFonts w:ascii="Times" w:eastAsia="Batang" w:hAnsi="Times"/>
          <w:lang w:eastAsia="x-none"/>
        </w:rPr>
      </w:pPr>
      <w:r w:rsidRPr="00507F47">
        <w:rPr>
          <w:rFonts w:ascii="Times" w:eastAsia="Batang" w:hAnsi="Times"/>
        </w:rPr>
        <w:t>Repetition of 2 is NOT supported for 16-QAM in downlink.</w:t>
      </w:r>
    </w:p>
    <w:p w14:paraId="638EEC6D" w14:textId="77777777" w:rsidR="00507F47" w:rsidRPr="00507F47" w:rsidRDefault="00507F47" w:rsidP="00507F47">
      <w:pPr>
        <w:overflowPunct/>
        <w:autoSpaceDE/>
        <w:autoSpaceDN/>
        <w:adjustRightInd/>
        <w:spacing w:after="0"/>
        <w:textAlignment w:val="auto"/>
        <w:rPr>
          <w:rFonts w:ascii="Times" w:eastAsia="Batang" w:hAnsi="Times"/>
          <w:szCs w:val="24"/>
          <w:lang w:eastAsia="x-none"/>
        </w:rPr>
      </w:pPr>
    </w:p>
    <w:p w14:paraId="7D10EB35" w14:textId="77777777" w:rsidR="00507F47" w:rsidRPr="00507F47" w:rsidRDefault="00507F47" w:rsidP="00507F47">
      <w:pPr>
        <w:overflowPunct/>
        <w:autoSpaceDE/>
        <w:autoSpaceDN/>
        <w:adjustRightInd/>
        <w:spacing w:after="0"/>
        <w:textAlignment w:val="auto"/>
        <w:rPr>
          <w:rFonts w:ascii="Times" w:eastAsia="Batang" w:hAnsi="Times" w:cs="Times"/>
          <w:b/>
          <w:highlight w:val="green"/>
        </w:rPr>
      </w:pPr>
      <w:r w:rsidRPr="00507F47">
        <w:rPr>
          <w:rFonts w:ascii="Times" w:eastAsia="Batang" w:hAnsi="Times" w:cs="Times"/>
          <w:b/>
          <w:highlight w:val="green"/>
        </w:rPr>
        <w:t>Agreement</w:t>
      </w:r>
    </w:p>
    <w:p w14:paraId="0D1C59C0" w14:textId="77777777" w:rsidR="00507F47" w:rsidRPr="00507F47" w:rsidRDefault="00507F47" w:rsidP="00507F47">
      <w:pPr>
        <w:overflowPunct/>
        <w:autoSpaceDE/>
        <w:autoSpaceDN/>
        <w:adjustRightInd/>
        <w:spacing w:after="0"/>
        <w:textAlignment w:val="auto"/>
        <w:rPr>
          <w:rFonts w:ascii="Times" w:eastAsia="Batang" w:hAnsi="Times" w:cs="Times"/>
        </w:rPr>
      </w:pPr>
      <w:r w:rsidRPr="00507F47">
        <w:rPr>
          <w:rFonts w:ascii="Times" w:eastAsia="Batang" w:hAnsi="Times" w:cs="Times"/>
        </w:rPr>
        <w:t>On the breaking point between QPSK and 16QAM for NPUSCH, t</w:t>
      </w:r>
      <w:r w:rsidRPr="00507F47">
        <w:rPr>
          <w:rFonts w:ascii="Times" w:eastAsia="Malgun Gothic" w:hAnsi="Times" w:cs="Times"/>
          <w:bCs/>
        </w:rPr>
        <w:t>he UL TBS entries only between 14 and 21 are used for 16QAM if 16QAM is configured.</w:t>
      </w:r>
    </w:p>
    <w:p w14:paraId="13ABDA38" w14:textId="77777777" w:rsidR="00507F47" w:rsidRPr="00507F47" w:rsidRDefault="00507F47" w:rsidP="00507F47">
      <w:pPr>
        <w:overflowPunct/>
        <w:autoSpaceDE/>
        <w:autoSpaceDN/>
        <w:adjustRightInd/>
        <w:spacing w:after="0"/>
        <w:textAlignment w:val="auto"/>
        <w:rPr>
          <w:rFonts w:ascii="Times" w:eastAsia="Batang" w:hAnsi="Times"/>
          <w:szCs w:val="24"/>
          <w:lang w:eastAsia="x-none"/>
        </w:rPr>
      </w:pPr>
    </w:p>
    <w:p w14:paraId="42DF440D" w14:textId="77777777" w:rsidR="00507F47" w:rsidRPr="00507F47" w:rsidRDefault="00507F47" w:rsidP="00507F47">
      <w:pPr>
        <w:overflowPunct/>
        <w:autoSpaceDE/>
        <w:autoSpaceDN/>
        <w:adjustRightInd/>
        <w:spacing w:after="0"/>
        <w:textAlignment w:val="auto"/>
        <w:rPr>
          <w:rFonts w:ascii="Times" w:eastAsia="Batang" w:hAnsi="Times" w:cs="Times"/>
          <w:b/>
          <w:highlight w:val="green"/>
        </w:rPr>
      </w:pPr>
      <w:r w:rsidRPr="00507F47">
        <w:rPr>
          <w:rFonts w:ascii="Times" w:eastAsia="Batang" w:hAnsi="Times" w:cs="Times"/>
          <w:b/>
          <w:highlight w:val="green"/>
        </w:rPr>
        <w:t>Agreement</w:t>
      </w:r>
    </w:p>
    <w:p w14:paraId="0A4278EC" w14:textId="77777777" w:rsidR="00507F47" w:rsidRPr="00507F47" w:rsidRDefault="00507F47" w:rsidP="00507F47">
      <w:pPr>
        <w:overflowPunct/>
        <w:autoSpaceDE/>
        <w:autoSpaceDN/>
        <w:adjustRightInd/>
        <w:spacing w:after="0"/>
        <w:textAlignment w:val="auto"/>
        <w:rPr>
          <w:rFonts w:ascii="Times" w:eastAsia="Batang" w:hAnsi="Times"/>
          <w:szCs w:val="24"/>
          <w:lang w:eastAsia="x-none"/>
        </w:rPr>
      </w:pPr>
      <w:r w:rsidRPr="00507F47">
        <w:rPr>
          <w:rFonts w:ascii="Times" w:eastAsia="Batang" w:hAnsi="Times"/>
          <w:szCs w:val="24"/>
          <w:lang w:eastAsia="x-none"/>
        </w:rPr>
        <w:t>16-QAM can be used for 3 and 6 subcarriers NPUSCH format 1</w:t>
      </w:r>
    </w:p>
    <w:p w14:paraId="3325B32D" w14:textId="77777777" w:rsidR="00507F47" w:rsidRPr="00507F47" w:rsidRDefault="00507F47" w:rsidP="00507F47">
      <w:pPr>
        <w:overflowPunct/>
        <w:autoSpaceDE/>
        <w:autoSpaceDN/>
        <w:adjustRightInd/>
        <w:spacing w:after="0"/>
        <w:textAlignment w:val="auto"/>
        <w:rPr>
          <w:rFonts w:ascii="Times" w:eastAsia="Batang" w:hAnsi="Times"/>
          <w:szCs w:val="24"/>
          <w:lang w:eastAsia="x-none"/>
        </w:rPr>
      </w:pPr>
    </w:p>
    <w:p w14:paraId="48579D17" w14:textId="77777777" w:rsidR="00507F47" w:rsidRPr="00507F47" w:rsidRDefault="00507F47" w:rsidP="00507F47">
      <w:pPr>
        <w:overflowPunct/>
        <w:autoSpaceDE/>
        <w:autoSpaceDN/>
        <w:adjustRightInd/>
        <w:spacing w:after="0"/>
        <w:textAlignment w:val="auto"/>
        <w:rPr>
          <w:rFonts w:ascii="Times" w:eastAsia="Batang" w:hAnsi="Times" w:cs="Times"/>
          <w:b/>
          <w:highlight w:val="green"/>
        </w:rPr>
      </w:pPr>
      <w:r w:rsidRPr="00507F47">
        <w:rPr>
          <w:rFonts w:ascii="Times" w:eastAsia="Batang" w:hAnsi="Times" w:cs="Times"/>
          <w:b/>
          <w:highlight w:val="green"/>
        </w:rPr>
        <w:t>Agreement</w:t>
      </w:r>
    </w:p>
    <w:p w14:paraId="643249BB" w14:textId="77777777" w:rsidR="00507F47" w:rsidRPr="00507F47" w:rsidRDefault="00507F47" w:rsidP="00507F47">
      <w:pPr>
        <w:overflowPunct/>
        <w:autoSpaceDE/>
        <w:autoSpaceDN/>
        <w:adjustRightInd/>
        <w:spacing w:after="0"/>
        <w:textAlignment w:val="auto"/>
        <w:rPr>
          <w:rFonts w:ascii="Times" w:eastAsia="Batang" w:hAnsi="Times"/>
          <w:bCs/>
          <w:szCs w:val="21"/>
          <w:lang w:eastAsia="zh-CN"/>
        </w:rPr>
      </w:pPr>
      <w:r w:rsidRPr="00507F47">
        <w:rPr>
          <w:rFonts w:ascii="Times" w:eastAsia="Batang" w:hAnsi="Times"/>
          <w:bCs/>
          <w:szCs w:val="21"/>
          <w:lang w:eastAsia="zh-CN"/>
        </w:rPr>
        <w:t>The NPDSCH EPRE in symbols with NRS can be different and can be the same with the NPDSCH EPRE in symbols without CRS and NRS.</w:t>
      </w:r>
    </w:p>
    <w:p w14:paraId="7843649F" w14:textId="77777777" w:rsidR="00507F47" w:rsidRPr="00507F47" w:rsidRDefault="00507F47" w:rsidP="00507F47">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FFS on signaling details</w:t>
      </w:r>
    </w:p>
    <w:p w14:paraId="48F28CC4" w14:textId="0364C8D5" w:rsidR="00E61FC4" w:rsidRPr="00A30B79" w:rsidRDefault="00507F47" w:rsidP="00A30B79">
      <w:pPr>
        <w:numPr>
          <w:ilvl w:val="0"/>
          <w:numId w:val="19"/>
        </w:numPr>
        <w:overflowPunct/>
        <w:autoSpaceDE/>
        <w:autoSpaceDN/>
        <w:adjustRightInd/>
        <w:spacing w:after="0"/>
        <w:contextualSpacing/>
        <w:textAlignment w:val="auto"/>
        <w:rPr>
          <w:rFonts w:ascii="Times" w:eastAsia="Batang" w:hAnsi="Times" w:cs="Times"/>
          <w:lang w:eastAsia="x-none"/>
        </w:rPr>
      </w:pPr>
      <w:r w:rsidRPr="00507F47">
        <w:rPr>
          <w:rFonts w:ascii="Times" w:eastAsia="Batang" w:hAnsi="Times" w:cs="Times"/>
          <w:lang w:eastAsia="x-none"/>
        </w:rPr>
        <w:t>FFS for the handling on whether the PCI is different or the same</w:t>
      </w:r>
    </w:p>
    <w:p w14:paraId="1C0F199E" w14:textId="77777777" w:rsidR="004772C9" w:rsidRPr="00DE5B8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200CBF">
        <w:rPr>
          <w:rFonts w:ascii="Times" w:eastAsia="MS Mincho" w:hAnsi="Times" w:cs="Times"/>
          <w:lang w:val="en-US"/>
        </w:rPr>
        <w:t>16-QAM support in unicast for DL and UL of NB-IoT</w:t>
      </w:r>
      <w:r w:rsidRPr="00DE5B89">
        <w:rPr>
          <w:rFonts w:ascii="Times" w:eastAsia="MS Mincho" w:hAnsi="Times" w:cs="Times"/>
          <w:lang w:val="en-US"/>
        </w:rPr>
        <w:t>.</w:t>
      </w:r>
      <w:bookmarkEnd w:id="7"/>
    </w:p>
    <w:p w14:paraId="0A5670C8" w14:textId="77777777" w:rsidR="005B058D" w:rsidRPr="00DE5B89" w:rsidRDefault="005B058D" w:rsidP="005B058D">
      <w:pPr>
        <w:pStyle w:val="Heading1"/>
        <w:tabs>
          <w:tab w:val="clear" w:pos="1134"/>
          <w:tab w:val="num" w:pos="709"/>
        </w:tabs>
        <w:ind w:left="709" w:hanging="709"/>
        <w:rPr>
          <w:lang w:val="en-US"/>
        </w:rPr>
      </w:pPr>
      <w:bookmarkStart w:id="10" w:name="_Hlk525462634"/>
      <w:bookmarkStart w:id="11" w:name="_Hlk4137067"/>
      <w:bookmarkStart w:id="12" w:name="_Hlk520894743"/>
      <w:bookmarkStart w:id="13" w:name="_Hlk7596973"/>
      <w:r>
        <w:rPr>
          <w:lang w:val="en-US"/>
        </w:rPr>
        <w:t>Downlink</w:t>
      </w:r>
    </w:p>
    <w:bookmarkEnd w:id="10"/>
    <w:p w14:paraId="439E757B" w14:textId="42597BAA" w:rsidR="007C3A18" w:rsidRPr="007C3A18" w:rsidRDefault="00E27FBC" w:rsidP="00964B4E">
      <w:pPr>
        <w:jc w:val="both"/>
        <w:rPr>
          <w:rFonts w:eastAsia="MS Mincho"/>
          <w:u w:val="single"/>
          <w:lang w:val="en-US" w:eastAsia="ja-JP"/>
        </w:rPr>
      </w:pPr>
      <w:r>
        <w:rPr>
          <w:rFonts w:eastAsia="MS Mincho"/>
          <w:u w:val="single"/>
          <w:lang w:val="en-US" w:eastAsia="ja-JP"/>
        </w:rPr>
        <w:t>TBS Table</w:t>
      </w:r>
    </w:p>
    <w:p w14:paraId="310DCFBE" w14:textId="1027C930" w:rsidR="007C692D" w:rsidRDefault="00BA1772" w:rsidP="00964B4E">
      <w:pPr>
        <w:jc w:val="both"/>
        <w:rPr>
          <w:rFonts w:eastAsia="MS Mincho"/>
          <w:lang w:val="en-US" w:eastAsia="ja-JP"/>
        </w:rPr>
      </w:pPr>
      <w:r>
        <w:rPr>
          <w:rFonts w:eastAsia="MS Mincho"/>
          <w:lang w:val="en-US" w:eastAsia="ja-JP"/>
        </w:rPr>
        <w:t>In RAN1#104-e, the working assumption on the TBS table was revised as follows</w:t>
      </w:r>
      <w:r w:rsidR="007C692D">
        <w:rPr>
          <w:rFonts w:eastAsia="MS Mincho"/>
          <w:lang w:val="en-US" w:eastAsia="ja-JP"/>
        </w:rPr>
        <w:t xml:space="preserve"> –</w:t>
      </w:r>
    </w:p>
    <w:tbl>
      <w:tblPr>
        <w:tblW w:w="0" w:type="auto"/>
        <w:jc w:val="center"/>
        <w:tblCellMar>
          <w:left w:w="0" w:type="dxa"/>
          <w:right w:w="0" w:type="dxa"/>
        </w:tblCellMar>
        <w:tblLook w:val="04A0" w:firstRow="1" w:lastRow="0" w:firstColumn="1" w:lastColumn="0" w:noHBand="0" w:noVBand="1"/>
      </w:tblPr>
      <w:tblGrid>
        <w:gridCol w:w="717"/>
        <w:gridCol w:w="883"/>
        <w:gridCol w:w="536"/>
        <w:gridCol w:w="536"/>
        <w:gridCol w:w="536"/>
        <w:gridCol w:w="1043"/>
        <w:gridCol w:w="536"/>
        <w:gridCol w:w="536"/>
        <w:gridCol w:w="536"/>
      </w:tblGrid>
      <w:tr w:rsidR="007C692D" w:rsidRPr="00E61FC4" w14:paraId="629092B9" w14:textId="77777777" w:rsidTr="00BA177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13E0A03" w14:textId="77777777" w:rsidR="007C692D" w:rsidRPr="00E61FC4" w:rsidRDefault="007C692D" w:rsidP="008710CA">
            <w:pPr>
              <w:keepNext/>
              <w:adjustRightInd/>
              <w:spacing w:after="0"/>
              <w:jc w:val="center"/>
              <w:textAlignment w:val="auto"/>
              <w:rPr>
                <w:rFonts w:ascii="Times" w:eastAsia="Batang" w:hAnsi="Times" w:cs="Times"/>
                <w:b/>
                <w:bCs/>
                <w:sz w:val="18"/>
                <w:szCs w:val="18"/>
                <w:lang w:eastAsia="ko-KR"/>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12DC0D"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I_SF</w:t>
            </w:r>
          </w:p>
        </w:tc>
      </w:tr>
      <w:tr w:rsidR="007C692D" w:rsidRPr="00E61FC4" w14:paraId="5A6519CC" w14:textId="77777777" w:rsidTr="008710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5F599F4B" w14:textId="77777777" w:rsidR="007C692D" w:rsidRPr="00E61FC4" w:rsidRDefault="007C692D" w:rsidP="008710CA">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40E328"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572004"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97412EC"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5069691"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CB004F"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D7A30D"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1970716"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9F796E7"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7C692D" w:rsidRPr="00E61FC4" w14:paraId="1C2292F3"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9B86F1" w14:textId="77777777" w:rsidR="007C692D" w:rsidRPr="00E61FC4" w:rsidRDefault="007C692D" w:rsidP="008710C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94B19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6E4A12" w14:textId="75AB66DB" w:rsidR="007C692D" w:rsidRPr="00E61FC4" w:rsidRDefault="00A66F3D" w:rsidP="008710CA">
            <w:pPr>
              <w:adjustRightInd/>
              <w:spacing w:after="0"/>
              <w:jc w:val="center"/>
              <w:textAlignment w:val="auto"/>
              <w:rPr>
                <w:rFonts w:ascii="Times" w:eastAsia="Batang" w:hAnsi="Times" w:cs="Times"/>
                <w:sz w:val="16"/>
                <w:szCs w:val="16"/>
                <w:lang w:eastAsia="en-GB"/>
              </w:rPr>
            </w:pPr>
            <w:r>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C684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DA7B6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BC52E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C4CB11"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F4E00"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0358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r>
      <w:tr w:rsidR="007C692D" w:rsidRPr="00E61FC4" w14:paraId="56E66689"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6C475F"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AF23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2ACE4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37FFE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626FF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EC93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297B4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6B0CC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D66B7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r>
      <w:tr w:rsidR="007C692D" w:rsidRPr="00E61FC4" w14:paraId="01CD18F7"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F88496"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03612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BA1772">
              <w:rPr>
                <w:rFonts w:ascii="Times" w:eastAsia="Batang" w:hAnsi="Times" w:cs="Times"/>
                <w:strike/>
                <w:color w:val="FF0000"/>
                <w:sz w:val="16"/>
                <w:szCs w:val="16"/>
                <w:lang w:eastAsia="en-GB"/>
              </w:rPr>
              <w:t>[</w:t>
            </w:r>
            <w:r w:rsidRPr="00E61FC4">
              <w:rPr>
                <w:rFonts w:ascii="Times" w:eastAsia="Batang" w:hAnsi="Times" w:cs="Times"/>
                <w:sz w:val="16"/>
                <w:szCs w:val="16"/>
                <w:lang w:eastAsia="en-GB"/>
              </w:rPr>
              <w:t>328</w:t>
            </w:r>
            <w:r w:rsidRPr="00BA1772">
              <w:rPr>
                <w:rFonts w:ascii="Times" w:eastAsia="Batang" w:hAnsi="Times" w:cs="Times"/>
                <w:strike/>
                <w:color w:val="FF0000"/>
                <w:sz w:val="16"/>
                <w:szCs w:val="16"/>
                <w:lang w:eastAsia="en-GB"/>
              </w:rPr>
              <w:t>,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22BB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45026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7AC061"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33063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82D9B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79BA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4BECED"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3240</w:t>
            </w:r>
          </w:p>
        </w:tc>
      </w:tr>
      <w:tr w:rsidR="007C692D" w:rsidRPr="00E61FC4" w14:paraId="2CF4F181"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437F8B"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80B9BD"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6241A8"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D9424"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A8CED7"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3FCE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AE7D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FCF18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CBB53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3624</w:t>
            </w:r>
          </w:p>
        </w:tc>
      </w:tr>
      <w:tr w:rsidR="007C692D" w:rsidRPr="00E61FC4" w14:paraId="3B82F7FA"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E19D81"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644E2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181F4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744467"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70EEF3"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8B975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A1E94"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B3E72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B7F01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r>
      <w:tr w:rsidR="007C692D" w:rsidRPr="00E61FC4" w14:paraId="5C7C5265"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A700631"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AA4D8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6C478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019F1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4168D0"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EA82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661A5D"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0E4A1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3D01D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4264</w:t>
            </w:r>
          </w:p>
        </w:tc>
      </w:tr>
      <w:tr w:rsidR="007C692D" w:rsidRPr="00E61FC4" w14:paraId="6F410AC0"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871DCDC"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32BA8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2B1913"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6DB8A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52CFB0"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68308"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0D998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8B9A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86DFB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4584</w:t>
            </w:r>
          </w:p>
        </w:tc>
      </w:tr>
      <w:tr w:rsidR="007C692D" w:rsidRPr="00E61FC4" w14:paraId="5393C714" w14:textId="77777777" w:rsidTr="00BA177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466C73"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BB45A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6B00C4"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09196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213A3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C403F7"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BA1772">
              <w:rPr>
                <w:rFonts w:ascii="Times" w:eastAsia="Batang" w:hAnsi="Times" w:cs="Times"/>
                <w:strike/>
                <w:color w:val="FF0000"/>
                <w:sz w:val="16"/>
                <w:szCs w:val="16"/>
                <w:lang w:eastAsia="en-GB"/>
              </w:rPr>
              <w:t>[</w:t>
            </w:r>
            <w:r w:rsidRPr="00E61FC4">
              <w:rPr>
                <w:rFonts w:ascii="Times" w:eastAsia="Batang" w:hAnsi="Times" w:cs="Times"/>
                <w:sz w:val="16"/>
                <w:szCs w:val="16"/>
                <w:lang w:eastAsia="en-GB"/>
              </w:rPr>
              <w:t>2472</w:t>
            </w:r>
            <w:r w:rsidRPr="00BA1772">
              <w:rPr>
                <w:rFonts w:ascii="Times" w:eastAsia="Batang" w:hAnsi="Times" w:cs="Times"/>
                <w:strike/>
                <w:color w:val="FF0000"/>
                <w:sz w:val="16"/>
                <w:szCs w:val="16"/>
                <w:lang w:eastAsia="en-GB"/>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D8EA7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7482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88864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4968</w:t>
            </w:r>
          </w:p>
        </w:tc>
      </w:tr>
    </w:tbl>
    <w:p w14:paraId="7C204FCC" w14:textId="46AD0CC5" w:rsidR="007C692D" w:rsidRDefault="007C692D" w:rsidP="00A66F3D">
      <w:pPr>
        <w:jc w:val="both"/>
        <w:rPr>
          <w:lang w:val="en-US"/>
        </w:rPr>
      </w:pPr>
    </w:p>
    <w:p w14:paraId="42C3C741" w14:textId="43E1876C" w:rsidR="00BC6AE0" w:rsidRDefault="00BC6AE0" w:rsidP="004867B8">
      <w:pPr>
        <w:jc w:val="both"/>
        <w:rPr>
          <w:rFonts w:eastAsia="MS Mincho"/>
          <w:lang w:val="en-US" w:eastAsia="ja-JP"/>
        </w:rPr>
      </w:pPr>
      <w:r>
        <w:rPr>
          <w:rFonts w:eastAsia="MS Mincho"/>
          <w:lang w:val="en-US" w:eastAsia="ja-JP"/>
        </w:rPr>
        <w:t xml:space="preserve">For </w:t>
      </w:r>
      <w:r w:rsidRPr="00BC6AE0">
        <w:rPr>
          <w:rFonts w:eastAsia="MS Mincho"/>
          <w:lang w:val="en-US" w:eastAsia="ja-JP"/>
        </w:rPr>
        <w:t>I_TBS=21</w:t>
      </w:r>
      <w:r w:rsidR="00A66F3D">
        <w:rPr>
          <w:rFonts w:eastAsia="MS Mincho"/>
          <w:lang w:val="en-US" w:eastAsia="ja-JP"/>
        </w:rPr>
        <w:t xml:space="preserve"> and</w:t>
      </w:r>
      <w:r w:rsidRPr="00BC6AE0">
        <w:rPr>
          <w:rFonts w:eastAsia="MS Mincho"/>
          <w:lang w:val="en-US" w:eastAsia="ja-JP"/>
        </w:rPr>
        <w:t xml:space="preserve"> I_SF=4</w:t>
      </w:r>
      <w:r w:rsidR="00A66F3D">
        <w:rPr>
          <w:rFonts w:eastAsia="MS Mincho"/>
          <w:lang w:val="en-US" w:eastAsia="ja-JP"/>
        </w:rPr>
        <w:t>, two values are proposed – 2472 and 2536. The two values are similar</w:t>
      </w:r>
      <w:r w:rsidRPr="00BC6AE0">
        <w:rPr>
          <w:rFonts w:eastAsia="MS Mincho"/>
          <w:lang w:val="en-US" w:eastAsia="ja-JP"/>
        </w:rPr>
        <w:t xml:space="preserve"> </w:t>
      </w:r>
      <w:r w:rsidR="00A66F3D">
        <w:rPr>
          <w:rFonts w:eastAsia="MS Mincho"/>
          <w:lang w:val="en-US" w:eastAsia="ja-JP"/>
        </w:rPr>
        <w:t>and there is really not expected to be meaningful performance difference between the two values. Therefore, we propose to confirm the TBS value of 2472 in-line with the existing LTE table.</w:t>
      </w:r>
    </w:p>
    <w:p w14:paraId="38114831" w14:textId="6725C4CC" w:rsidR="00A66F3D" w:rsidRDefault="00A66F3D" w:rsidP="004867B8">
      <w:pPr>
        <w:jc w:val="both"/>
        <w:rPr>
          <w:rFonts w:eastAsia="MS Mincho"/>
          <w:lang w:val="en-US" w:eastAsia="ja-JP"/>
        </w:rPr>
      </w:pPr>
      <w:r>
        <w:rPr>
          <w:rFonts w:eastAsia="MS Mincho"/>
          <w:lang w:val="en-US" w:eastAsia="ja-JP"/>
        </w:rPr>
        <w:t xml:space="preserve">For </w:t>
      </w:r>
      <w:r w:rsidRPr="00BC6AE0">
        <w:rPr>
          <w:rFonts w:eastAsia="MS Mincho"/>
          <w:lang w:val="en-US" w:eastAsia="ja-JP"/>
        </w:rPr>
        <w:t>I_TBS=</w:t>
      </w:r>
      <w:r>
        <w:rPr>
          <w:rFonts w:eastAsia="MS Mincho"/>
          <w:lang w:val="en-US" w:eastAsia="ja-JP"/>
        </w:rPr>
        <w:t>16 and</w:t>
      </w:r>
      <w:r w:rsidRPr="00BC6AE0">
        <w:rPr>
          <w:rFonts w:eastAsia="MS Mincho"/>
          <w:lang w:val="en-US" w:eastAsia="ja-JP"/>
        </w:rPr>
        <w:t xml:space="preserve"> I_SF=</w:t>
      </w:r>
      <w:r>
        <w:rPr>
          <w:rFonts w:eastAsia="MS Mincho"/>
          <w:lang w:val="en-US" w:eastAsia="ja-JP"/>
        </w:rPr>
        <w:t xml:space="preserve">0, two values are proposed – 328 and 296. </w:t>
      </w:r>
      <w:r w:rsidR="00040DA4">
        <w:rPr>
          <w:rFonts w:eastAsia="MS Mincho"/>
          <w:lang w:val="en-US" w:eastAsia="ja-JP"/>
        </w:rPr>
        <w:t xml:space="preserve">The value 296 provides better differentiation </w:t>
      </w:r>
      <w:r w:rsidR="00A008CF">
        <w:rPr>
          <w:rFonts w:eastAsia="MS Mincho"/>
          <w:lang w:val="en-US" w:eastAsia="ja-JP"/>
        </w:rPr>
        <w:t xml:space="preserve">when </w:t>
      </w:r>
      <w:r w:rsidR="00040DA4">
        <w:rPr>
          <w:rFonts w:eastAsia="MS Mincho"/>
          <w:lang w:val="en-US" w:eastAsia="ja-JP"/>
        </w:rPr>
        <w:t xml:space="preserve">compared to </w:t>
      </w:r>
      <w:r w:rsidR="00F72F5C">
        <w:rPr>
          <w:rFonts w:eastAsia="MS Mincho"/>
          <w:lang w:val="en-US" w:eastAsia="ja-JP"/>
        </w:rPr>
        <w:t>previous and next MCS values</w:t>
      </w:r>
      <w:r w:rsidR="00040DA4">
        <w:rPr>
          <w:rFonts w:eastAsia="MS Mincho"/>
          <w:lang w:val="en-US" w:eastAsia="ja-JP"/>
        </w:rPr>
        <w:t>. On the other hand, the value 328 is the default LTE table value and is therefore our preference</w:t>
      </w:r>
      <w:r w:rsidR="00204455">
        <w:rPr>
          <w:rFonts w:eastAsia="MS Mincho"/>
          <w:lang w:val="en-US" w:eastAsia="ja-JP"/>
        </w:rPr>
        <w:t xml:space="preserve"> due to the desire to reuse existing TBS values</w:t>
      </w:r>
      <w:r w:rsidR="00040DA4">
        <w:rPr>
          <w:rFonts w:eastAsia="MS Mincho"/>
          <w:lang w:val="en-US" w:eastAsia="ja-JP"/>
        </w:rPr>
        <w:t>.</w:t>
      </w:r>
      <w:r w:rsidR="00F426A3">
        <w:rPr>
          <w:rFonts w:eastAsia="MS Mincho"/>
          <w:lang w:val="en-US" w:eastAsia="ja-JP"/>
        </w:rPr>
        <w:t xml:space="preserve"> However, simulation results in </w:t>
      </w:r>
      <w:r w:rsidR="00F426A3">
        <w:rPr>
          <w:rFonts w:eastAsia="MS Mincho"/>
          <w:lang w:val="en-US" w:eastAsia="ja-JP"/>
        </w:rPr>
        <w:fldChar w:fldCharType="begin"/>
      </w:r>
      <w:r w:rsidR="00F426A3">
        <w:rPr>
          <w:rFonts w:eastAsia="MS Mincho"/>
          <w:lang w:val="en-US" w:eastAsia="ja-JP"/>
        </w:rPr>
        <w:instrText xml:space="preserve"> REF _Ref65502780 \n \h </w:instrText>
      </w:r>
      <w:r w:rsidR="00F426A3">
        <w:rPr>
          <w:rFonts w:eastAsia="MS Mincho"/>
          <w:lang w:val="en-US" w:eastAsia="ja-JP"/>
        </w:rPr>
      </w:r>
      <w:r w:rsidR="00F426A3">
        <w:rPr>
          <w:rFonts w:eastAsia="MS Mincho"/>
          <w:lang w:val="en-US" w:eastAsia="ja-JP"/>
        </w:rPr>
        <w:fldChar w:fldCharType="separate"/>
      </w:r>
      <w:r w:rsidR="00DB43B9">
        <w:rPr>
          <w:rFonts w:eastAsia="MS Mincho"/>
          <w:lang w:val="en-US" w:eastAsia="ja-JP"/>
        </w:rPr>
        <w:t>[4]</w:t>
      </w:r>
      <w:r w:rsidR="00F426A3">
        <w:rPr>
          <w:rFonts w:eastAsia="MS Mincho"/>
          <w:lang w:val="en-US" w:eastAsia="ja-JP"/>
        </w:rPr>
        <w:fldChar w:fldCharType="end"/>
      </w:r>
      <w:r w:rsidR="00F426A3">
        <w:rPr>
          <w:rFonts w:eastAsia="MS Mincho"/>
          <w:lang w:val="en-US" w:eastAsia="ja-JP"/>
        </w:rPr>
        <w:t xml:space="preserve"> indicated that TBS value of 328 bits perform worse than TBS value of 336 bits (i.e. I_TBS=17) which would render </w:t>
      </w:r>
      <w:r w:rsidR="00A6634D">
        <w:rPr>
          <w:rFonts w:eastAsia="MS Mincho"/>
          <w:lang w:val="en-US" w:eastAsia="ja-JP"/>
        </w:rPr>
        <w:t xml:space="preserve">TBS of 328 bits </w:t>
      </w:r>
      <w:r w:rsidR="00893D29">
        <w:rPr>
          <w:rFonts w:eastAsia="MS Mincho"/>
          <w:lang w:val="en-US" w:eastAsia="ja-JP"/>
        </w:rPr>
        <w:t>not useful</w:t>
      </w:r>
      <w:r w:rsidR="00F426A3">
        <w:rPr>
          <w:rFonts w:eastAsia="MS Mincho"/>
          <w:lang w:val="en-US" w:eastAsia="ja-JP"/>
        </w:rPr>
        <w:t>.</w:t>
      </w:r>
    </w:p>
    <w:p w14:paraId="6A209E00" w14:textId="6C858B49" w:rsidR="00A6634D" w:rsidRDefault="005A5229" w:rsidP="00A6634D">
      <w:pPr>
        <w:keepNext/>
        <w:jc w:val="center"/>
      </w:pPr>
      <w:r w:rsidRPr="005A5229">
        <w:rPr>
          <w:noProof/>
        </w:rPr>
        <w:drawing>
          <wp:inline distT="0" distB="0" distL="0" distR="0" wp14:anchorId="5E16050E" wp14:editId="4F9CC324">
            <wp:extent cx="3474996" cy="25774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7877" cy="2594432"/>
                    </a:xfrm>
                    <a:prstGeom prst="rect">
                      <a:avLst/>
                    </a:prstGeom>
                    <a:noFill/>
                    <a:ln>
                      <a:noFill/>
                    </a:ln>
                  </pic:spPr>
                </pic:pic>
              </a:graphicData>
            </a:graphic>
          </wp:inline>
        </w:drawing>
      </w:r>
    </w:p>
    <w:p w14:paraId="005A513A" w14:textId="06117AA6" w:rsidR="00A6634D" w:rsidRPr="00D4314D" w:rsidRDefault="00A6634D" w:rsidP="00A6634D">
      <w:pPr>
        <w:pStyle w:val="Caption"/>
        <w:jc w:val="center"/>
        <w:rPr>
          <w:rFonts w:eastAsia="MS Mincho"/>
          <w:lang w:val="en-US" w:eastAsia="ja-JP"/>
        </w:rPr>
      </w:pPr>
      <w:bookmarkStart w:id="14" w:name="_Ref53563328"/>
      <w:r>
        <w:t xml:space="preserve">Figure </w:t>
      </w:r>
      <w:r w:rsidR="001A7234">
        <w:fldChar w:fldCharType="begin"/>
      </w:r>
      <w:r w:rsidR="001A7234">
        <w:instrText xml:space="preserve"> SEQ Figure \* ARABIC </w:instrText>
      </w:r>
      <w:r w:rsidR="001A7234">
        <w:fldChar w:fldCharType="separate"/>
      </w:r>
      <w:r w:rsidR="00DB43B9">
        <w:rPr>
          <w:noProof/>
        </w:rPr>
        <w:t>1</w:t>
      </w:r>
      <w:r w:rsidR="001A7234">
        <w:rPr>
          <w:noProof/>
        </w:rPr>
        <w:fldChar w:fldCharType="end"/>
      </w:r>
      <w:bookmarkEnd w:id="14"/>
      <w:r>
        <w:rPr>
          <w:lang w:val="en-US"/>
        </w:rPr>
        <w:t>. NPDSCH performance with 16-QAM.</w:t>
      </w:r>
    </w:p>
    <w:p w14:paraId="337C71DE" w14:textId="3ECAB4F9" w:rsidR="00A6634D" w:rsidRDefault="00A6634D" w:rsidP="004867B8">
      <w:pPr>
        <w:jc w:val="both"/>
        <w:rPr>
          <w:rFonts w:eastAsia="MS Mincho"/>
          <w:lang w:val="en-US" w:eastAsia="ja-JP"/>
        </w:rPr>
      </w:pPr>
      <w:r>
        <w:rPr>
          <w:rFonts w:eastAsia="MS Mincho"/>
          <w:lang w:val="en-US" w:eastAsia="ja-JP"/>
        </w:rPr>
        <w:fldChar w:fldCharType="begin"/>
      </w:r>
      <w:r>
        <w:rPr>
          <w:rFonts w:eastAsia="MS Mincho"/>
          <w:lang w:val="en-US" w:eastAsia="ja-JP"/>
        </w:rPr>
        <w:instrText xml:space="preserve"> REF _Ref53563328 \h </w:instrText>
      </w:r>
      <w:r>
        <w:rPr>
          <w:rFonts w:eastAsia="MS Mincho"/>
          <w:lang w:val="en-US" w:eastAsia="ja-JP"/>
        </w:rPr>
      </w:r>
      <w:r>
        <w:rPr>
          <w:rFonts w:eastAsia="MS Mincho"/>
          <w:lang w:val="en-US" w:eastAsia="ja-JP"/>
        </w:rPr>
        <w:fldChar w:fldCharType="separate"/>
      </w:r>
      <w:r w:rsidR="00DB43B9">
        <w:t xml:space="preserve">Figure </w:t>
      </w:r>
      <w:r w:rsidR="00DB43B9">
        <w:rPr>
          <w:noProof/>
        </w:rPr>
        <w:t>1</w:t>
      </w:r>
      <w:r>
        <w:rPr>
          <w:rFonts w:eastAsia="MS Mincho"/>
          <w:lang w:val="en-US" w:eastAsia="ja-JP"/>
        </w:rPr>
        <w:fldChar w:fldCharType="end"/>
      </w:r>
      <w:r>
        <w:rPr>
          <w:rFonts w:eastAsia="MS Mincho"/>
          <w:lang w:val="en-US" w:eastAsia="ja-JP"/>
        </w:rPr>
        <w:t xml:space="preserve"> illustrates performance comparison of </w:t>
      </w:r>
      <w:r w:rsidR="007967DE">
        <w:rPr>
          <w:rFonts w:eastAsia="MS Mincho"/>
          <w:lang w:val="en-US" w:eastAsia="ja-JP"/>
        </w:rPr>
        <w:t>several</w:t>
      </w:r>
      <w:r>
        <w:rPr>
          <w:rFonts w:eastAsia="MS Mincho"/>
          <w:lang w:val="en-US" w:eastAsia="ja-JP"/>
        </w:rPr>
        <w:t xml:space="preserve"> TBS values</w:t>
      </w:r>
      <w:r w:rsidR="007967DE">
        <w:rPr>
          <w:rFonts w:eastAsia="MS Mincho"/>
          <w:lang w:val="en-US" w:eastAsia="ja-JP"/>
        </w:rPr>
        <w:t xml:space="preserve"> </w:t>
      </w:r>
      <w:r w:rsidR="00DB1E47">
        <w:rPr>
          <w:rFonts w:eastAsia="MS Mincho"/>
          <w:lang w:val="en-US" w:eastAsia="ja-JP"/>
        </w:rPr>
        <w:t>under discussion</w:t>
      </w:r>
      <w:r w:rsidR="007967DE">
        <w:rPr>
          <w:rFonts w:eastAsia="MS Mincho"/>
          <w:lang w:val="en-US" w:eastAsia="ja-JP"/>
        </w:rPr>
        <w:t>.</w:t>
      </w:r>
      <w:r w:rsidR="005A5229">
        <w:rPr>
          <w:rFonts w:eastAsia="MS Mincho"/>
          <w:lang w:val="en-US" w:eastAsia="ja-JP"/>
        </w:rPr>
        <w:t xml:space="preserve"> </w:t>
      </w:r>
      <w:r w:rsidR="00F72F5C">
        <w:rPr>
          <w:rFonts w:eastAsia="MS Mincho"/>
          <w:lang w:val="en-US" w:eastAsia="ja-JP"/>
        </w:rPr>
        <w:t>The results show that performance for 328 and 336 bits are very similar</w:t>
      </w:r>
      <w:r w:rsidR="003A56E7">
        <w:rPr>
          <w:rFonts w:eastAsia="MS Mincho"/>
          <w:lang w:val="en-US" w:eastAsia="ja-JP"/>
        </w:rPr>
        <w:t>, with slightly worse performance fo</w:t>
      </w:r>
      <w:r w:rsidR="009F2B43">
        <w:rPr>
          <w:rFonts w:eastAsia="MS Mincho"/>
          <w:lang w:val="en-US" w:eastAsia="ja-JP"/>
        </w:rPr>
        <w:t>r</w:t>
      </w:r>
      <w:r w:rsidR="003A56E7">
        <w:rPr>
          <w:rFonts w:eastAsia="MS Mincho"/>
          <w:lang w:val="en-US" w:eastAsia="ja-JP"/>
        </w:rPr>
        <w:t xml:space="preserve"> 336 bits as expected</w:t>
      </w:r>
      <w:r w:rsidR="00F72F5C">
        <w:rPr>
          <w:rFonts w:eastAsia="MS Mincho"/>
          <w:lang w:val="en-US" w:eastAsia="ja-JP"/>
        </w:rPr>
        <w:t>. Although this means that TBS of 328 bits is not very useful, there is no performance degradation and therefore the eNB can still use I_TBS=16 with I_SF=0.</w:t>
      </w:r>
      <w:r w:rsidR="00E94384">
        <w:rPr>
          <w:rFonts w:eastAsia="MS Mincho"/>
          <w:lang w:val="en-US" w:eastAsia="ja-JP"/>
        </w:rPr>
        <w:t xml:space="preserve"> Therefore, we propose to confirm the working assumption on </w:t>
      </w:r>
      <w:r w:rsidR="00E94384" w:rsidRPr="00E94384">
        <w:rPr>
          <w:rFonts w:eastAsia="MS Mincho"/>
          <w:lang w:val="en-US" w:eastAsia="ja-JP"/>
        </w:rPr>
        <w:t>downlink TBS table from RAN1#104-e</w:t>
      </w:r>
      <w:r w:rsidR="00E94384">
        <w:rPr>
          <w:rFonts w:eastAsia="MS Mincho"/>
          <w:lang w:val="en-US" w:eastAsia="ja-JP"/>
        </w:rPr>
        <w:t>.</w:t>
      </w:r>
    </w:p>
    <w:p w14:paraId="537425CC" w14:textId="2314C049" w:rsidR="00BC6AE0" w:rsidRDefault="00BC6AE0" w:rsidP="004867B8">
      <w:pPr>
        <w:jc w:val="both"/>
        <w:rPr>
          <w:rFonts w:eastAsia="MS Mincho"/>
          <w:lang w:val="en-US" w:eastAsia="ja-JP"/>
        </w:rPr>
      </w:pPr>
      <w:r>
        <w:rPr>
          <w:b/>
          <w:bCs/>
          <w:noProof/>
          <w:lang w:val="en-US" w:eastAsia="en-GB"/>
        </w:rPr>
        <w:t xml:space="preserve">Proposal 1: Confirm </w:t>
      </w:r>
      <w:r w:rsidR="00155B11">
        <w:rPr>
          <w:b/>
          <w:bCs/>
          <w:noProof/>
          <w:lang w:val="en-US" w:eastAsia="en-GB"/>
        </w:rPr>
        <w:t>the</w:t>
      </w:r>
      <w:r>
        <w:rPr>
          <w:b/>
          <w:bCs/>
          <w:noProof/>
          <w:lang w:val="en-US" w:eastAsia="en-GB"/>
        </w:rPr>
        <w:t xml:space="preserve"> working assumption on downlink TBS table</w:t>
      </w:r>
      <w:r w:rsidR="00156A6A">
        <w:rPr>
          <w:b/>
          <w:bCs/>
          <w:noProof/>
          <w:lang w:val="en-US" w:eastAsia="en-GB"/>
        </w:rPr>
        <w:t xml:space="preserve"> </w:t>
      </w:r>
      <w:r>
        <w:rPr>
          <w:b/>
          <w:bCs/>
          <w:noProof/>
          <w:lang w:val="en-US" w:eastAsia="en-GB"/>
        </w:rPr>
        <w:t>from RAN1#104-e.</w:t>
      </w:r>
    </w:p>
    <w:p w14:paraId="7EA235A6" w14:textId="2B2C12BA" w:rsidR="00964B4E" w:rsidRDefault="00BC6AE0" w:rsidP="004867B8">
      <w:pPr>
        <w:jc w:val="both"/>
        <w:rPr>
          <w:rFonts w:eastAsia="MS Mincho"/>
          <w:b/>
          <w:lang w:val="en-US" w:eastAsia="ja-JP"/>
        </w:rPr>
      </w:pPr>
      <w:r>
        <w:rPr>
          <w:rFonts w:eastAsia="MS Mincho"/>
          <w:lang w:val="en-US" w:eastAsia="ja-JP"/>
        </w:rPr>
        <w:t xml:space="preserve">In addition, the working assumption on TBS entries to be used for 16-QAM have not been finalized for stand-alone and guard-band deployments. </w:t>
      </w:r>
      <w:r w:rsidR="004867B8">
        <w:rPr>
          <w:rFonts w:eastAsia="MS Mincho"/>
          <w:lang w:val="en-US" w:eastAsia="ja-JP"/>
        </w:rPr>
        <w:t xml:space="preserve">In </w:t>
      </w:r>
      <w:r w:rsidR="005D40A3">
        <w:rPr>
          <w:rFonts w:eastAsia="MS Mincho"/>
          <w:lang w:val="en-US" w:eastAsia="ja-JP"/>
        </w:rPr>
        <w:fldChar w:fldCharType="begin"/>
      </w:r>
      <w:r w:rsidR="005D40A3">
        <w:rPr>
          <w:rFonts w:eastAsia="MS Mincho"/>
          <w:lang w:val="en-US" w:eastAsia="ja-JP"/>
        </w:rPr>
        <w:instrText xml:space="preserve"> REF _Ref68527728 \n \h </w:instrText>
      </w:r>
      <w:r w:rsidR="005D40A3">
        <w:rPr>
          <w:rFonts w:eastAsia="MS Mincho"/>
          <w:lang w:val="en-US" w:eastAsia="ja-JP"/>
        </w:rPr>
      </w:r>
      <w:r w:rsidR="005D40A3">
        <w:rPr>
          <w:rFonts w:eastAsia="MS Mincho"/>
          <w:lang w:val="en-US" w:eastAsia="ja-JP"/>
        </w:rPr>
        <w:fldChar w:fldCharType="separate"/>
      </w:r>
      <w:r w:rsidR="00DB43B9">
        <w:rPr>
          <w:rFonts w:eastAsia="MS Mincho"/>
          <w:lang w:val="en-US" w:eastAsia="ja-JP"/>
        </w:rPr>
        <w:t>[2]</w:t>
      </w:r>
      <w:r w:rsidR="005D40A3">
        <w:rPr>
          <w:rFonts w:eastAsia="MS Mincho"/>
          <w:lang w:val="en-US" w:eastAsia="ja-JP"/>
        </w:rPr>
        <w:fldChar w:fldCharType="end"/>
      </w:r>
      <w:r w:rsidR="004867B8">
        <w:rPr>
          <w:rFonts w:eastAsia="MS Mincho"/>
          <w:lang w:val="en-US" w:eastAsia="ja-JP"/>
        </w:rPr>
        <w:t>, simulation results for 16-QAM in the downlink were presented</w:t>
      </w:r>
      <w:r w:rsidR="004867B8" w:rsidRPr="004867B8">
        <w:rPr>
          <w:rFonts w:eastAsia="MS Mincho"/>
          <w:lang w:val="en-US" w:eastAsia="ja-JP"/>
        </w:rPr>
        <w:t xml:space="preserve">. </w:t>
      </w:r>
      <w:r w:rsidR="004867B8">
        <w:rPr>
          <w:rFonts w:eastAsia="MS Mincho"/>
          <w:lang w:val="en-US" w:eastAsia="ja-JP"/>
        </w:rPr>
        <w:t>It was observed</w:t>
      </w:r>
      <w:r w:rsidR="004867B8" w:rsidRPr="004867B8">
        <w:rPr>
          <w:rFonts w:eastAsia="MS Mincho"/>
          <w:lang w:val="en-US" w:eastAsia="ja-JP"/>
        </w:rPr>
        <w:t xml:space="preserve"> that, for the same I_TBS and I_SF, QPSK performs better than 16-QAM by about 0.5-0.8 dB at the 10% BLER operating point. Therefore, it is better to use QPSK as long as the coding rate can support it. For stand-alone and guard-band deployments, the coding rate for I_TBS = 13 is 0.84. If we use QPSK with I_TBS = 14, the coding rate would be 0.95 </w:t>
      </w:r>
      <w:r w:rsidR="00E754AD">
        <w:rPr>
          <w:rFonts w:eastAsia="MS Mincho"/>
          <w:lang w:val="en-US" w:eastAsia="ja-JP"/>
        </w:rPr>
        <w:t>for</w:t>
      </w:r>
      <w:r w:rsidR="001D17E4">
        <w:rPr>
          <w:rFonts w:eastAsia="MS Mincho"/>
          <w:lang w:val="en-US" w:eastAsia="ja-JP"/>
        </w:rPr>
        <w:t xml:space="preserve"> 2Tx at the eNB </w:t>
      </w:r>
      <w:r w:rsidR="004867B8" w:rsidRPr="004867B8">
        <w:rPr>
          <w:rFonts w:eastAsia="MS Mincho"/>
          <w:lang w:val="en-US" w:eastAsia="ja-JP"/>
        </w:rPr>
        <w:t>which would be too high</w:t>
      </w:r>
      <w:r w:rsidR="008855B5">
        <w:rPr>
          <w:rFonts w:eastAsia="MS Mincho"/>
          <w:lang w:val="en-US" w:eastAsia="ja-JP"/>
        </w:rPr>
        <w:t xml:space="preserve"> (i.e. UE may skip decoding if the coding rate is higher than 0.93)</w:t>
      </w:r>
      <w:r w:rsidR="004867B8" w:rsidRPr="004867B8">
        <w:rPr>
          <w:rFonts w:eastAsia="MS Mincho"/>
          <w:lang w:val="en-US" w:eastAsia="ja-JP"/>
        </w:rPr>
        <w:t xml:space="preserve">. </w:t>
      </w:r>
      <w:r w:rsidR="00316B51">
        <w:rPr>
          <w:rFonts w:eastAsia="MS Mincho"/>
          <w:lang w:val="en-US" w:eastAsia="ja-JP"/>
        </w:rPr>
        <w:t>Note that although the coding rate would be acceptable for 1Tx at the eNB, it’s not desirable to have different breaking points based on deployment option</w:t>
      </w:r>
      <w:r w:rsidR="00392345">
        <w:rPr>
          <w:rFonts w:eastAsia="MS Mincho"/>
          <w:lang w:val="en-US" w:eastAsia="ja-JP"/>
        </w:rPr>
        <w:t>s</w:t>
      </w:r>
      <w:r w:rsidR="00316B51">
        <w:rPr>
          <w:rFonts w:eastAsia="MS Mincho"/>
          <w:lang w:val="en-US" w:eastAsia="ja-JP"/>
        </w:rPr>
        <w:t xml:space="preserve">. </w:t>
      </w:r>
      <w:r w:rsidR="004867B8" w:rsidRPr="004867B8">
        <w:rPr>
          <w:rFonts w:eastAsia="MS Mincho"/>
          <w:lang w:val="en-US" w:eastAsia="ja-JP"/>
        </w:rPr>
        <w:t>Therefore, I_TBS = 14 is a natural break-point for 16-QAM</w:t>
      </w:r>
      <w:r w:rsidR="001E2752">
        <w:rPr>
          <w:rFonts w:eastAsia="MS Mincho"/>
          <w:lang w:val="en-US" w:eastAsia="ja-JP"/>
        </w:rPr>
        <w:t xml:space="preserve"> and we </w:t>
      </w:r>
      <w:r w:rsidR="00545AB6">
        <w:rPr>
          <w:rFonts w:eastAsia="MS Mincho"/>
          <w:lang w:val="en-US" w:eastAsia="ja-JP"/>
        </w:rPr>
        <w:t>propose to confirm the working assumptions from RAN1#103-e.</w:t>
      </w:r>
    </w:p>
    <w:p w14:paraId="2FF11AEA" w14:textId="6404F5C5" w:rsidR="00545AB6" w:rsidRDefault="00663E3C" w:rsidP="00303D53">
      <w:pPr>
        <w:jc w:val="both"/>
        <w:rPr>
          <w:b/>
          <w:bCs/>
          <w:noProof/>
          <w:lang w:val="en-US" w:eastAsia="en-GB"/>
        </w:rPr>
      </w:pPr>
      <w:r>
        <w:rPr>
          <w:b/>
          <w:bCs/>
          <w:noProof/>
          <w:lang w:val="en-US" w:eastAsia="en-GB"/>
        </w:rPr>
        <w:t xml:space="preserve">Proposal </w:t>
      </w:r>
      <w:r w:rsidR="00BC6AE0">
        <w:rPr>
          <w:b/>
          <w:bCs/>
          <w:noProof/>
          <w:lang w:val="en-US" w:eastAsia="en-GB"/>
        </w:rPr>
        <w:t>2</w:t>
      </w:r>
      <w:r>
        <w:rPr>
          <w:b/>
          <w:bCs/>
          <w:noProof/>
          <w:lang w:val="en-US" w:eastAsia="en-GB"/>
        </w:rPr>
        <w:t xml:space="preserve">: </w:t>
      </w:r>
      <w:r w:rsidR="00545AB6">
        <w:rPr>
          <w:b/>
          <w:bCs/>
          <w:noProof/>
          <w:lang w:val="en-US" w:eastAsia="en-GB"/>
        </w:rPr>
        <w:t xml:space="preserve">Confirm the following working assumptions </w:t>
      </w:r>
      <w:r w:rsidR="00545AB6" w:rsidRPr="00545AB6">
        <w:rPr>
          <w:b/>
          <w:bCs/>
          <w:noProof/>
          <w:lang w:val="en-US" w:eastAsia="en-GB"/>
        </w:rPr>
        <w:t>from RAN1#103-e</w:t>
      </w:r>
      <w:r w:rsidR="00545AB6">
        <w:rPr>
          <w:b/>
          <w:bCs/>
          <w:noProof/>
          <w:lang w:val="en-US" w:eastAsia="en-GB"/>
        </w:rPr>
        <w:t xml:space="preserve"> –</w:t>
      </w:r>
    </w:p>
    <w:p w14:paraId="57C34D21" w14:textId="560B1D00" w:rsidR="00545AB6" w:rsidRPr="00E61FC4" w:rsidRDefault="00545AB6" w:rsidP="004B3355">
      <w:pPr>
        <w:numPr>
          <w:ilvl w:val="0"/>
          <w:numId w:val="19"/>
        </w:numPr>
        <w:overflowPunct/>
        <w:autoSpaceDE/>
        <w:autoSpaceDN/>
        <w:adjustRightInd/>
        <w:spacing w:after="0"/>
        <w:ind w:left="567" w:hanging="207"/>
        <w:contextualSpacing/>
        <w:textAlignment w:val="auto"/>
        <w:rPr>
          <w:b/>
          <w:bCs/>
          <w:lang w:eastAsia="ja-JP"/>
        </w:rPr>
      </w:pPr>
      <w:r w:rsidRPr="00E61FC4">
        <w:rPr>
          <w:b/>
          <w:bCs/>
          <w:lang w:eastAsia="ja-JP"/>
        </w:rPr>
        <w:t>For standalone and guardband deployments, the downlink TBS entries between 14 (TBS of 2856 for I_SF=7) and 21 are used for 16</w:t>
      </w:r>
      <w:r w:rsidR="005D40A3">
        <w:rPr>
          <w:b/>
          <w:bCs/>
          <w:lang w:eastAsia="ja-JP"/>
        </w:rPr>
        <w:t>-</w:t>
      </w:r>
      <w:r w:rsidRPr="00E61FC4">
        <w:rPr>
          <w:b/>
          <w:bCs/>
          <w:lang w:eastAsia="ja-JP"/>
        </w:rPr>
        <w:t>QAM.</w:t>
      </w:r>
    </w:p>
    <w:p w14:paraId="1EF5F633" w14:textId="77777777" w:rsidR="00545AB6" w:rsidRPr="00E61FC4" w:rsidRDefault="00545AB6" w:rsidP="00545AB6">
      <w:pPr>
        <w:overflowPunct/>
        <w:autoSpaceDE/>
        <w:autoSpaceDN/>
        <w:adjustRightInd/>
        <w:spacing w:after="0"/>
        <w:contextualSpacing/>
        <w:textAlignment w:val="auto"/>
        <w:rPr>
          <w:lang w:eastAsia="ja-JP"/>
        </w:rPr>
      </w:pPr>
    </w:p>
    <w:p w14:paraId="613F5B10" w14:textId="77777777" w:rsidR="00C45189" w:rsidRPr="00907F26" w:rsidRDefault="00C45189" w:rsidP="00C45189">
      <w:pPr>
        <w:jc w:val="both"/>
        <w:rPr>
          <w:u w:val="single"/>
          <w:lang w:val="en-US"/>
        </w:rPr>
      </w:pPr>
      <w:r w:rsidRPr="00336905">
        <w:rPr>
          <w:u w:val="single"/>
          <w:lang w:val="en-US"/>
        </w:rPr>
        <w:t>Channel Quality Report</w:t>
      </w:r>
    </w:p>
    <w:p w14:paraId="67791113" w14:textId="77B4C6FE" w:rsidR="008E024E" w:rsidRDefault="001462BE" w:rsidP="008E024E">
      <w:pPr>
        <w:jc w:val="both"/>
        <w:rPr>
          <w:lang w:val="en-US"/>
        </w:rPr>
      </w:pPr>
      <w:bookmarkStart w:id="15" w:name="_Hlk66101531"/>
      <w:r>
        <w:rPr>
          <w:lang w:val="en-US"/>
        </w:rPr>
        <w:t xml:space="preserve">For the scheduler to efficiently utilize 16-QAM modulation, channel quality information must be available at the eNB. </w:t>
      </w:r>
      <w:r w:rsidR="00BA6B6F">
        <w:rPr>
          <w:lang w:val="en-US"/>
        </w:rPr>
        <w:t>The channel quality information can be used to both (1) determine whether to use 16-QAM and (2) select appropriate MCS level for the UE.</w:t>
      </w:r>
      <w:r w:rsidR="002D1C09">
        <w:rPr>
          <w:lang w:val="en-US"/>
        </w:rPr>
        <w:t xml:space="preserve"> In the WID, it is stated that the work should e</w:t>
      </w:r>
      <w:r w:rsidR="002D1C09" w:rsidRPr="002D1C09">
        <w:rPr>
          <w:lang w:val="en-US"/>
        </w:rPr>
        <w:t>xtend the NB-IoT channel quality reporting based on the framework of Rel-14</w:t>
      </w:r>
      <w:r w:rsidR="002D1C09">
        <w:rPr>
          <w:lang w:val="en-US"/>
        </w:rPr>
        <w:t xml:space="preserve"> - </w:t>
      </w:r>
      <w:r w:rsidR="002D1C09" w:rsidRPr="002D1C09">
        <w:rPr>
          <w:lang w:val="en-US"/>
        </w:rPr>
        <w:t>16 to support 16-QAM in DL.</w:t>
      </w:r>
      <w:bookmarkEnd w:id="15"/>
      <w:r w:rsidR="002D1C09" w:rsidRPr="002D1C09">
        <w:rPr>
          <w:lang w:val="en-US"/>
        </w:rPr>
        <w:t xml:space="preserve"> </w:t>
      </w:r>
      <w:r w:rsidR="008E024E">
        <w:rPr>
          <w:noProof/>
          <w:lang w:val="en-US" w:eastAsia="en-GB"/>
        </w:rPr>
        <w:t xml:space="preserve">Currently, downlink channel quality report for NB-IoT uses </w:t>
      </w:r>
      <w:r w:rsidR="006647D1">
        <w:rPr>
          <w:noProof/>
          <w:lang w:val="en-US" w:eastAsia="en-GB"/>
        </w:rPr>
        <w:fldChar w:fldCharType="begin"/>
      </w:r>
      <w:r w:rsidR="006647D1">
        <w:rPr>
          <w:noProof/>
          <w:lang w:val="en-US" w:eastAsia="en-GB"/>
        </w:rPr>
        <w:instrText xml:space="preserve"> REF _Ref60499303 \h </w:instrText>
      </w:r>
      <w:r w:rsidR="006647D1">
        <w:rPr>
          <w:noProof/>
          <w:lang w:val="en-US" w:eastAsia="en-GB"/>
        </w:rPr>
      </w:r>
      <w:r w:rsidR="006647D1">
        <w:rPr>
          <w:noProof/>
          <w:lang w:val="en-US" w:eastAsia="en-GB"/>
        </w:rPr>
        <w:fldChar w:fldCharType="separate"/>
      </w:r>
      <w:r w:rsidR="00DB43B9">
        <w:t xml:space="preserve">Table </w:t>
      </w:r>
      <w:r w:rsidR="00DB43B9">
        <w:rPr>
          <w:noProof/>
        </w:rPr>
        <w:t>1</w:t>
      </w:r>
      <w:r w:rsidR="006647D1">
        <w:rPr>
          <w:noProof/>
          <w:lang w:val="en-US" w:eastAsia="en-GB"/>
        </w:rPr>
        <w:fldChar w:fldCharType="end"/>
      </w:r>
      <w:r w:rsidR="008E024E">
        <w:rPr>
          <w:noProof/>
          <w:lang w:val="en-US" w:eastAsia="en-GB"/>
        </w:rPr>
        <w:t xml:space="preserve"> where 13 values are defined.</w:t>
      </w:r>
    </w:p>
    <w:p w14:paraId="2A90F4CC" w14:textId="22F4B90E" w:rsidR="008E024E" w:rsidRDefault="008E024E" w:rsidP="008E024E">
      <w:pPr>
        <w:pStyle w:val="Caption"/>
        <w:keepNext/>
        <w:jc w:val="center"/>
        <w:rPr>
          <w:lang w:val="en-US"/>
        </w:rPr>
      </w:pPr>
      <w:bookmarkStart w:id="16" w:name="_Ref60499303"/>
      <w:bookmarkStart w:id="17" w:name="_Hlk66101188"/>
      <w:r>
        <w:t xml:space="preserve">Table </w:t>
      </w:r>
      <w:r w:rsidR="001A7234">
        <w:fldChar w:fldCharType="begin"/>
      </w:r>
      <w:r w:rsidR="001A7234">
        <w:instrText xml:space="preserve"> SEQ Table \* ARABIC </w:instrText>
      </w:r>
      <w:r w:rsidR="001A7234">
        <w:fldChar w:fldCharType="separate"/>
      </w:r>
      <w:r w:rsidR="00DB43B9">
        <w:rPr>
          <w:noProof/>
        </w:rPr>
        <w:t>1</w:t>
      </w:r>
      <w:r w:rsidR="001A7234">
        <w:rPr>
          <w:noProof/>
        </w:rPr>
        <w:fldChar w:fldCharType="end"/>
      </w:r>
      <w:bookmarkEnd w:id="16"/>
      <w:r>
        <w:rPr>
          <w:lang w:val="en-US"/>
        </w:rPr>
        <w:t>. Downlink channel quality report for NB-IoT.</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E024E" w:rsidRPr="00691C10" w14:paraId="4A2C134A" w14:textId="77777777" w:rsidTr="00106488">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C095C" w14:textId="77777777" w:rsidR="008E024E" w:rsidRPr="00691C10" w:rsidRDefault="008E024E" w:rsidP="007B19E1">
            <w:pPr>
              <w:pStyle w:val="TAH"/>
            </w:pPr>
            <w:r w:rsidRPr="00691C10">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FBA54" w14:textId="77777777" w:rsidR="008E024E" w:rsidRPr="00691C10" w:rsidRDefault="008E024E" w:rsidP="007B19E1">
            <w:pPr>
              <w:pStyle w:val="TAH"/>
            </w:pPr>
            <w:r w:rsidRPr="00691C10">
              <w:t>NPDCCH repetition level</w:t>
            </w:r>
          </w:p>
        </w:tc>
      </w:tr>
      <w:tr w:rsidR="008E024E" w:rsidRPr="00691C10" w14:paraId="49402D34"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ECD181" w14:textId="77777777" w:rsidR="008E024E" w:rsidRPr="00691C10" w:rsidRDefault="008E024E" w:rsidP="007B19E1">
            <w:pPr>
              <w:pStyle w:val="TAC"/>
            </w:pPr>
            <w:r w:rsidRPr="00691C10">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732E109C" w14:textId="77777777" w:rsidR="008E024E" w:rsidRPr="00691C10" w:rsidRDefault="008E024E" w:rsidP="007B19E1">
            <w:pPr>
              <w:pStyle w:val="TAC"/>
            </w:pPr>
            <w:r w:rsidRPr="00691C10">
              <w:t>No measurement reporting</w:t>
            </w:r>
          </w:p>
        </w:tc>
      </w:tr>
      <w:tr w:rsidR="008E024E" w:rsidRPr="00691C10" w14:paraId="6E2EA9D2"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12F989" w14:textId="77777777" w:rsidR="008E024E" w:rsidRPr="00691C10" w:rsidRDefault="008E024E" w:rsidP="007B19E1">
            <w:pPr>
              <w:pStyle w:val="TAC"/>
              <w:rPr>
                <w:lang w:eastAsia="ja-JP"/>
              </w:rPr>
            </w:pPr>
            <w:r w:rsidRPr="00691C10">
              <w:rPr>
                <w:lang w:eastAsia="ja-JP"/>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FBC7D8" w14:textId="77777777" w:rsidR="008E024E" w:rsidRPr="00691C10" w:rsidRDefault="008E024E" w:rsidP="007B19E1">
            <w:pPr>
              <w:pStyle w:val="TAC"/>
              <w:rPr>
                <w:lang w:eastAsia="ja-JP"/>
              </w:rPr>
            </w:pPr>
            <w:r w:rsidRPr="00691C10">
              <w:rPr>
                <w:lang w:eastAsia="ja-JP"/>
              </w:rPr>
              <w:t>1</w:t>
            </w:r>
          </w:p>
        </w:tc>
      </w:tr>
      <w:tr w:rsidR="008E024E" w:rsidRPr="00691C10" w14:paraId="4F4AD620"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35BCFA" w14:textId="77777777" w:rsidR="008E024E" w:rsidRPr="00691C10" w:rsidRDefault="008E024E" w:rsidP="007B19E1">
            <w:pPr>
              <w:pStyle w:val="TAC"/>
              <w:rPr>
                <w:lang w:eastAsia="ja-JP"/>
              </w:rPr>
            </w:pPr>
            <w:r w:rsidRPr="00691C10">
              <w:rPr>
                <w:lang w:eastAsia="ja-JP"/>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1B9F74A6" w14:textId="77777777" w:rsidR="008E024E" w:rsidRPr="00691C10" w:rsidRDefault="008E024E" w:rsidP="007B19E1">
            <w:pPr>
              <w:pStyle w:val="TAC"/>
              <w:rPr>
                <w:lang w:eastAsia="ja-JP"/>
              </w:rPr>
            </w:pPr>
            <w:r w:rsidRPr="00691C10">
              <w:rPr>
                <w:lang w:eastAsia="ja-JP"/>
              </w:rPr>
              <w:t>2</w:t>
            </w:r>
          </w:p>
        </w:tc>
      </w:tr>
      <w:tr w:rsidR="008E024E" w:rsidRPr="00691C10" w14:paraId="53C9F4A0"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0570F4" w14:textId="77777777" w:rsidR="008E024E" w:rsidRPr="00691C10" w:rsidRDefault="008E024E" w:rsidP="007B19E1">
            <w:pPr>
              <w:pStyle w:val="TAC"/>
              <w:rPr>
                <w:lang w:eastAsia="ja-JP"/>
              </w:rPr>
            </w:pPr>
            <w:r w:rsidRPr="00691C10">
              <w:rPr>
                <w:lang w:eastAsia="ja-JP"/>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3CCB06A0" w14:textId="77777777" w:rsidR="008E024E" w:rsidRPr="00691C10" w:rsidRDefault="008E024E" w:rsidP="007B19E1">
            <w:pPr>
              <w:pStyle w:val="TAC"/>
              <w:rPr>
                <w:lang w:eastAsia="ja-JP"/>
              </w:rPr>
            </w:pPr>
            <w:r w:rsidRPr="00691C10">
              <w:rPr>
                <w:lang w:eastAsia="ja-JP"/>
              </w:rPr>
              <w:t>4</w:t>
            </w:r>
          </w:p>
        </w:tc>
      </w:tr>
      <w:tr w:rsidR="008E024E" w:rsidRPr="00691C10" w14:paraId="322D7955"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BA896D" w14:textId="77777777" w:rsidR="008E024E" w:rsidRPr="00691C10" w:rsidRDefault="008E024E" w:rsidP="007B19E1">
            <w:pPr>
              <w:pStyle w:val="TAC"/>
              <w:rPr>
                <w:lang w:eastAsia="ja-JP"/>
              </w:rPr>
            </w:pPr>
            <w:r w:rsidRPr="00691C10">
              <w:rPr>
                <w:lang w:eastAsia="ja-JP"/>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6036D245" w14:textId="77777777" w:rsidR="008E024E" w:rsidRPr="00691C10" w:rsidRDefault="008E024E" w:rsidP="007B19E1">
            <w:pPr>
              <w:pStyle w:val="TAC"/>
              <w:rPr>
                <w:lang w:eastAsia="ja-JP"/>
              </w:rPr>
            </w:pPr>
            <w:r w:rsidRPr="00691C10">
              <w:rPr>
                <w:lang w:eastAsia="ja-JP"/>
              </w:rPr>
              <w:t>8</w:t>
            </w:r>
          </w:p>
        </w:tc>
      </w:tr>
      <w:tr w:rsidR="008E024E" w:rsidRPr="00691C10" w14:paraId="410B4DE0"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948AAC" w14:textId="77777777" w:rsidR="008E024E" w:rsidRPr="00691C10" w:rsidRDefault="008E024E" w:rsidP="007B19E1">
            <w:pPr>
              <w:pStyle w:val="TAC"/>
              <w:rPr>
                <w:lang w:eastAsia="ja-JP"/>
              </w:rPr>
            </w:pPr>
            <w:r w:rsidRPr="00691C10">
              <w:rPr>
                <w:lang w:eastAsia="ja-JP"/>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7E98A553" w14:textId="77777777" w:rsidR="008E024E" w:rsidRPr="00691C10" w:rsidRDefault="008E024E" w:rsidP="007B19E1">
            <w:pPr>
              <w:pStyle w:val="TAC"/>
              <w:rPr>
                <w:lang w:eastAsia="ja-JP"/>
              </w:rPr>
            </w:pPr>
            <w:r w:rsidRPr="00691C10">
              <w:rPr>
                <w:lang w:eastAsia="ja-JP"/>
              </w:rPr>
              <w:t>16</w:t>
            </w:r>
          </w:p>
        </w:tc>
      </w:tr>
      <w:tr w:rsidR="008E024E" w:rsidRPr="00691C10" w14:paraId="163B2F8D"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B7536E" w14:textId="77777777" w:rsidR="008E024E" w:rsidRPr="00691C10" w:rsidRDefault="008E024E" w:rsidP="007B19E1">
            <w:pPr>
              <w:pStyle w:val="TAC"/>
              <w:rPr>
                <w:lang w:eastAsia="ja-JP"/>
              </w:rPr>
            </w:pPr>
            <w:r w:rsidRPr="00691C10">
              <w:rPr>
                <w:lang w:eastAsia="ja-JP"/>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3908809F" w14:textId="77777777" w:rsidR="008E024E" w:rsidRPr="00691C10" w:rsidRDefault="008E024E" w:rsidP="007B19E1">
            <w:pPr>
              <w:pStyle w:val="TAC"/>
              <w:rPr>
                <w:lang w:eastAsia="ja-JP"/>
              </w:rPr>
            </w:pPr>
            <w:r w:rsidRPr="00691C10">
              <w:rPr>
                <w:lang w:eastAsia="ja-JP"/>
              </w:rPr>
              <w:t>32</w:t>
            </w:r>
          </w:p>
        </w:tc>
      </w:tr>
      <w:tr w:rsidR="008E024E" w:rsidRPr="00691C10" w14:paraId="24A394F5"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9BFB40" w14:textId="77777777" w:rsidR="008E024E" w:rsidRPr="00691C10" w:rsidRDefault="008E024E" w:rsidP="007B19E1">
            <w:pPr>
              <w:pStyle w:val="TAC"/>
              <w:rPr>
                <w:lang w:eastAsia="ja-JP"/>
              </w:rPr>
            </w:pPr>
            <w:r w:rsidRPr="00691C10">
              <w:rPr>
                <w:lang w:eastAsia="ja-JP"/>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3602CDF2" w14:textId="77777777" w:rsidR="008E024E" w:rsidRPr="00691C10" w:rsidRDefault="008E024E" w:rsidP="007B19E1">
            <w:pPr>
              <w:pStyle w:val="TAC"/>
              <w:rPr>
                <w:lang w:eastAsia="ja-JP"/>
              </w:rPr>
            </w:pPr>
            <w:r w:rsidRPr="00691C10">
              <w:rPr>
                <w:lang w:eastAsia="ja-JP"/>
              </w:rPr>
              <w:t>64</w:t>
            </w:r>
          </w:p>
        </w:tc>
      </w:tr>
      <w:tr w:rsidR="008E024E" w:rsidRPr="00691C10" w14:paraId="59117081"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2963EE4" w14:textId="77777777" w:rsidR="008E024E" w:rsidRPr="00691C10" w:rsidRDefault="008E024E" w:rsidP="007B19E1">
            <w:pPr>
              <w:pStyle w:val="TAC"/>
              <w:rPr>
                <w:lang w:eastAsia="ja-JP"/>
              </w:rPr>
            </w:pPr>
            <w:r w:rsidRPr="00691C10">
              <w:rPr>
                <w:lang w:eastAsia="ja-JP"/>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48F77A08" w14:textId="77777777" w:rsidR="008E024E" w:rsidRPr="00691C10" w:rsidRDefault="008E024E" w:rsidP="007B19E1">
            <w:pPr>
              <w:pStyle w:val="TAC"/>
              <w:rPr>
                <w:lang w:eastAsia="ja-JP"/>
              </w:rPr>
            </w:pPr>
            <w:r w:rsidRPr="00691C10">
              <w:rPr>
                <w:lang w:eastAsia="ja-JP"/>
              </w:rPr>
              <w:t>128</w:t>
            </w:r>
          </w:p>
        </w:tc>
      </w:tr>
      <w:tr w:rsidR="008E024E" w:rsidRPr="00691C10" w14:paraId="3E9C8D63"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D15D869" w14:textId="77777777" w:rsidR="008E024E" w:rsidRPr="00691C10" w:rsidRDefault="008E024E" w:rsidP="007B19E1">
            <w:pPr>
              <w:pStyle w:val="TAC"/>
              <w:rPr>
                <w:lang w:eastAsia="ja-JP"/>
              </w:rPr>
            </w:pPr>
            <w:r w:rsidRPr="00691C10">
              <w:rPr>
                <w:lang w:eastAsia="ja-JP"/>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1A1BFBEE" w14:textId="77777777" w:rsidR="008E024E" w:rsidRPr="00691C10" w:rsidRDefault="008E024E" w:rsidP="007B19E1">
            <w:pPr>
              <w:pStyle w:val="TAC"/>
              <w:rPr>
                <w:lang w:eastAsia="ja-JP"/>
              </w:rPr>
            </w:pPr>
            <w:r w:rsidRPr="00691C10">
              <w:rPr>
                <w:lang w:eastAsia="ja-JP"/>
              </w:rPr>
              <w:t>256</w:t>
            </w:r>
          </w:p>
        </w:tc>
      </w:tr>
      <w:tr w:rsidR="008E024E" w:rsidRPr="00691C10" w14:paraId="5AF15D81"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E8E416" w14:textId="77777777" w:rsidR="008E024E" w:rsidRPr="00691C10" w:rsidRDefault="008E024E" w:rsidP="007B19E1">
            <w:pPr>
              <w:pStyle w:val="TAC"/>
              <w:rPr>
                <w:lang w:eastAsia="ja-JP"/>
              </w:rPr>
            </w:pPr>
            <w:r w:rsidRPr="00691C10">
              <w:rPr>
                <w:lang w:eastAsia="ja-JP"/>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7F82E0A7" w14:textId="77777777" w:rsidR="008E024E" w:rsidRPr="00691C10" w:rsidRDefault="008E024E" w:rsidP="007B19E1">
            <w:pPr>
              <w:pStyle w:val="TAC"/>
              <w:rPr>
                <w:lang w:eastAsia="ja-JP"/>
              </w:rPr>
            </w:pPr>
            <w:r w:rsidRPr="00691C10">
              <w:rPr>
                <w:lang w:eastAsia="ja-JP"/>
              </w:rPr>
              <w:t>512</w:t>
            </w:r>
          </w:p>
        </w:tc>
      </w:tr>
      <w:tr w:rsidR="008E024E" w:rsidRPr="00691C10" w14:paraId="3359208B"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9CFAFF" w14:textId="77777777" w:rsidR="008E024E" w:rsidRPr="00691C10" w:rsidRDefault="008E024E" w:rsidP="007B19E1">
            <w:pPr>
              <w:pStyle w:val="TAC"/>
              <w:rPr>
                <w:lang w:eastAsia="ja-JP"/>
              </w:rPr>
            </w:pPr>
            <w:r w:rsidRPr="00691C10">
              <w:rPr>
                <w:lang w:eastAsia="ja-JP"/>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3956005F" w14:textId="77777777" w:rsidR="008E024E" w:rsidRPr="00691C10" w:rsidRDefault="008E024E" w:rsidP="007B19E1">
            <w:pPr>
              <w:pStyle w:val="TAC"/>
              <w:rPr>
                <w:lang w:eastAsia="ja-JP"/>
              </w:rPr>
            </w:pPr>
            <w:r w:rsidRPr="00691C10">
              <w:rPr>
                <w:lang w:eastAsia="ja-JP"/>
              </w:rPr>
              <w:t>1024</w:t>
            </w:r>
          </w:p>
        </w:tc>
      </w:tr>
      <w:tr w:rsidR="008E024E" w:rsidRPr="00691C10" w14:paraId="55199702" w14:textId="77777777" w:rsidTr="007B19E1">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423AC7" w14:textId="77777777" w:rsidR="008E024E" w:rsidRPr="00691C10" w:rsidRDefault="008E024E" w:rsidP="007B19E1">
            <w:pPr>
              <w:pStyle w:val="TAC"/>
              <w:rPr>
                <w:lang w:eastAsia="ja-JP"/>
              </w:rPr>
            </w:pPr>
            <w:r w:rsidRPr="00691C10">
              <w:rPr>
                <w:lang w:eastAsia="ja-JP"/>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70D5CCAA" w14:textId="77777777" w:rsidR="008E024E" w:rsidRPr="00691C10" w:rsidRDefault="008E024E" w:rsidP="007B19E1">
            <w:pPr>
              <w:pStyle w:val="TAC"/>
              <w:rPr>
                <w:lang w:eastAsia="ja-JP"/>
              </w:rPr>
            </w:pPr>
            <w:r w:rsidRPr="00691C10">
              <w:rPr>
                <w:lang w:eastAsia="ja-JP"/>
              </w:rPr>
              <w:t>2048</w:t>
            </w:r>
          </w:p>
        </w:tc>
      </w:tr>
    </w:tbl>
    <w:p w14:paraId="3A391FDB" w14:textId="59BAF772" w:rsidR="005B100E" w:rsidRDefault="0069018C" w:rsidP="005D40A3">
      <w:pPr>
        <w:spacing w:before="120"/>
        <w:jc w:val="both"/>
        <w:rPr>
          <w:lang w:val="en-US"/>
        </w:rPr>
      </w:pPr>
      <w:bookmarkStart w:id="18" w:name="_Hlk66101562"/>
      <w:bookmarkEnd w:id="17"/>
      <w:r>
        <w:rPr>
          <w:lang w:val="en-US"/>
        </w:rPr>
        <w:t>In legacy NB-IoT, channel quality report can be provided in Msg3. However, the reporting is based on the number of repetitions required to achieve 1% BLER for the NPDCCH. For 16-QAM, this metric is not suitable as any UE that is suitable for 16-QAM will not require NPDCCH repetition. Furthermore, there would not be a way for the eNB to select the appropriate MCS level based on the existing definition.</w:t>
      </w:r>
      <w:r w:rsidR="00551A73">
        <w:rPr>
          <w:lang w:val="en-US"/>
        </w:rPr>
        <w:t xml:space="preserve"> </w:t>
      </w:r>
      <w:r w:rsidR="005B100E">
        <w:rPr>
          <w:lang w:val="en-US"/>
        </w:rPr>
        <w:t>In LTE,</w:t>
      </w:r>
      <w:r w:rsidR="008E41BA">
        <w:rPr>
          <w:lang w:val="en-US"/>
        </w:rPr>
        <w:t xml:space="preserve"> UE report</w:t>
      </w:r>
      <w:r w:rsidR="0019749E">
        <w:rPr>
          <w:lang w:val="en-US"/>
        </w:rPr>
        <w:t>s</w:t>
      </w:r>
      <w:r w:rsidR="008E41BA">
        <w:rPr>
          <w:lang w:val="en-US"/>
        </w:rPr>
        <w:t xml:space="preserve"> CQI which it determines based on </w:t>
      </w:r>
      <w:r w:rsidR="008E41BA" w:rsidRPr="008E41BA">
        <w:rPr>
          <w:lang w:val="en-US"/>
        </w:rPr>
        <w:t xml:space="preserve">PDSCH transport block error probability not exceeding </w:t>
      </w:r>
      <w:r w:rsidR="00633496">
        <w:rPr>
          <w:lang w:val="en-US"/>
        </w:rPr>
        <w:t>10%.</w:t>
      </w:r>
      <w:bookmarkEnd w:id="18"/>
      <w:r w:rsidR="00633496">
        <w:rPr>
          <w:lang w:val="en-US"/>
        </w:rPr>
        <w:t xml:space="preserve"> An example of the LTE CQI table </w:t>
      </w:r>
      <w:r w:rsidR="00284FE1">
        <w:rPr>
          <w:lang w:val="en-US"/>
        </w:rPr>
        <w:t>fo</w:t>
      </w:r>
      <w:r w:rsidR="0071295E">
        <w:rPr>
          <w:lang w:val="en-US"/>
        </w:rPr>
        <w:t xml:space="preserve">r eMTC </w:t>
      </w:r>
      <w:r w:rsidR="00633496">
        <w:rPr>
          <w:lang w:val="en-US"/>
        </w:rPr>
        <w:t xml:space="preserve">in shown in </w:t>
      </w:r>
      <w:r w:rsidR="00633496">
        <w:rPr>
          <w:lang w:val="en-US"/>
        </w:rPr>
        <w:fldChar w:fldCharType="begin"/>
      </w:r>
      <w:r w:rsidR="00633496">
        <w:rPr>
          <w:lang w:val="en-US"/>
        </w:rPr>
        <w:instrText xml:space="preserve"> REF _Ref30074582 \h </w:instrText>
      </w:r>
      <w:r w:rsidR="00633496">
        <w:rPr>
          <w:lang w:val="en-US"/>
        </w:rPr>
      </w:r>
      <w:r w:rsidR="00633496">
        <w:rPr>
          <w:lang w:val="en-US"/>
        </w:rPr>
        <w:fldChar w:fldCharType="separate"/>
      </w:r>
      <w:r w:rsidR="00DB43B9">
        <w:t xml:space="preserve">Table </w:t>
      </w:r>
      <w:r w:rsidR="00DB43B9">
        <w:rPr>
          <w:noProof/>
        </w:rPr>
        <w:t>2</w:t>
      </w:r>
      <w:r w:rsidR="00633496">
        <w:rPr>
          <w:lang w:val="en-US"/>
        </w:rPr>
        <w:fldChar w:fldCharType="end"/>
      </w:r>
      <w:r w:rsidR="00633496">
        <w:rPr>
          <w:lang w:val="en-US"/>
        </w:rPr>
        <w:t>.</w:t>
      </w:r>
    </w:p>
    <w:p w14:paraId="3C87ECC0" w14:textId="5271D77A" w:rsidR="005B100E" w:rsidRDefault="005B100E" w:rsidP="005B100E">
      <w:pPr>
        <w:pStyle w:val="Caption"/>
        <w:keepNext/>
        <w:jc w:val="center"/>
        <w:rPr>
          <w:lang w:val="en-US"/>
        </w:rPr>
      </w:pPr>
      <w:bookmarkStart w:id="19" w:name="_Ref30074582"/>
      <w:r>
        <w:t xml:space="preserve">Table </w:t>
      </w:r>
      <w:r w:rsidR="001A7234">
        <w:fldChar w:fldCharType="begin"/>
      </w:r>
      <w:r w:rsidR="001A7234">
        <w:instrText xml:space="preserve"> SEQ Table \* ARABIC </w:instrText>
      </w:r>
      <w:r w:rsidR="001A7234">
        <w:fldChar w:fldCharType="separate"/>
      </w:r>
      <w:r w:rsidR="00DB43B9">
        <w:rPr>
          <w:noProof/>
        </w:rPr>
        <w:t>2</w:t>
      </w:r>
      <w:r w:rsidR="001A7234">
        <w:rPr>
          <w:noProof/>
        </w:rPr>
        <w:fldChar w:fldCharType="end"/>
      </w:r>
      <w:bookmarkEnd w:id="19"/>
      <w:r>
        <w:rPr>
          <w:lang w:val="en-US"/>
        </w:rPr>
        <w:t>. 4-bit CQI Table</w:t>
      </w:r>
      <w:r w:rsidR="003001CA">
        <w:rPr>
          <w:lang w:val="en-US"/>
        </w:rPr>
        <w:t xml:space="preserve"> (LTE)</w:t>
      </w:r>
      <w:r>
        <w:rPr>
          <w:lang w:val="en-US"/>
        </w:rPr>
        <w:t>.</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3D774E" w:rsidRPr="00E35A60" w14:paraId="70D0D17D" w14:textId="77777777" w:rsidTr="00BF2D22">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5925392" w14:textId="77777777" w:rsidR="003D774E" w:rsidRPr="00E35A60" w:rsidRDefault="003D774E" w:rsidP="00BF2D22">
            <w:pPr>
              <w:keepNext/>
              <w:keepLines/>
              <w:spacing w:after="0"/>
              <w:jc w:val="center"/>
              <w:rPr>
                <w:rFonts w:ascii="Arial" w:hAnsi="Arial"/>
                <w:b/>
                <w:sz w:val="18"/>
              </w:rPr>
            </w:pPr>
            <w:bookmarkStart w:id="20" w:name="_Hlk66171208"/>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99CEF5E"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97AF22"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2677DB"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repetition</w:t>
            </w:r>
          </w:p>
        </w:tc>
      </w:tr>
      <w:tr w:rsidR="003D774E" w:rsidRPr="00E35A60" w14:paraId="542AE2E4" w14:textId="77777777" w:rsidTr="00BF2D22">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01ACD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94F598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out of range</w:t>
            </w:r>
          </w:p>
        </w:tc>
      </w:tr>
      <w:tr w:rsidR="003D774E" w:rsidRPr="00E35A60" w14:paraId="051E092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4F23E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3218EB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6DD47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7D5B2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32</w:t>
            </w:r>
          </w:p>
        </w:tc>
      </w:tr>
      <w:tr w:rsidR="003D774E" w:rsidRPr="00E35A60" w14:paraId="4BEF405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5138C3" w14:textId="77777777" w:rsidR="003D774E" w:rsidRPr="00E35A60" w:rsidRDefault="003D774E" w:rsidP="00BF2D22">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FB81C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ADBF2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8A0BA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w:t>
            </w:r>
          </w:p>
        </w:tc>
      </w:tr>
      <w:tr w:rsidR="003D774E" w:rsidRPr="00E35A60" w14:paraId="47D8A46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83F30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FB1A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1E560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699D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w:t>
            </w:r>
          </w:p>
        </w:tc>
      </w:tr>
      <w:tr w:rsidR="003D774E" w:rsidRPr="00E35A60" w14:paraId="486F583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27A7F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643A9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28E77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35DB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w:t>
            </w:r>
          </w:p>
        </w:tc>
      </w:tr>
      <w:tr w:rsidR="003D774E" w:rsidRPr="00E35A60" w14:paraId="7B79C6E8"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87C2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EDED2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2D5BC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76C7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152D9C2B"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D0A7C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4C1033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BA515D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44CB0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F8EC31B"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CCE22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0DE04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17D9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1B476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93D89A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FE5B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7C372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5DC52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61B3D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882D855"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8D60B1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673E87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A8F94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7055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0BE0535"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B2002E"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BDD39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6BB48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FA7DF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5710EA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DA6B6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56AA7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D6024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22A06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8552922"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C4D4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3D552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F8105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766F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88A0CF4"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17C15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5FEA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A9E746"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1A3C5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C45E530"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1FD8A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C8AF1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1759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3A29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36129D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7639E1"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97459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560F1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8EDA8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bookmarkEnd w:id="20"/>
    </w:tbl>
    <w:p w14:paraId="718F89BA" w14:textId="77777777" w:rsidR="003D774E" w:rsidRDefault="003D774E" w:rsidP="003D774E">
      <w:pPr>
        <w:jc w:val="center"/>
        <w:rPr>
          <w:lang w:val="en-US" w:eastAsia="x-none"/>
        </w:rPr>
      </w:pPr>
    </w:p>
    <w:p w14:paraId="39E48F33" w14:textId="274FABA7" w:rsidR="00E42FF8" w:rsidRDefault="003D1853" w:rsidP="003D1853">
      <w:pPr>
        <w:jc w:val="both"/>
        <w:rPr>
          <w:bCs/>
          <w:noProof/>
          <w:lang w:val="en-US" w:eastAsia="en-GB"/>
        </w:rPr>
      </w:pPr>
      <w:r>
        <w:rPr>
          <w:bCs/>
          <w:noProof/>
          <w:lang w:val="en-US" w:eastAsia="en-GB"/>
        </w:rPr>
        <w:t>For NB-IoT, we should introduce CQI to support 16-QAM in the DL and reuse the CQI definition defined in LTE. For eMTC, the definition is given by –</w:t>
      </w:r>
    </w:p>
    <w:p w14:paraId="1D473DA6" w14:textId="151A4A70" w:rsidR="003D1853" w:rsidRDefault="003D1853" w:rsidP="003D1853">
      <w:pPr>
        <w:jc w:val="both"/>
        <w:rPr>
          <w:lang w:val="en-US"/>
        </w:rPr>
      </w:pPr>
      <w:r w:rsidRPr="000D3CFB">
        <w:rPr>
          <w:lang w:val="en-US"/>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2CA6777E" w14:textId="7209FE35" w:rsidR="003D1853" w:rsidRPr="00E42FF8" w:rsidRDefault="003D1853" w:rsidP="003D1853">
      <w:pPr>
        <w:jc w:val="both"/>
        <w:rPr>
          <w:bCs/>
          <w:noProof/>
          <w:lang w:val="en-US" w:eastAsia="en-GB"/>
        </w:rPr>
      </w:pPr>
      <w:r>
        <w:rPr>
          <w:lang w:val="en-US"/>
        </w:rPr>
        <w:t>An equivalent CQI reporting definition can be defined for NB-IoT. However, it can be FFS how to define the CSI reference resource.</w:t>
      </w:r>
    </w:p>
    <w:p w14:paraId="031565D8" w14:textId="0514A444" w:rsidR="007627B2" w:rsidRDefault="00C45189" w:rsidP="00C520F6">
      <w:pPr>
        <w:jc w:val="both"/>
        <w:rPr>
          <w:noProof/>
          <w:lang w:val="en-US" w:eastAsia="en-GB"/>
        </w:rPr>
      </w:pPr>
      <w:r>
        <w:rPr>
          <w:b/>
          <w:bCs/>
          <w:noProof/>
          <w:lang w:val="en-US" w:eastAsia="en-GB"/>
        </w:rPr>
        <w:t xml:space="preserve">Proposal </w:t>
      </w:r>
      <w:r w:rsidR="001D40FF">
        <w:rPr>
          <w:b/>
          <w:bCs/>
          <w:noProof/>
          <w:lang w:val="en-US" w:eastAsia="en-GB"/>
        </w:rPr>
        <w:t>3</w:t>
      </w:r>
      <w:r>
        <w:rPr>
          <w:b/>
          <w:bCs/>
          <w:noProof/>
          <w:lang w:val="en-US" w:eastAsia="en-GB"/>
        </w:rPr>
        <w:t xml:space="preserve">: </w:t>
      </w:r>
      <w:r w:rsidR="003D1853">
        <w:rPr>
          <w:b/>
          <w:bCs/>
          <w:noProof/>
          <w:lang w:val="en-US" w:eastAsia="en-GB"/>
        </w:rPr>
        <w:t>Introduce CQI report</w:t>
      </w:r>
      <w:r w:rsidR="007627B2">
        <w:rPr>
          <w:b/>
          <w:bCs/>
          <w:noProof/>
          <w:lang w:val="en-US" w:eastAsia="en-GB"/>
        </w:rPr>
        <w:t>ing</w:t>
      </w:r>
      <w:r w:rsidR="003D1853">
        <w:rPr>
          <w:b/>
          <w:bCs/>
          <w:noProof/>
          <w:lang w:val="en-US" w:eastAsia="en-GB"/>
        </w:rPr>
        <w:t xml:space="preserve"> for 16-QAM in the DL using the same definition </w:t>
      </w:r>
      <w:r w:rsidR="002941AC">
        <w:rPr>
          <w:b/>
          <w:bCs/>
          <w:noProof/>
          <w:lang w:val="en-US" w:eastAsia="en-GB"/>
        </w:rPr>
        <w:t>for</w:t>
      </w:r>
      <w:r w:rsidR="003D1853">
        <w:rPr>
          <w:b/>
          <w:bCs/>
          <w:noProof/>
          <w:lang w:val="en-US" w:eastAsia="en-GB"/>
        </w:rPr>
        <w:t xml:space="preserve"> CQI </w:t>
      </w:r>
      <w:r w:rsidR="002941AC">
        <w:rPr>
          <w:b/>
          <w:bCs/>
          <w:noProof/>
          <w:lang w:val="en-US" w:eastAsia="en-GB"/>
        </w:rPr>
        <w:t>as</w:t>
      </w:r>
      <w:r w:rsidR="003D1853">
        <w:rPr>
          <w:b/>
          <w:bCs/>
          <w:noProof/>
          <w:lang w:val="en-US" w:eastAsia="en-GB"/>
        </w:rPr>
        <w:t xml:space="preserve"> eMTC. FFS how to define CSI reference resource</w:t>
      </w:r>
      <w:r>
        <w:rPr>
          <w:b/>
          <w:bCs/>
          <w:noProof/>
          <w:lang w:val="en-US" w:eastAsia="en-GB"/>
        </w:rPr>
        <w:t>.</w:t>
      </w:r>
    </w:p>
    <w:p w14:paraId="4B3BA1F7" w14:textId="25C9FEE8" w:rsidR="002D1C09" w:rsidRPr="002D1C09" w:rsidRDefault="00551A73" w:rsidP="00C520F6">
      <w:pPr>
        <w:jc w:val="both"/>
        <w:rPr>
          <w:b/>
          <w:bCs/>
          <w:noProof/>
          <w:lang w:val="en-US" w:eastAsia="en-GB"/>
        </w:rPr>
      </w:pPr>
      <w:r>
        <w:rPr>
          <w:noProof/>
          <w:lang w:val="en-US" w:eastAsia="en-GB"/>
        </w:rPr>
        <w:t xml:space="preserve">As shown in </w:t>
      </w:r>
      <w:r>
        <w:rPr>
          <w:noProof/>
          <w:lang w:val="en-US" w:eastAsia="en-GB"/>
        </w:rPr>
        <w:fldChar w:fldCharType="begin"/>
      </w:r>
      <w:r>
        <w:rPr>
          <w:noProof/>
          <w:lang w:val="en-US" w:eastAsia="en-GB"/>
        </w:rPr>
        <w:instrText xml:space="preserve"> REF _Ref60499303 \h </w:instrText>
      </w:r>
      <w:r>
        <w:rPr>
          <w:noProof/>
          <w:lang w:val="en-US" w:eastAsia="en-GB"/>
        </w:rPr>
      </w:r>
      <w:r>
        <w:rPr>
          <w:noProof/>
          <w:lang w:val="en-US" w:eastAsia="en-GB"/>
        </w:rPr>
        <w:fldChar w:fldCharType="separate"/>
      </w:r>
      <w:r w:rsidR="00DB43B9">
        <w:t xml:space="preserve">Table </w:t>
      </w:r>
      <w:r w:rsidR="00DB43B9">
        <w:rPr>
          <w:noProof/>
        </w:rPr>
        <w:t>1</w:t>
      </w:r>
      <w:r>
        <w:rPr>
          <w:noProof/>
          <w:lang w:val="en-US" w:eastAsia="en-GB"/>
        </w:rPr>
        <w:fldChar w:fldCharType="end"/>
      </w:r>
      <w:r>
        <w:rPr>
          <w:noProof/>
          <w:lang w:val="en-US" w:eastAsia="en-GB"/>
        </w:rPr>
        <w:t>, t</w:t>
      </w:r>
      <w:r w:rsidR="002D1C09">
        <w:rPr>
          <w:noProof/>
          <w:lang w:val="en-US" w:eastAsia="en-GB"/>
        </w:rPr>
        <w:t xml:space="preserve">he </w:t>
      </w:r>
      <w:r>
        <w:rPr>
          <w:noProof/>
          <w:lang w:val="en-US" w:eastAsia="en-GB"/>
        </w:rPr>
        <w:t xml:space="preserve">current </w:t>
      </w:r>
      <w:r w:rsidR="002D1C09">
        <w:rPr>
          <w:noProof/>
          <w:lang w:val="en-US" w:eastAsia="en-GB"/>
        </w:rPr>
        <w:t xml:space="preserve">report </w:t>
      </w:r>
      <w:r>
        <w:rPr>
          <w:noProof/>
          <w:lang w:val="en-US" w:eastAsia="en-GB"/>
        </w:rPr>
        <w:t xml:space="preserve">uses 13 of the possible </w:t>
      </w:r>
      <w:r w:rsidR="002D1C09">
        <w:rPr>
          <w:noProof/>
          <w:lang w:val="en-US" w:eastAsia="en-GB"/>
        </w:rPr>
        <w:t>16 values</w:t>
      </w:r>
      <w:r>
        <w:rPr>
          <w:noProof/>
          <w:lang w:val="en-US" w:eastAsia="en-GB"/>
        </w:rPr>
        <w:t xml:space="preserve">. Therefore, </w:t>
      </w:r>
      <w:r w:rsidR="002D1C09">
        <w:rPr>
          <w:noProof/>
          <w:lang w:val="en-US" w:eastAsia="en-GB"/>
        </w:rPr>
        <w:t xml:space="preserve">3 additional values can be added for 16-QAM reporting. However, in </w:t>
      </w:r>
      <w:r w:rsidR="002D1C09">
        <w:rPr>
          <w:lang w:val="en-US"/>
        </w:rPr>
        <w:fldChar w:fldCharType="begin"/>
      </w:r>
      <w:r w:rsidR="002D1C09">
        <w:rPr>
          <w:lang w:val="en-US"/>
        </w:rPr>
        <w:instrText xml:space="preserve"> REF _Ref30074582 \h </w:instrText>
      </w:r>
      <w:r w:rsidR="002D1C09">
        <w:rPr>
          <w:lang w:val="en-US"/>
        </w:rPr>
      </w:r>
      <w:r w:rsidR="002D1C09">
        <w:rPr>
          <w:lang w:val="en-US"/>
        </w:rPr>
        <w:fldChar w:fldCharType="separate"/>
      </w:r>
      <w:r w:rsidR="00DB43B9">
        <w:t xml:space="preserve">Table </w:t>
      </w:r>
      <w:r w:rsidR="00DB43B9">
        <w:rPr>
          <w:noProof/>
        </w:rPr>
        <w:t>2</w:t>
      </w:r>
      <w:r w:rsidR="002D1C09">
        <w:rPr>
          <w:lang w:val="en-US"/>
        </w:rPr>
        <w:fldChar w:fldCharType="end"/>
      </w:r>
      <w:r w:rsidR="002D1C09">
        <w:rPr>
          <w:lang w:val="en-US"/>
        </w:rPr>
        <w:t>, it is seen that 4 CQI reporting values are used for 16-QAM in eMTC.</w:t>
      </w:r>
      <w:r w:rsidR="00D31B95">
        <w:rPr>
          <w:lang w:val="en-US"/>
        </w:rPr>
        <w:t xml:space="preserve"> It is therefore proposed to reuse </w:t>
      </w:r>
      <w:r w:rsidR="00D31B95" w:rsidRPr="00D31B95">
        <w:rPr>
          <w:lang w:val="en-US"/>
        </w:rPr>
        <w:t xml:space="preserve">downlink channel quality measurement report defined in 36.133 for 16-QAM CQI reporting. </w:t>
      </w:r>
      <w:r w:rsidR="00C26B90">
        <w:rPr>
          <w:lang w:val="en-US"/>
        </w:rPr>
        <w:t xml:space="preserve">However, the details can be </w:t>
      </w:r>
      <w:r w:rsidR="00D31B95" w:rsidRPr="00D31B95">
        <w:rPr>
          <w:lang w:val="en-US"/>
        </w:rPr>
        <w:t>FFS.</w:t>
      </w:r>
    </w:p>
    <w:p w14:paraId="087B5F8C" w14:textId="6EDE6A5F" w:rsidR="002D07AF" w:rsidRDefault="002D07AF" w:rsidP="002D07AF">
      <w:pPr>
        <w:jc w:val="both"/>
        <w:rPr>
          <w:b/>
          <w:bCs/>
          <w:noProof/>
          <w:lang w:val="en-US" w:eastAsia="en-GB"/>
        </w:rPr>
      </w:pPr>
      <w:r>
        <w:rPr>
          <w:b/>
          <w:bCs/>
          <w:noProof/>
          <w:lang w:val="en-US" w:eastAsia="en-GB"/>
        </w:rPr>
        <w:t xml:space="preserve">Proposal </w:t>
      </w:r>
      <w:r w:rsidR="001D40FF">
        <w:rPr>
          <w:b/>
          <w:bCs/>
          <w:noProof/>
          <w:lang w:val="en-US" w:eastAsia="en-GB"/>
        </w:rPr>
        <w:t>4</w:t>
      </w:r>
      <w:r>
        <w:rPr>
          <w:b/>
          <w:bCs/>
          <w:noProof/>
          <w:lang w:val="en-US" w:eastAsia="en-GB"/>
        </w:rPr>
        <w:t xml:space="preserve">: </w:t>
      </w:r>
      <w:r w:rsidR="00F77EA8">
        <w:rPr>
          <w:b/>
          <w:bCs/>
          <w:noProof/>
          <w:lang w:val="en-US" w:eastAsia="en-GB"/>
        </w:rPr>
        <w:t xml:space="preserve">Reuse </w:t>
      </w:r>
      <w:r w:rsidR="00740BFB">
        <w:rPr>
          <w:b/>
          <w:bCs/>
          <w:noProof/>
          <w:lang w:val="en-US" w:eastAsia="en-GB"/>
        </w:rPr>
        <w:t xml:space="preserve">Msg3 and MAC CE </w:t>
      </w:r>
      <w:r w:rsidR="00F77EA8">
        <w:rPr>
          <w:b/>
          <w:bCs/>
          <w:noProof/>
          <w:lang w:val="en-US" w:eastAsia="en-GB"/>
        </w:rPr>
        <w:t>d</w:t>
      </w:r>
      <w:r w:rsidR="00F77EA8" w:rsidRPr="00F77EA8">
        <w:rPr>
          <w:b/>
          <w:bCs/>
          <w:noProof/>
          <w:lang w:val="en-US" w:eastAsia="en-GB"/>
        </w:rPr>
        <w:t xml:space="preserve">ownlink channel quality measurement report </w:t>
      </w:r>
      <w:r w:rsidR="003802D4">
        <w:rPr>
          <w:b/>
          <w:bCs/>
          <w:noProof/>
          <w:lang w:val="en-US" w:eastAsia="en-GB"/>
        </w:rPr>
        <w:t>defined in 36.133</w:t>
      </w:r>
      <w:r w:rsidR="002A0FE6">
        <w:rPr>
          <w:b/>
          <w:bCs/>
          <w:noProof/>
          <w:lang w:val="en-US" w:eastAsia="en-GB"/>
        </w:rPr>
        <w:t xml:space="preserve"> for 16-QAM CQI reporting</w:t>
      </w:r>
      <w:r w:rsidR="003802D4">
        <w:rPr>
          <w:b/>
          <w:bCs/>
          <w:noProof/>
          <w:lang w:val="en-US" w:eastAsia="en-GB"/>
        </w:rPr>
        <w:t xml:space="preserve">. </w:t>
      </w:r>
      <w:r w:rsidR="00F77EA8">
        <w:rPr>
          <w:b/>
          <w:bCs/>
          <w:noProof/>
          <w:lang w:val="en-US" w:eastAsia="en-GB"/>
        </w:rPr>
        <w:t>FFS details</w:t>
      </w:r>
      <w:r>
        <w:rPr>
          <w:b/>
          <w:bCs/>
          <w:noProof/>
          <w:lang w:val="en-US" w:eastAsia="en-GB"/>
        </w:rPr>
        <w:t>.</w:t>
      </w:r>
    </w:p>
    <w:p w14:paraId="5DA447B3" w14:textId="77777777" w:rsidR="008F06A6" w:rsidRPr="007C3A18" w:rsidRDefault="002A4F64" w:rsidP="008F06A6">
      <w:pPr>
        <w:jc w:val="both"/>
        <w:rPr>
          <w:rFonts w:eastAsia="MS Mincho"/>
          <w:u w:val="single"/>
          <w:lang w:val="en-US" w:eastAsia="ja-JP"/>
        </w:rPr>
      </w:pPr>
      <w:r w:rsidRPr="00CF67BC">
        <w:rPr>
          <w:rFonts w:eastAsia="MS Mincho"/>
          <w:u w:val="single"/>
          <w:lang w:val="en-US" w:eastAsia="ja-JP"/>
        </w:rPr>
        <w:t>Power allocation</w:t>
      </w:r>
    </w:p>
    <w:p w14:paraId="025F91A5" w14:textId="571154FA" w:rsidR="0081711E" w:rsidRPr="006A1908" w:rsidRDefault="00B236C0" w:rsidP="006A1908">
      <w:pPr>
        <w:jc w:val="both"/>
        <w:rPr>
          <w:lang w:val="en-US"/>
        </w:rPr>
      </w:pPr>
      <w:r w:rsidRPr="006A1908">
        <w:rPr>
          <w:lang w:val="en-US"/>
        </w:rPr>
        <w:t xml:space="preserve">In RAN1#103e, it </w:t>
      </w:r>
      <w:r w:rsidR="00DC14C6">
        <w:rPr>
          <w:lang w:val="en-US"/>
        </w:rPr>
        <w:t>wa</w:t>
      </w:r>
      <w:r w:rsidRPr="006A1908">
        <w:rPr>
          <w:lang w:val="en-US"/>
        </w:rPr>
        <w:t>s agreed to support e</w:t>
      </w:r>
      <w:r w:rsidR="00374F58" w:rsidRPr="006A1908">
        <w:rPr>
          <w:lang w:val="en-US"/>
        </w:rPr>
        <w:t>xplicit or implicit signa</w:t>
      </w:r>
      <w:r w:rsidR="002A4F64" w:rsidRPr="006A1908">
        <w:rPr>
          <w:lang w:val="en-US"/>
        </w:rPr>
        <w:t>l</w:t>
      </w:r>
      <w:r w:rsidR="00374F58" w:rsidRPr="006A1908">
        <w:rPr>
          <w:lang w:val="en-US"/>
        </w:rPr>
        <w:t xml:space="preserve">ing of power ratios of NPDSCH EPRE to NRS EPRE for </w:t>
      </w:r>
      <w:r w:rsidR="006A1908">
        <w:rPr>
          <w:lang w:val="en-US"/>
        </w:rPr>
        <w:t>three cases</w:t>
      </w:r>
      <w:r w:rsidRPr="006A1908">
        <w:rPr>
          <w:lang w:val="en-US"/>
        </w:rPr>
        <w:t>.</w:t>
      </w:r>
      <w:r w:rsidR="00BD21DA" w:rsidRPr="006A1908">
        <w:rPr>
          <w:lang w:val="en-US"/>
        </w:rPr>
        <w:t xml:space="preserve"> </w:t>
      </w:r>
      <w:r w:rsidR="006A1908" w:rsidRPr="006A1908">
        <w:rPr>
          <w:lang w:val="en-US"/>
        </w:rPr>
        <w:t>Thus, we would require 3 parameters –</w:t>
      </w:r>
    </w:p>
    <w:p w14:paraId="276324D6" w14:textId="023C803E" w:rsidR="006A1908" w:rsidRPr="00A2232A" w:rsidRDefault="00EB3B7F" w:rsidP="004B3355">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A</m:t>
            </m:r>
          </m:sub>
        </m:sSub>
      </m:oMath>
      <w:r w:rsidR="00C1091C">
        <w:rPr>
          <w:bCs/>
          <w:noProof/>
          <w:lang w:val="en-US" w:eastAsia="en-GB"/>
        </w:rPr>
        <w:t xml:space="preserve"> </w:t>
      </w:r>
      <w:r w:rsidR="005E25AA" w:rsidRPr="00E42FF8">
        <w:rPr>
          <w:bCs/>
          <w:noProof/>
          <w:lang w:val="en-US" w:eastAsia="en-GB"/>
        </w:rPr>
        <w:t>–</w:t>
      </w:r>
      <w:r w:rsidR="005E25AA">
        <w:rPr>
          <w:bCs/>
          <w:noProof/>
          <w:lang w:val="en-US" w:eastAsia="en-GB"/>
        </w:rPr>
        <w:t xml:space="preserve"> </w:t>
      </w:r>
      <w:r w:rsidR="006A1908" w:rsidRPr="00A2232A">
        <w:rPr>
          <w:bCs/>
          <w:noProof/>
          <w:lang w:val="en-US" w:eastAsia="en-GB"/>
        </w:rPr>
        <w:t>NPDSCH in symbols without NRS and CRS</w:t>
      </w:r>
    </w:p>
    <w:p w14:paraId="2188DA92" w14:textId="1F54937B" w:rsidR="006A1908" w:rsidRPr="00A2232A" w:rsidRDefault="00EB3B7F" w:rsidP="004B3355">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B</m:t>
            </m:r>
          </m:sub>
        </m:sSub>
      </m:oMath>
      <w:r w:rsidR="006A1908" w:rsidRPr="00EB022A">
        <w:rPr>
          <w:bCs/>
          <w:noProof/>
          <w:lang w:val="en-US" w:eastAsia="en-GB"/>
        </w:rPr>
        <w:t xml:space="preserve"> </w:t>
      </w:r>
      <w:r w:rsidR="005E25AA" w:rsidRPr="00E42FF8">
        <w:rPr>
          <w:bCs/>
          <w:noProof/>
          <w:lang w:val="en-US" w:eastAsia="en-GB"/>
        </w:rPr>
        <w:t>–</w:t>
      </w:r>
      <w:r w:rsidR="005E25AA">
        <w:rPr>
          <w:bCs/>
          <w:noProof/>
          <w:lang w:val="en-US" w:eastAsia="en-GB"/>
        </w:rPr>
        <w:t xml:space="preserve"> </w:t>
      </w:r>
      <w:r w:rsidR="006A1908" w:rsidRPr="00A2232A">
        <w:rPr>
          <w:bCs/>
          <w:noProof/>
          <w:lang w:val="en-US" w:eastAsia="en-GB"/>
        </w:rPr>
        <w:t>NPDSCH in symbols with CRS (only for “In-band” deployment)</w:t>
      </w:r>
    </w:p>
    <w:p w14:paraId="1A35DFB1" w14:textId="4F4ACE4D" w:rsidR="006A1908" w:rsidRPr="00A2232A" w:rsidRDefault="00EB3B7F" w:rsidP="004B3355">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C</m:t>
            </m:r>
          </m:sub>
        </m:sSub>
      </m:oMath>
      <w:r w:rsidR="005E25AA" w:rsidRPr="00A2232A">
        <w:rPr>
          <w:bCs/>
          <w:noProof/>
          <w:lang w:val="en-US" w:eastAsia="en-GB"/>
        </w:rPr>
        <w:t xml:space="preserve"> –</w:t>
      </w:r>
      <w:r w:rsidR="00E054D1" w:rsidRPr="00A2232A">
        <w:rPr>
          <w:bCs/>
          <w:noProof/>
          <w:lang w:val="en-US" w:eastAsia="en-GB"/>
        </w:rPr>
        <w:t xml:space="preserve"> </w:t>
      </w:r>
      <w:r w:rsidR="006A1908" w:rsidRPr="00A2232A">
        <w:rPr>
          <w:bCs/>
          <w:noProof/>
          <w:lang w:val="en-US" w:eastAsia="en-GB"/>
        </w:rPr>
        <w:t>NPDSCH in symbols</w:t>
      </w:r>
      <w:r w:rsidR="00A2232A" w:rsidRPr="00A2232A">
        <w:rPr>
          <w:bCs/>
          <w:noProof/>
          <w:lang w:val="en-US" w:eastAsia="en-GB"/>
        </w:rPr>
        <w:t xml:space="preserve"> </w:t>
      </w:r>
      <w:r w:rsidR="006A1908" w:rsidRPr="00A2232A">
        <w:rPr>
          <w:bCs/>
          <w:noProof/>
          <w:lang w:val="en-US" w:eastAsia="en-GB"/>
        </w:rPr>
        <w:t>with</w:t>
      </w:r>
      <w:r w:rsidR="00A2232A" w:rsidRPr="00A2232A">
        <w:rPr>
          <w:bCs/>
          <w:noProof/>
          <w:lang w:val="en-US" w:eastAsia="en-GB"/>
        </w:rPr>
        <w:t xml:space="preserve"> </w:t>
      </w:r>
      <w:r w:rsidR="006A1908" w:rsidRPr="00A2232A">
        <w:rPr>
          <w:bCs/>
          <w:noProof/>
          <w:lang w:val="en-US" w:eastAsia="en-GB"/>
        </w:rPr>
        <w:t>NRS</w:t>
      </w:r>
    </w:p>
    <w:p w14:paraId="1FD35C2C" w14:textId="77777777" w:rsidR="00264263" w:rsidRDefault="00A2232A" w:rsidP="00A2232A">
      <w:pPr>
        <w:jc w:val="both"/>
        <w:rPr>
          <w:bCs/>
          <w:noProof/>
          <w:lang w:val="en-US" w:eastAsia="en-GB"/>
        </w:rPr>
      </w:pPr>
      <w:r w:rsidRPr="00A2232A">
        <w:rPr>
          <w:bCs/>
          <w:noProof/>
          <w:lang w:val="en-US" w:eastAsia="en-GB"/>
        </w:rPr>
        <w:t>Currently, in NB-IoT</w:t>
      </w:r>
      <w:r w:rsidR="00F60D89">
        <w:rPr>
          <w:bCs/>
          <w:noProof/>
          <w:lang w:val="en-US" w:eastAsia="en-GB"/>
        </w:rPr>
        <w:t xml:space="preserve">, </w:t>
      </w:r>
      <w:r w:rsidR="00264263">
        <w:rPr>
          <w:bCs/>
          <w:noProof/>
          <w:lang w:val="en-US" w:eastAsia="en-GB"/>
        </w:rPr>
        <w:t>downlink power allocation is as follows –</w:t>
      </w:r>
    </w:p>
    <w:p w14:paraId="0A83D9C8" w14:textId="77777777" w:rsidR="00264263" w:rsidRPr="00264263" w:rsidRDefault="00264263" w:rsidP="004B3355">
      <w:pPr>
        <w:numPr>
          <w:ilvl w:val="0"/>
          <w:numId w:val="23"/>
        </w:numPr>
        <w:ind w:left="567" w:hanging="207"/>
        <w:jc w:val="both"/>
        <w:rPr>
          <w:bCs/>
          <w:noProof/>
          <w:lang w:val="en-US" w:eastAsia="en-GB"/>
        </w:rPr>
      </w:pPr>
      <w:r w:rsidRPr="001A7C01">
        <w:rPr>
          <w:rFonts w:hint="eastAsia"/>
          <w:lang w:eastAsia="zh-CN"/>
        </w:rPr>
        <w:t>NRS</w:t>
      </w:r>
      <w:r w:rsidRPr="001A7C01">
        <w:t xml:space="preserve"> EPRE can be derived from the downlink </w:t>
      </w:r>
      <w:r w:rsidRPr="001A7C01">
        <w:rPr>
          <w:rFonts w:hint="eastAsia"/>
          <w:lang w:eastAsia="zh-CN"/>
        </w:rPr>
        <w:t xml:space="preserve">narrowband </w:t>
      </w:r>
      <w:r w:rsidRPr="001A7C01">
        <w:t xml:space="preserve">reference-signal transmit power given by </w:t>
      </w:r>
      <w:r w:rsidRPr="001A7C01">
        <w:rPr>
          <w:rFonts w:hint="eastAsia"/>
          <w:i/>
        </w:rPr>
        <w:t>nrs-Power</w:t>
      </w:r>
      <w:r w:rsidRPr="001A7C01">
        <w:t xml:space="preserve"> </w:t>
      </w:r>
      <w:r w:rsidRPr="001A7C01">
        <w:rPr>
          <w:rFonts w:hint="eastAsia"/>
        </w:rPr>
        <w:t xml:space="preserve">+ </w:t>
      </w:r>
      <w:r w:rsidRPr="001A7C01">
        <w:rPr>
          <w:rFonts w:hint="eastAsia"/>
          <w:i/>
        </w:rPr>
        <w:t>nrs-Power</w:t>
      </w:r>
      <w:r w:rsidRPr="001A7C01">
        <w:rPr>
          <w:i/>
        </w:rPr>
        <w:t>Offset</w:t>
      </w:r>
      <w:r w:rsidRPr="001A7C01">
        <w:rPr>
          <w:rFonts w:hint="eastAsia"/>
          <w:i/>
        </w:rPr>
        <w:t>NonAnchor</w:t>
      </w:r>
      <w:r w:rsidRPr="001A7C01">
        <w:rPr>
          <w:rFonts w:hint="eastAsia"/>
          <w:i/>
          <w:lang w:eastAsia="zh-CN"/>
        </w:rPr>
        <w:t>,</w:t>
      </w:r>
      <w:r w:rsidRPr="001A7C01">
        <w:rPr>
          <w:rFonts w:hint="eastAsia"/>
          <w:lang w:eastAsia="zh-CN"/>
        </w:rPr>
        <w:t xml:space="preserve"> where</w:t>
      </w:r>
      <w:r w:rsidRPr="001A7C01">
        <w:t xml:space="preserve"> the parameter </w:t>
      </w:r>
      <w:r w:rsidRPr="001A7C01">
        <w:rPr>
          <w:rFonts w:hint="eastAsia"/>
          <w:i/>
          <w:lang w:eastAsia="zh-CN"/>
        </w:rPr>
        <w:t>nrs-Power</w:t>
      </w:r>
      <w:r w:rsidRPr="001A7C01">
        <w:rPr>
          <w:iCs/>
        </w:rPr>
        <w:t xml:space="preserve"> is </w:t>
      </w:r>
      <w:r w:rsidRPr="001A7C01">
        <w:t>provided by higher layers</w:t>
      </w:r>
      <w:r w:rsidRPr="001A7C01">
        <w:rPr>
          <w:rFonts w:hint="eastAsia"/>
          <w:lang w:eastAsia="zh-CN"/>
        </w:rPr>
        <w:t xml:space="preserve"> and </w:t>
      </w:r>
      <w:r w:rsidRPr="001A7C01">
        <w:rPr>
          <w:rFonts w:hint="eastAsia"/>
          <w:i/>
          <w:lang w:eastAsia="zh-CN"/>
        </w:rPr>
        <w:t>nrs-powerOffsetNonAnchor</w:t>
      </w:r>
      <w:r w:rsidRPr="001A7C01">
        <w:rPr>
          <w:rFonts w:hint="eastAsia"/>
          <w:lang w:eastAsia="zh-CN"/>
        </w:rPr>
        <w:t xml:space="preserve"> is zero if it is not provided by higher layers</w:t>
      </w:r>
      <w:r w:rsidR="00770C37">
        <w:rPr>
          <w:lang w:eastAsia="zh-CN"/>
        </w:rPr>
        <w:t>.</w:t>
      </w:r>
    </w:p>
    <w:p w14:paraId="7F46804E" w14:textId="77777777" w:rsidR="00264263" w:rsidRDefault="00770C37" w:rsidP="004B3355">
      <w:pPr>
        <w:numPr>
          <w:ilvl w:val="0"/>
          <w:numId w:val="23"/>
        </w:numPr>
        <w:ind w:left="567" w:hanging="207"/>
        <w:jc w:val="both"/>
        <w:rPr>
          <w:bCs/>
          <w:noProof/>
          <w:lang w:val="en-US" w:eastAsia="en-GB"/>
        </w:rPr>
      </w:pPr>
      <w:r w:rsidRPr="001A7C01">
        <w:rPr>
          <w:lang w:eastAsia="zh-CN"/>
        </w:rPr>
        <w:t>A</w:t>
      </w:r>
      <w:r w:rsidRPr="001A7C01">
        <w:rPr>
          <w:rFonts w:hint="eastAsia"/>
          <w:lang w:eastAsia="zh-CN"/>
        </w:rPr>
        <w:t xml:space="preserve"> UE may assume t</w:t>
      </w:r>
      <w:r w:rsidRPr="001A7C01">
        <w:t xml:space="preserve">he ratio of </w:t>
      </w:r>
      <w:r w:rsidRPr="001A7C01">
        <w:rPr>
          <w:rFonts w:hint="eastAsia"/>
          <w:lang w:eastAsia="zh-CN"/>
        </w:rPr>
        <w:t>N</w:t>
      </w:r>
      <w:r w:rsidRPr="001A7C01">
        <w:t xml:space="preserve">PDSCH EPRE to </w:t>
      </w:r>
      <w:r w:rsidRPr="001A7C01">
        <w:rPr>
          <w:rFonts w:hint="eastAsia"/>
          <w:lang w:eastAsia="zh-CN"/>
        </w:rPr>
        <w:t>N</w:t>
      </w:r>
      <w:r w:rsidRPr="001A7C01">
        <w:t xml:space="preserve">RS EPRE among </w:t>
      </w:r>
      <w:r w:rsidRPr="001A7C01">
        <w:rPr>
          <w:rFonts w:hint="eastAsia"/>
          <w:lang w:eastAsia="zh-CN"/>
        </w:rPr>
        <w:t>N</w:t>
      </w:r>
      <w:r w:rsidRPr="001A7C01">
        <w:t xml:space="preserve">PDSCH REs (not applicable to </w:t>
      </w:r>
      <w:r w:rsidRPr="001A7C01">
        <w:rPr>
          <w:rFonts w:hint="eastAsia"/>
          <w:lang w:eastAsia="zh-CN"/>
        </w:rPr>
        <w:t>N</w:t>
      </w:r>
      <w:r w:rsidRPr="001A7C01">
        <w:t>PDSCH REs with zero EPRE)</w:t>
      </w:r>
      <w:r w:rsidRPr="001A7C01">
        <w:rPr>
          <w:rFonts w:hint="eastAsia"/>
          <w:lang w:eastAsia="zh-CN"/>
        </w:rPr>
        <w:t xml:space="preserve"> is 0 dB for an NB-IoT cell with one NRS antenna port and -3 dB for an NB-IoT cell with two NRS antenna ports</w:t>
      </w:r>
      <w:r>
        <w:rPr>
          <w:lang w:eastAsia="zh-CN"/>
        </w:rPr>
        <w:t>.</w:t>
      </w:r>
    </w:p>
    <w:p w14:paraId="4A31BEE7" w14:textId="54054FED" w:rsidR="00133397" w:rsidRDefault="00C1091C" w:rsidP="00133397">
      <w:pPr>
        <w:jc w:val="both"/>
        <w:rPr>
          <w:bCs/>
          <w:noProof/>
          <w:lang w:val="en-US" w:eastAsia="en-GB"/>
        </w:rPr>
      </w:pPr>
      <w:r>
        <w:rPr>
          <w:bCs/>
          <w:noProof/>
          <w:lang w:val="en-US" w:eastAsia="en-GB"/>
        </w:rPr>
        <w:t xml:space="preserve">In addition, the EPRE ratio between NRS and CRS is known via </w:t>
      </w:r>
      <w:r w:rsidRPr="0081070E">
        <w:rPr>
          <w:i/>
          <w:iCs/>
          <w:lang w:val="en-US"/>
        </w:rPr>
        <w:t>nrs-CRS-PowerOffset</w:t>
      </w:r>
      <w:r>
        <w:rPr>
          <w:bCs/>
          <w:noProof/>
          <w:lang w:val="en-US" w:eastAsia="en-GB"/>
        </w:rPr>
        <w:t xml:space="preserve"> parameter.</w:t>
      </w:r>
      <w:r w:rsidR="007E1F41">
        <w:rPr>
          <w:bCs/>
          <w:noProof/>
          <w:lang w:val="en-US" w:eastAsia="en-GB"/>
        </w:rPr>
        <w:t xml:space="preserve"> </w:t>
      </w:r>
      <w:r w:rsidR="0017321B">
        <w:rPr>
          <w:bCs/>
          <w:noProof/>
          <w:lang w:val="en-US" w:eastAsia="en-GB"/>
        </w:rPr>
        <w:t>In RAN1#104e, it was agreed that t</w:t>
      </w:r>
      <w:r w:rsidR="0017321B" w:rsidRPr="0017321B">
        <w:rPr>
          <w:bCs/>
          <w:noProof/>
          <w:lang w:val="en-US" w:eastAsia="en-GB"/>
        </w:rPr>
        <w:t xml:space="preserve">he NPDSCH EPRE in symbols with NRS can be different </w:t>
      </w:r>
      <w:r w:rsidR="0017321B">
        <w:rPr>
          <w:bCs/>
          <w:noProof/>
          <w:lang w:val="en-US" w:eastAsia="en-GB"/>
        </w:rPr>
        <w:t>or</w:t>
      </w:r>
      <w:r w:rsidR="0017321B" w:rsidRPr="0017321B">
        <w:rPr>
          <w:bCs/>
          <w:noProof/>
          <w:lang w:val="en-US" w:eastAsia="en-GB"/>
        </w:rPr>
        <w:t xml:space="preserve"> can be the same with the NPDSCH EPRE in symbols without CRS and NRS</w:t>
      </w:r>
      <w:r w:rsidR="00065B23">
        <w:rPr>
          <w:bCs/>
          <w:noProof/>
          <w:lang w:val="en-US" w:eastAsia="en-GB"/>
        </w:rPr>
        <w:t xml:space="preserve">. This would allow a trade-off between pilot-to-data power ratio in order to achieve the best performance with 16-QAM modulation. </w:t>
      </w:r>
      <w:r w:rsidR="00133397">
        <w:rPr>
          <w:bCs/>
          <w:noProof/>
          <w:lang w:val="en-US" w:eastAsia="en-GB"/>
        </w:rPr>
        <w:t xml:space="preserve">However, the </w:t>
      </w:r>
      <w:r w:rsidR="00635E82">
        <w:rPr>
          <w:bCs/>
          <w:noProof/>
          <w:lang w:val="en-US" w:eastAsia="en-GB"/>
        </w:rPr>
        <w:t xml:space="preserve">total </w:t>
      </w:r>
      <w:r w:rsidR="00133397">
        <w:rPr>
          <w:bCs/>
          <w:noProof/>
          <w:lang w:val="en-US" w:eastAsia="en-GB"/>
        </w:rPr>
        <w:t>power across symbols per antenna port should be constan</w:t>
      </w:r>
      <w:r w:rsidR="00CF5E74">
        <w:rPr>
          <w:bCs/>
          <w:noProof/>
          <w:lang w:val="en-US" w:eastAsia="en-GB"/>
        </w:rPr>
        <w:t xml:space="preserve">t to ensure that eNB </w:t>
      </w:r>
      <w:r w:rsidR="00B97979">
        <w:rPr>
          <w:bCs/>
          <w:noProof/>
          <w:lang w:val="en-US" w:eastAsia="en-GB"/>
        </w:rPr>
        <w:t xml:space="preserve">downlink </w:t>
      </w:r>
      <w:r w:rsidR="00CF5E74">
        <w:rPr>
          <w:bCs/>
          <w:noProof/>
          <w:lang w:val="en-US" w:eastAsia="en-GB"/>
        </w:rPr>
        <w:t>power remains fixed.</w:t>
      </w:r>
    </w:p>
    <w:p w14:paraId="71759249" w14:textId="53E13AC9" w:rsidR="00635E82" w:rsidRDefault="00635E82" w:rsidP="00635E82">
      <w:pPr>
        <w:jc w:val="both"/>
        <w:rPr>
          <w:bCs/>
          <w:noProof/>
          <w:lang w:val="en-US" w:eastAsia="en-GB"/>
        </w:rPr>
      </w:pPr>
      <w:r>
        <w:rPr>
          <w:b/>
          <w:bCs/>
          <w:noProof/>
          <w:lang w:val="en-US" w:eastAsia="en-GB"/>
        </w:rPr>
        <w:t xml:space="preserve">Proposal </w:t>
      </w:r>
      <w:r w:rsidR="001D40FF">
        <w:rPr>
          <w:b/>
          <w:bCs/>
          <w:noProof/>
          <w:lang w:val="en-US" w:eastAsia="en-GB"/>
        </w:rPr>
        <w:t>5</w:t>
      </w:r>
      <w:r>
        <w:rPr>
          <w:b/>
          <w:bCs/>
          <w:noProof/>
          <w:lang w:val="en-US" w:eastAsia="en-GB"/>
        </w:rPr>
        <w:t>: The total transmit power across OFDM symbols should be constant.</w:t>
      </w:r>
    </w:p>
    <w:p w14:paraId="4679E9B7" w14:textId="77F43453" w:rsidR="00EB022A" w:rsidRDefault="006F75B6" w:rsidP="00A2232A">
      <w:pPr>
        <w:jc w:val="both"/>
        <w:rPr>
          <w:bCs/>
          <w:noProof/>
          <w:lang w:val="en-US" w:eastAsia="en-GB"/>
        </w:rPr>
      </w:pPr>
      <w:r>
        <w:rPr>
          <w:bCs/>
          <w:noProof/>
          <w:lang w:val="en-US" w:eastAsia="en-GB"/>
        </w:rPr>
        <w:t xml:space="preserve">If the total transmit power across OFDM symbols are kept </w:t>
      </w:r>
      <w:r w:rsidR="00F7731B">
        <w:rPr>
          <w:bCs/>
          <w:noProof/>
          <w:lang w:val="en-US" w:eastAsia="en-GB"/>
        </w:rPr>
        <w:t>constant</w:t>
      </w:r>
      <w:r w:rsidR="00E63395">
        <w:rPr>
          <w:bCs/>
          <w:noProof/>
          <w:lang w:val="en-US" w:eastAsia="en-GB"/>
        </w:rPr>
        <w:t>, only</w:t>
      </w:r>
      <w:r w:rsidR="00966273">
        <w:rPr>
          <w:bCs/>
          <w:noProof/>
          <w:lang w:val="en-US" w:eastAsia="en-GB"/>
        </w:rPr>
        <w:t xml:space="preserve"> </w:t>
      </w: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C</m:t>
            </m:r>
          </m:sub>
        </m:sSub>
      </m:oMath>
      <w:r w:rsidR="00966273">
        <w:rPr>
          <w:bCs/>
          <w:noProof/>
          <w:lang w:val="en-US" w:eastAsia="en-GB"/>
        </w:rPr>
        <w:t xml:space="preserve"> </w:t>
      </w:r>
      <w:r w:rsidR="00E63395">
        <w:rPr>
          <w:bCs/>
          <w:noProof/>
          <w:lang w:val="en-US" w:eastAsia="en-GB"/>
        </w:rPr>
        <w:t>needs to be introduced. The other two parameters can be determined by the UE.</w:t>
      </w:r>
    </w:p>
    <w:p w14:paraId="4E07DA3C" w14:textId="4C50A947" w:rsidR="00BF1269" w:rsidRPr="00426BFA" w:rsidRDefault="00376AAE" w:rsidP="00D57FC7">
      <w:pPr>
        <w:jc w:val="both"/>
        <w:rPr>
          <w:b/>
          <w:bCs/>
          <w:lang w:val="en-US"/>
        </w:rPr>
      </w:pPr>
      <w:r>
        <w:rPr>
          <w:b/>
          <w:bCs/>
          <w:lang w:val="en-US"/>
        </w:rPr>
        <w:t xml:space="preserve">Proposal </w:t>
      </w:r>
      <w:r w:rsidR="001D40FF">
        <w:rPr>
          <w:b/>
          <w:bCs/>
          <w:lang w:val="en-US"/>
        </w:rPr>
        <w:t>6</w:t>
      </w:r>
      <w:r>
        <w:rPr>
          <w:b/>
          <w:bCs/>
          <w:lang w:val="en-US"/>
        </w:rPr>
        <w:t>:</w:t>
      </w:r>
      <w:r w:rsidR="00D57FC7" w:rsidRPr="00426BFA">
        <w:rPr>
          <w:b/>
          <w:bCs/>
          <w:lang w:val="en-US"/>
        </w:rPr>
        <w:t xml:space="preserve"> </w:t>
      </w:r>
      <w:r w:rsidR="00D57FC7">
        <w:rPr>
          <w:b/>
          <w:bCs/>
          <w:lang w:val="en-US"/>
        </w:rPr>
        <w:t xml:space="preserve">The power ratio of </w:t>
      </w:r>
      <w:r w:rsidR="00D57FC7" w:rsidRPr="00D57FC7">
        <w:rPr>
          <w:b/>
          <w:bCs/>
          <w:lang w:val="en-US"/>
        </w:rPr>
        <w:t xml:space="preserve">NPDSCH EPRE to NRS EPRE </w:t>
      </w:r>
      <w:r w:rsidR="00D57FC7">
        <w:rPr>
          <w:b/>
          <w:bCs/>
          <w:lang w:val="en-US"/>
        </w:rPr>
        <w:t>in symbols with NRS (</w:t>
      </w:r>
      <m:oMath>
        <m:sSub>
          <m:sSubPr>
            <m:ctrlPr>
              <w:rPr>
                <w:rFonts w:ascii="Cambria Math" w:hAnsi="Cambria Math"/>
                <w:b/>
                <w:bCs/>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D57FC7" w:rsidRPr="00426BFA">
        <w:rPr>
          <w:b/>
          <w:bCs/>
          <w:lang w:val="en-US"/>
        </w:rPr>
        <w:t xml:space="preserve">) is explicitly </w:t>
      </w:r>
      <w:r w:rsidR="00893D29" w:rsidRPr="00426BFA">
        <w:rPr>
          <w:b/>
          <w:bCs/>
          <w:lang w:val="en-US"/>
        </w:rPr>
        <w:t>signaled</w:t>
      </w:r>
      <w:r w:rsidR="00D57FC7" w:rsidRPr="00426BFA">
        <w:rPr>
          <w:b/>
          <w:bCs/>
          <w:lang w:val="en-US"/>
        </w:rPr>
        <w:t>. The other two</w:t>
      </w:r>
      <w:r w:rsidR="00C44670">
        <w:rPr>
          <w:b/>
          <w:bCs/>
          <w:lang w:val="en-US"/>
        </w:rPr>
        <w:t xml:space="preserve"> power ratio values</w:t>
      </w:r>
      <w:r w:rsidR="00426BFA">
        <w:rPr>
          <w:b/>
          <w:bCs/>
          <w:lang w:val="en-US"/>
        </w:rPr>
        <w:t xml:space="preserve"> </w:t>
      </w:r>
      <w:r w:rsidR="00D57FC7" w:rsidRPr="00426BFA">
        <w:rPr>
          <w:b/>
          <w:bCs/>
          <w:lang w:val="en-US"/>
        </w:rPr>
        <w:t>can be determined by the UE</w:t>
      </w:r>
      <w:r w:rsidR="00426BFA">
        <w:rPr>
          <w:b/>
          <w:bCs/>
          <w:lang w:val="en-US"/>
        </w:rPr>
        <w:t>.</w:t>
      </w:r>
      <w:r w:rsidR="00D57FC7" w:rsidRPr="00426BFA">
        <w:rPr>
          <w:b/>
          <w:bCs/>
          <w:lang w:val="en-US"/>
        </w:rPr>
        <w:t xml:space="preserve"> </w:t>
      </w:r>
      <w:r w:rsidR="00D57FC7">
        <w:rPr>
          <w:b/>
          <w:bCs/>
          <w:lang w:val="en-US"/>
        </w:rPr>
        <w:t xml:space="preserve"> </w:t>
      </w:r>
    </w:p>
    <w:p w14:paraId="1E4C17F3" w14:textId="45F2C61F" w:rsidR="00FD56D1" w:rsidRPr="00DE5B89" w:rsidRDefault="00BE46F6" w:rsidP="00FD56D1">
      <w:pPr>
        <w:pStyle w:val="Heading1"/>
        <w:tabs>
          <w:tab w:val="clear" w:pos="1134"/>
          <w:tab w:val="num" w:pos="709"/>
        </w:tabs>
        <w:ind w:left="709" w:hanging="709"/>
        <w:rPr>
          <w:lang w:val="en-US"/>
        </w:rPr>
      </w:pPr>
      <w:r>
        <w:rPr>
          <w:lang w:val="en-US"/>
        </w:rPr>
        <w:t>DCI Design</w:t>
      </w:r>
    </w:p>
    <w:p w14:paraId="049E34E4" w14:textId="4FAC7FF4" w:rsidR="00BE46F6" w:rsidRDefault="00BE46F6" w:rsidP="00BE46F6">
      <w:pPr>
        <w:jc w:val="both"/>
        <w:rPr>
          <w:lang w:val="en-US"/>
        </w:rPr>
      </w:pPr>
      <w:r>
        <w:rPr>
          <w:lang w:val="en-US"/>
        </w:rPr>
        <w:t xml:space="preserve">In DCI format N0/N1, the MCS field has 4 bits and the repetition field also has </w:t>
      </w:r>
      <w:r w:rsidR="004D6A3B">
        <w:rPr>
          <w:lang w:val="en-US"/>
        </w:rPr>
        <w:t xml:space="preserve">3 or </w:t>
      </w:r>
      <w:r>
        <w:rPr>
          <w:lang w:val="en-US"/>
        </w:rPr>
        <w:t xml:space="preserve">4 bits. With the introduction of I_TBS values of 14 to 21, we would need the MCS field to support 22 values (i.e. using 5 bits). However, since it has been agreed not to support repetition for 16-QAM, </w:t>
      </w:r>
      <w:r w:rsidR="004D6A3B">
        <w:rPr>
          <w:lang w:val="en-US"/>
        </w:rPr>
        <w:t>it would be possible to reuse the repetition field to extend the MCS range</w:t>
      </w:r>
      <w:r>
        <w:rPr>
          <w:lang w:val="en-US"/>
        </w:rPr>
        <w:t>. Therefore, 16-QAM can be supported without increasing the DCI size.</w:t>
      </w:r>
    </w:p>
    <w:p w14:paraId="445FC4A0" w14:textId="4F7C42CC" w:rsidR="00BE46F6" w:rsidRDefault="00BE46F6" w:rsidP="00BE46F6">
      <w:pPr>
        <w:jc w:val="both"/>
        <w:rPr>
          <w:b/>
          <w:bCs/>
          <w:noProof/>
          <w:lang w:val="en-US" w:eastAsia="en-GB"/>
        </w:rPr>
      </w:pPr>
      <w:r>
        <w:rPr>
          <w:b/>
          <w:bCs/>
          <w:noProof/>
          <w:lang w:val="en-US" w:eastAsia="en-GB"/>
        </w:rPr>
        <w:t xml:space="preserve">Proposal </w:t>
      </w:r>
      <w:r w:rsidR="001D40FF">
        <w:rPr>
          <w:b/>
          <w:bCs/>
          <w:noProof/>
          <w:lang w:val="en-US" w:eastAsia="en-GB"/>
        </w:rPr>
        <w:t>7</w:t>
      </w:r>
      <w:r>
        <w:rPr>
          <w:b/>
          <w:bCs/>
          <w:noProof/>
          <w:lang w:val="en-US" w:eastAsia="en-GB"/>
        </w:rPr>
        <w:t>: The DCI size is not increased for 16-QAM support.</w:t>
      </w:r>
    </w:p>
    <w:p w14:paraId="57A8E4C2" w14:textId="7F5C9F1D" w:rsidR="00272B29" w:rsidRDefault="00BE46F6" w:rsidP="00BE46F6">
      <w:pPr>
        <w:jc w:val="both"/>
        <w:rPr>
          <w:noProof/>
          <w:lang w:val="en-US" w:eastAsia="en-GB"/>
        </w:rPr>
      </w:pPr>
      <w:r>
        <w:rPr>
          <w:lang w:val="en-US"/>
        </w:rPr>
        <w:t>The original MCS + repetition field requires</w:t>
      </w:r>
      <w:r w:rsidR="00583417">
        <w:rPr>
          <w:lang w:val="en-US"/>
        </w:rPr>
        <w:t xml:space="preserve"> 112 </w:t>
      </w:r>
      <w:r w:rsidR="00A76971">
        <w:rPr>
          <w:lang w:val="en-US"/>
        </w:rPr>
        <w:t>combinations for N0</w:t>
      </w:r>
      <w:r w:rsidR="00583417">
        <w:rPr>
          <w:lang w:val="en-US"/>
        </w:rPr>
        <w:t xml:space="preserve"> and 224 combinations for N1</w:t>
      </w:r>
      <w:r>
        <w:rPr>
          <w:lang w:val="en-US"/>
        </w:rPr>
        <w:t xml:space="preserve">. The addition of 8 TBS values requires 8 more combinations. This requires </w:t>
      </w:r>
      <w:r w:rsidR="00583417">
        <w:rPr>
          <w:lang w:val="en-US"/>
        </w:rPr>
        <w:t>either 7 or 8</w:t>
      </w:r>
      <w:r>
        <w:rPr>
          <w:lang w:val="en-US"/>
        </w:rPr>
        <w:t xml:space="preserve"> bits to cover all the combinations, using joint encoding of the MCS and repetition fields. Alternately, t</w:t>
      </w:r>
      <w:r>
        <w:rPr>
          <w:noProof/>
          <w:lang w:val="en-US" w:eastAsia="en-GB"/>
        </w:rPr>
        <w:t xml:space="preserve">he MCS field can then be increased from 4 to 5 </w:t>
      </w:r>
      <w:r w:rsidR="00BE3E1B">
        <w:rPr>
          <w:noProof/>
          <w:lang w:val="en-US" w:eastAsia="en-GB"/>
        </w:rPr>
        <w:t xml:space="preserve">bits and </w:t>
      </w:r>
      <w:r w:rsidR="00797C70">
        <w:rPr>
          <w:noProof/>
          <w:lang w:val="en-US" w:eastAsia="en-GB"/>
        </w:rPr>
        <w:t>the number of bits for the repetition field can be reduced</w:t>
      </w:r>
      <w:r>
        <w:rPr>
          <w:noProof/>
          <w:lang w:val="en-US" w:eastAsia="en-GB"/>
        </w:rPr>
        <w:t>. The issue is whether we need to support all the existing MCS + repetition combinations when the UE is configured with 16-QAM. Eventhough 16-QAM would only be enabled for UE in good channel condition</w:t>
      </w:r>
      <w:r w:rsidR="008D6F87">
        <w:rPr>
          <w:noProof/>
          <w:lang w:val="en-US" w:eastAsia="en-GB"/>
        </w:rPr>
        <w:t xml:space="preserve"> (e.g. UE should not be configured if 16-QAM if it requires repetition)</w:t>
      </w:r>
      <w:r>
        <w:rPr>
          <w:noProof/>
          <w:lang w:val="en-US" w:eastAsia="en-GB"/>
        </w:rPr>
        <w:t xml:space="preserve">, generally it is preferred that </w:t>
      </w:r>
      <w:r w:rsidR="003928CF">
        <w:rPr>
          <w:noProof/>
          <w:lang w:val="en-US" w:eastAsia="en-GB"/>
        </w:rPr>
        <w:t xml:space="preserve">some or </w:t>
      </w:r>
      <w:r>
        <w:rPr>
          <w:noProof/>
          <w:lang w:val="en-US" w:eastAsia="en-GB"/>
        </w:rPr>
        <w:t xml:space="preserve">all </w:t>
      </w:r>
      <w:r w:rsidR="003928CF">
        <w:rPr>
          <w:noProof/>
          <w:lang w:val="en-US" w:eastAsia="en-GB"/>
        </w:rPr>
        <w:t xml:space="preserve">of the </w:t>
      </w:r>
      <w:r>
        <w:rPr>
          <w:noProof/>
          <w:lang w:val="en-US" w:eastAsia="en-GB"/>
        </w:rPr>
        <w:t>existing MCS + repetition combinations can be supported (e.g. in case of fallback)</w:t>
      </w:r>
      <w:r w:rsidR="00272B29">
        <w:rPr>
          <w:noProof/>
          <w:lang w:val="en-US" w:eastAsia="en-GB"/>
        </w:rPr>
        <w:t xml:space="preserve"> if it can be done in </w:t>
      </w:r>
      <w:r w:rsidR="00F84D89">
        <w:rPr>
          <w:noProof/>
          <w:lang w:val="en-US" w:eastAsia="en-GB"/>
        </w:rPr>
        <w:t>a simple way</w:t>
      </w:r>
      <w:r>
        <w:rPr>
          <w:noProof/>
          <w:lang w:val="en-US" w:eastAsia="en-GB"/>
        </w:rPr>
        <w:t xml:space="preserve">. </w:t>
      </w:r>
    </w:p>
    <w:p w14:paraId="7971142D" w14:textId="59F242B2" w:rsidR="00A82F41" w:rsidRDefault="00A82F41" w:rsidP="00BE46F6">
      <w:pPr>
        <w:jc w:val="both"/>
        <w:rPr>
          <w:noProof/>
          <w:lang w:val="en-US" w:eastAsia="en-GB"/>
        </w:rPr>
      </w:pPr>
      <w:r>
        <w:rPr>
          <w:noProof/>
          <w:lang w:val="en-US" w:eastAsia="en-GB"/>
        </w:rPr>
        <w:t xml:space="preserve">From a DCI design perspective, </w:t>
      </w:r>
      <w:r w:rsidR="009315B7">
        <w:rPr>
          <w:noProof/>
          <w:lang w:val="en-US" w:eastAsia="en-GB"/>
        </w:rPr>
        <w:t>several</w:t>
      </w:r>
      <w:r>
        <w:rPr>
          <w:noProof/>
          <w:lang w:val="en-US" w:eastAsia="en-GB"/>
        </w:rPr>
        <w:t xml:space="preserve"> options are possible –</w:t>
      </w:r>
    </w:p>
    <w:p w14:paraId="7C2827CD" w14:textId="28DD6372" w:rsidR="00E72A6D" w:rsidRPr="007C7908" w:rsidRDefault="00E72A6D" w:rsidP="00E72A6D">
      <w:pPr>
        <w:numPr>
          <w:ilvl w:val="0"/>
          <w:numId w:val="23"/>
        </w:numPr>
        <w:ind w:left="567" w:hanging="207"/>
        <w:jc w:val="both"/>
        <w:rPr>
          <w:bCs/>
          <w:noProof/>
          <w:lang w:val="en-US" w:eastAsia="en-GB"/>
        </w:rPr>
      </w:pPr>
      <w:r>
        <w:rPr>
          <w:lang w:eastAsia="zh-CN"/>
        </w:rPr>
        <w:t>The MCS field is increased from 4 to 5 bits, while the repetition field is reduced by 1 bit. This would reduce the number of supported repetitions when 16-QAM is configured. If we simply eliminate the higher repetition values, for NPDSCH up to 128 repetitions can be supported while for NPUSCH up to 8 repetitions can be supported. Alternately, a subset of the repetitions can be selected (e.g. for NPUSCH, instead of supporting {1,2,4,8,16,32,64,128} we can support {1,2,8,16}). However, this option does not allow all existing MCS + repetition combinations to be scheduled to the UE.</w:t>
      </w:r>
    </w:p>
    <w:p w14:paraId="5C00A531" w14:textId="5FF52AF2" w:rsidR="00A82F41" w:rsidRPr="00732D3E" w:rsidRDefault="00A82F41" w:rsidP="00A82F41">
      <w:pPr>
        <w:numPr>
          <w:ilvl w:val="0"/>
          <w:numId w:val="23"/>
        </w:numPr>
        <w:ind w:left="567" w:hanging="207"/>
        <w:jc w:val="both"/>
        <w:rPr>
          <w:bCs/>
          <w:noProof/>
          <w:lang w:val="en-US" w:eastAsia="en-GB"/>
        </w:rPr>
      </w:pPr>
      <w:r w:rsidRPr="00A82F41">
        <w:rPr>
          <w:noProof/>
          <w:lang w:val="en-US" w:eastAsia="en-GB"/>
        </w:rPr>
        <w:t xml:space="preserve">The MCS + repetition </w:t>
      </w:r>
      <w:r>
        <w:rPr>
          <w:noProof/>
          <w:lang w:val="en-US" w:eastAsia="en-GB"/>
        </w:rPr>
        <w:t>fields</w:t>
      </w:r>
      <w:r w:rsidRPr="00A82F41">
        <w:rPr>
          <w:noProof/>
          <w:lang w:val="en-US" w:eastAsia="en-GB"/>
        </w:rPr>
        <w:t xml:space="preserve"> (</w:t>
      </w:r>
      <w:r>
        <w:rPr>
          <w:noProof/>
          <w:lang w:val="en-US" w:eastAsia="en-GB"/>
        </w:rPr>
        <w:t xml:space="preserve">total of </w:t>
      </w:r>
      <w:r w:rsidRPr="00A82F41">
        <w:rPr>
          <w:noProof/>
          <w:lang w:val="en-US" w:eastAsia="en-GB"/>
        </w:rPr>
        <w:t xml:space="preserve">8 </w:t>
      </w:r>
      <w:r>
        <w:rPr>
          <w:noProof/>
          <w:lang w:val="en-US" w:eastAsia="en-GB"/>
        </w:rPr>
        <w:t xml:space="preserve">bits </w:t>
      </w:r>
      <w:r w:rsidRPr="00A82F41">
        <w:rPr>
          <w:noProof/>
          <w:lang w:val="en-US" w:eastAsia="en-GB"/>
        </w:rPr>
        <w:t xml:space="preserve">for N0 and 7 </w:t>
      </w:r>
      <w:r>
        <w:rPr>
          <w:noProof/>
          <w:lang w:val="en-US" w:eastAsia="en-GB"/>
        </w:rPr>
        <w:t xml:space="preserve">bits </w:t>
      </w:r>
      <w:r w:rsidRPr="00A82F41">
        <w:rPr>
          <w:noProof/>
          <w:lang w:val="en-US" w:eastAsia="en-GB"/>
        </w:rPr>
        <w:t>for N1) are used to jointly indicate MCS + repetition configuration when UE is configured with 16-QAM</w:t>
      </w:r>
      <w:r>
        <w:rPr>
          <w:noProof/>
          <w:lang w:val="en-US" w:eastAsia="en-GB"/>
        </w:rPr>
        <w:t>.</w:t>
      </w:r>
      <w:r w:rsidR="00927053">
        <w:rPr>
          <w:lang w:eastAsia="zh-CN"/>
        </w:rPr>
        <w:t xml:space="preserve"> In this case, we can cover all existing QPSK and repetition scheduling configurations. However, joint coding would make it more complicated in term of signalling at the eNB and determination at the UE.</w:t>
      </w:r>
      <w:r w:rsidR="00E72A6D">
        <w:rPr>
          <w:lang w:eastAsia="zh-CN"/>
        </w:rPr>
        <w:t xml:space="preserve"> For instance, a large table or complicated decoding rules may be needed to be defined in the specifications.</w:t>
      </w:r>
    </w:p>
    <w:p w14:paraId="0EC98B23" w14:textId="4DF83429" w:rsidR="005D40A3" w:rsidRDefault="005D40A3" w:rsidP="00A82F41">
      <w:pPr>
        <w:numPr>
          <w:ilvl w:val="0"/>
          <w:numId w:val="23"/>
        </w:numPr>
        <w:ind w:left="567" w:hanging="207"/>
        <w:jc w:val="both"/>
        <w:rPr>
          <w:bCs/>
          <w:noProof/>
          <w:lang w:val="en-US" w:eastAsia="en-GB"/>
        </w:rPr>
      </w:pPr>
      <w:r>
        <w:rPr>
          <w:bCs/>
          <w:noProof/>
          <w:lang w:val="en-US" w:eastAsia="en-GB"/>
        </w:rPr>
        <w:t>In case NPDCCH repetition is 1, one bit from NPDSCH/NPUSCH can be used together with the existing MCS bits to indicate the larger MCS table. However, this would mean that NPDSCH/NPUSCH repetition cannot be used if NPDCCH repetition is not used. This option is not preferred as it limits the scheduling flexibility for the data channels.</w:t>
      </w:r>
    </w:p>
    <w:p w14:paraId="6007E714" w14:textId="4B1C111E" w:rsidR="007C7908" w:rsidRDefault="00E72A6D" w:rsidP="00A82F41">
      <w:pPr>
        <w:numPr>
          <w:ilvl w:val="0"/>
          <w:numId w:val="23"/>
        </w:numPr>
        <w:ind w:left="567" w:hanging="207"/>
        <w:jc w:val="both"/>
        <w:rPr>
          <w:bCs/>
          <w:noProof/>
          <w:lang w:val="en-US" w:eastAsia="en-GB"/>
        </w:rPr>
      </w:pPr>
      <w:r>
        <w:rPr>
          <w:bCs/>
          <w:noProof/>
          <w:lang w:val="en-US" w:eastAsia="en-GB"/>
        </w:rPr>
        <w:t>Instead of using joint coding, t</w:t>
      </w:r>
      <w:r w:rsidR="007C7908" w:rsidRPr="007C7908">
        <w:rPr>
          <w:bCs/>
          <w:noProof/>
          <w:lang w:val="en-US" w:eastAsia="en-GB"/>
        </w:rPr>
        <w:t xml:space="preserve">he MCS table </w:t>
      </w:r>
      <w:r>
        <w:rPr>
          <w:bCs/>
          <w:noProof/>
          <w:lang w:val="en-US" w:eastAsia="en-GB"/>
        </w:rPr>
        <w:t>can</w:t>
      </w:r>
      <w:r w:rsidR="007C7908" w:rsidRPr="007C7908">
        <w:rPr>
          <w:bCs/>
          <w:noProof/>
          <w:lang w:val="en-US" w:eastAsia="en-GB"/>
        </w:rPr>
        <w:t xml:space="preserve"> be extended by using the </w:t>
      </w:r>
      <w:r w:rsidR="008C6F14">
        <w:rPr>
          <w:bCs/>
          <w:noProof/>
          <w:lang w:val="en-US" w:eastAsia="en-GB"/>
        </w:rPr>
        <w:t>repetition</w:t>
      </w:r>
      <w:r w:rsidR="007C7908" w:rsidRPr="007C7908">
        <w:rPr>
          <w:bCs/>
          <w:noProof/>
          <w:lang w:val="en-US" w:eastAsia="en-GB"/>
        </w:rPr>
        <w:t xml:space="preserve"> field in DCI.</w:t>
      </w:r>
      <w:r>
        <w:rPr>
          <w:bCs/>
          <w:noProof/>
          <w:lang w:val="en-US" w:eastAsia="en-GB"/>
        </w:rPr>
        <w:t xml:space="preserve"> </w:t>
      </w:r>
      <w:r w:rsidR="007C7908" w:rsidRPr="007C7908">
        <w:rPr>
          <w:bCs/>
          <w:noProof/>
          <w:lang w:val="en-US" w:eastAsia="en-GB"/>
        </w:rPr>
        <w:t>An unused state in the MCS table</w:t>
      </w:r>
      <w:r w:rsidR="00AB7790">
        <w:rPr>
          <w:bCs/>
          <w:noProof/>
          <w:lang w:val="en-US" w:eastAsia="en-GB"/>
        </w:rPr>
        <w:t xml:space="preserve"> (e..g MCS = ‘1110’)</w:t>
      </w:r>
      <w:r w:rsidR="007C7908" w:rsidRPr="007C7908">
        <w:rPr>
          <w:bCs/>
          <w:noProof/>
          <w:lang w:val="en-US" w:eastAsia="en-GB"/>
        </w:rPr>
        <w:t xml:space="preserve"> will indicate to the UE </w:t>
      </w:r>
      <w:r w:rsidR="00AB7790">
        <w:rPr>
          <w:bCs/>
          <w:noProof/>
          <w:lang w:val="en-US" w:eastAsia="en-GB"/>
        </w:rPr>
        <w:t xml:space="preserve">that it is being scheduled using 16-QAM with no repetition, and </w:t>
      </w:r>
      <w:r w:rsidR="007C7908" w:rsidRPr="007C7908">
        <w:rPr>
          <w:bCs/>
          <w:noProof/>
          <w:lang w:val="en-US" w:eastAsia="en-GB"/>
        </w:rPr>
        <w:t xml:space="preserve">to use the extended MCS table. </w:t>
      </w:r>
      <w:r w:rsidR="00AB7790">
        <w:rPr>
          <w:bCs/>
          <w:noProof/>
          <w:lang w:val="en-US" w:eastAsia="en-GB"/>
        </w:rPr>
        <w:t>The extended</w:t>
      </w:r>
      <w:r w:rsidR="004C07A5">
        <w:rPr>
          <w:bCs/>
          <w:noProof/>
          <w:lang w:val="en-US" w:eastAsia="en-GB"/>
        </w:rPr>
        <w:t xml:space="preserve"> table can be defined using the repetition field. An example of the extension is shown below for DCI N0.</w:t>
      </w:r>
      <w:r w:rsidR="00170F1B">
        <w:rPr>
          <w:bCs/>
          <w:noProof/>
          <w:lang w:val="en-US" w:eastAsia="en-GB"/>
        </w:rPr>
        <w:t xml:space="preserve"> </w:t>
      </w:r>
      <w:r w:rsidR="00170F1B" w:rsidRPr="00170F1B">
        <w:rPr>
          <w:bCs/>
          <w:noProof/>
          <w:lang w:val="en-US" w:eastAsia="en-GB"/>
        </w:rPr>
        <w:t xml:space="preserve">Note that with this method, there is no change in how the UE would interpret the DCI when </w:t>
      </w:r>
      <w:r w:rsidR="00170F1B">
        <w:rPr>
          <w:bCs/>
          <w:noProof/>
          <w:lang w:val="en-US" w:eastAsia="en-GB"/>
        </w:rPr>
        <w:t>MCS field</w:t>
      </w:r>
      <w:r w:rsidR="00170F1B" w:rsidRPr="00170F1B">
        <w:rPr>
          <w:bCs/>
          <w:noProof/>
          <w:lang w:val="en-US" w:eastAsia="en-GB"/>
        </w:rPr>
        <w:t xml:space="preserve"> indicates a value between 0-13, so this is fully backward compatible with pre-Rel-17 UE implementation.</w:t>
      </w:r>
    </w:p>
    <w:tbl>
      <w:tblPr>
        <w:tblStyle w:val="TableGrid"/>
        <w:tblW w:w="0" w:type="auto"/>
        <w:jc w:val="center"/>
        <w:tblLook w:val="04A0" w:firstRow="1" w:lastRow="0" w:firstColumn="1" w:lastColumn="0" w:noHBand="0" w:noVBand="1"/>
      </w:tblPr>
      <w:tblGrid>
        <w:gridCol w:w="1842"/>
        <w:gridCol w:w="1560"/>
      </w:tblGrid>
      <w:tr w:rsidR="004C07A5" w14:paraId="6CE2979C" w14:textId="77777777" w:rsidTr="008366D6">
        <w:trPr>
          <w:trHeight w:val="403"/>
          <w:jc w:val="center"/>
        </w:trPr>
        <w:tc>
          <w:tcPr>
            <w:tcW w:w="1842" w:type="dxa"/>
            <w:shd w:val="clear" w:color="auto" w:fill="D9D9D9" w:themeFill="background1" w:themeFillShade="D9"/>
            <w:vAlign w:val="center"/>
          </w:tcPr>
          <w:p w14:paraId="0982CA10" w14:textId="77777777" w:rsidR="004C07A5" w:rsidRPr="004C07A5" w:rsidRDefault="004C07A5" w:rsidP="00CB3D2D">
            <w:pPr>
              <w:pStyle w:val="ListParagraph"/>
              <w:ind w:left="0"/>
              <w:jc w:val="center"/>
              <w:rPr>
                <w:rFonts w:cs="Arial"/>
                <w:szCs w:val="22"/>
              </w:rPr>
            </w:pPr>
            <w:r w:rsidRPr="004C07A5">
              <w:rPr>
                <w:rFonts w:cs="Arial"/>
                <w:szCs w:val="22"/>
              </w:rPr>
              <w:t>Repetition number field</w:t>
            </w:r>
          </w:p>
        </w:tc>
        <w:tc>
          <w:tcPr>
            <w:tcW w:w="1560" w:type="dxa"/>
            <w:shd w:val="clear" w:color="auto" w:fill="D9D9D9" w:themeFill="background1" w:themeFillShade="D9"/>
            <w:vAlign w:val="center"/>
          </w:tcPr>
          <w:p w14:paraId="798E8DCB" w14:textId="77777777" w:rsidR="004C07A5" w:rsidRPr="004C07A5" w:rsidRDefault="004C07A5" w:rsidP="004C07A5">
            <w:pPr>
              <w:pStyle w:val="ListParagraph"/>
              <w:spacing w:after="0"/>
              <w:ind w:left="0"/>
              <w:jc w:val="center"/>
              <w:rPr>
                <w:rFonts w:cs="Arial"/>
                <w:szCs w:val="22"/>
              </w:rPr>
            </w:pPr>
            <w:r w:rsidRPr="004C07A5">
              <w:rPr>
                <w:rFonts w:cs="Arial"/>
                <w:szCs w:val="22"/>
              </w:rPr>
              <w:t>I_MCS</w:t>
            </w:r>
          </w:p>
        </w:tc>
      </w:tr>
      <w:tr w:rsidR="004C07A5" w14:paraId="02FAD205" w14:textId="77777777" w:rsidTr="008366D6">
        <w:trPr>
          <w:jc w:val="center"/>
        </w:trPr>
        <w:tc>
          <w:tcPr>
            <w:tcW w:w="1842" w:type="dxa"/>
            <w:vAlign w:val="center"/>
          </w:tcPr>
          <w:p w14:paraId="4BDF270B" w14:textId="77777777" w:rsidR="004C07A5" w:rsidRPr="004C07A5" w:rsidRDefault="004C07A5" w:rsidP="00CB3D2D">
            <w:pPr>
              <w:pStyle w:val="ListParagraph"/>
              <w:ind w:left="0"/>
              <w:jc w:val="center"/>
              <w:rPr>
                <w:rFonts w:cs="Arial"/>
                <w:szCs w:val="22"/>
              </w:rPr>
            </w:pPr>
            <w:r w:rsidRPr="004C07A5">
              <w:rPr>
                <w:rFonts w:cs="Arial"/>
                <w:szCs w:val="22"/>
              </w:rPr>
              <w:t>000</w:t>
            </w:r>
          </w:p>
        </w:tc>
        <w:tc>
          <w:tcPr>
            <w:tcW w:w="1560" w:type="dxa"/>
            <w:vAlign w:val="center"/>
          </w:tcPr>
          <w:p w14:paraId="4AE9B613" w14:textId="77777777" w:rsidR="004C07A5" w:rsidRPr="004C07A5" w:rsidRDefault="004C07A5" w:rsidP="004C07A5">
            <w:pPr>
              <w:pStyle w:val="ListParagraph"/>
              <w:spacing w:after="0"/>
              <w:ind w:left="0"/>
              <w:jc w:val="center"/>
              <w:rPr>
                <w:rFonts w:cs="Arial"/>
                <w:szCs w:val="22"/>
              </w:rPr>
            </w:pPr>
            <w:r w:rsidRPr="004C07A5">
              <w:rPr>
                <w:rFonts w:cs="Arial"/>
                <w:szCs w:val="22"/>
              </w:rPr>
              <w:t>14</w:t>
            </w:r>
          </w:p>
        </w:tc>
      </w:tr>
      <w:tr w:rsidR="004C07A5" w14:paraId="04D329D7" w14:textId="77777777" w:rsidTr="008366D6">
        <w:trPr>
          <w:jc w:val="center"/>
        </w:trPr>
        <w:tc>
          <w:tcPr>
            <w:tcW w:w="1842" w:type="dxa"/>
            <w:vAlign w:val="center"/>
          </w:tcPr>
          <w:p w14:paraId="6B57B87F" w14:textId="77777777" w:rsidR="004C07A5" w:rsidRPr="004C07A5" w:rsidRDefault="004C07A5" w:rsidP="00CB3D2D">
            <w:pPr>
              <w:pStyle w:val="ListParagraph"/>
              <w:ind w:left="0"/>
              <w:jc w:val="center"/>
              <w:rPr>
                <w:rFonts w:cs="Arial"/>
                <w:szCs w:val="22"/>
              </w:rPr>
            </w:pPr>
            <w:r w:rsidRPr="004C07A5">
              <w:rPr>
                <w:rFonts w:cs="Arial"/>
                <w:szCs w:val="22"/>
              </w:rPr>
              <w:t>001</w:t>
            </w:r>
          </w:p>
        </w:tc>
        <w:tc>
          <w:tcPr>
            <w:tcW w:w="1560" w:type="dxa"/>
            <w:vAlign w:val="center"/>
          </w:tcPr>
          <w:p w14:paraId="1F4DC033" w14:textId="77777777" w:rsidR="004C07A5" w:rsidRPr="004C07A5" w:rsidRDefault="004C07A5" w:rsidP="004C07A5">
            <w:pPr>
              <w:pStyle w:val="ListParagraph"/>
              <w:spacing w:after="0"/>
              <w:ind w:left="0"/>
              <w:jc w:val="center"/>
              <w:rPr>
                <w:rFonts w:cs="Arial"/>
                <w:szCs w:val="22"/>
              </w:rPr>
            </w:pPr>
            <w:r w:rsidRPr="004C07A5">
              <w:rPr>
                <w:rFonts w:cs="Arial"/>
                <w:szCs w:val="22"/>
              </w:rPr>
              <w:t>15</w:t>
            </w:r>
          </w:p>
        </w:tc>
      </w:tr>
      <w:tr w:rsidR="004C07A5" w14:paraId="3ED30BE1" w14:textId="77777777" w:rsidTr="008366D6">
        <w:trPr>
          <w:jc w:val="center"/>
        </w:trPr>
        <w:tc>
          <w:tcPr>
            <w:tcW w:w="1842" w:type="dxa"/>
            <w:vAlign w:val="center"/>
          </w:tcPr>
          <w:p w14:paraId="33F8D142" w14:textId="77777777" w:rsidR="004C07A5" w:rsidRPr="004C07A5" w:rsidRDefault="004C07A5" w:rsidP="00CB3D2D">
            <w:pPr>
              <w:pStyle w:val="ListParagraph"/>
              <w:ind w:left="0"/>
              <w:jc w:val="center"/>
              <w:rPr>
                <w:rFonts w:cs="Arial"/>
                <w:szCs w:val="22"/>
              </w:rPr>
            </w:pPr>
            <w:r w:rsidRPr="004C07A5">
              <w:rPr>
                <w:rFonts w:cs="Arial"/>
                <w:szCs w:val="22"/>
              </w:rPr>
              <w:t>010</w:t>
            </w:r>
          </w:p>
        </w:tc>
        <w:tc>
          <w:tcPr>
            <w:tcW w:w="1560" w:type="dxa"/>
            <w:vAlign w:val="center"/>
          </w:tcPr>
          <w:p w14:paraId="6B8094A2" w14:textId="77777777" w:rsidR="004C07A5" w:rsidRPr="004C07A5" w:rsidRDefault="004C07A5" w:rsidP="004C07A5">
            <w:pPr>
              <w:pStyle w:val="ListParagraph"/>
              <w:spacing w:after="0"/>
              <w:ind w:left="0"/>
              <w:jc w:val="center"/>
              <w:rPr>
                <w:rFonts w:cs="Arial"/>
                <w:szCs w:val="22"/>
              </w:rPr>
            </w:pPr>
            <w:r w:rsidRPr="004C07A5">
              <w:rPr>
                <w:rFonts w:cs="Arial"/>
                <w:szCs w:val="22"/>
              </w:rPr>
              <w:t>16</w:t>
            </w:r>
          </w:p>
        </w:tc>
      </w:tr>
      <w:tr w:rsidR="004C07A5" w14:paraId="364DA8E3" w14:textId="77777777" w:rsidTr="008366D6">
        <w:trPr>
          <w:jc w:val="center"/>
        </w:trPr>
        <w:tc>
          <w:tcPr>
            <w:tcW w:w="1842" w:type="dxa"/>
            <w:vAlign w:val="center"/>
          </w:tcPr>
          <w:p w14:paraId="417B887C" w14:textId="77777777" w:rsidR="004C07A5" w:rsidRPr="004C07A5" w:rsidRDefault="004C07A5" w:rsidP="00CB3D2D">
            <w:pPr>
              <w:pStyle w:val="ListParagraph"/>
              <w:ind w:left="0"/>
              <w:jc w:val="center"/>
              <w:rPr>
                <w:rFonts w:cs="Arial"/>
                <w:szCs w:val="22"/>
              </w:rPr>
            </w:pPr>
            <w:r w:rsidRPr="004C07A5">
              <w:rPr>
                <w:rFonts w:cs="Arial"/>
                <w:szCs w:val="22"/>
              </w:rPr>
              <w:t>011</w:t>
            </w:r>
          </w:p>
        </w:tc>
        <w:tc>
          <w:tcPr>
            <w:tcW w:w="1560" w:type="dxa"/>
            <w:vAlign w:val="center"/>
          </w:tcPr>
          <w:p w14:paraId="3B2FDD68" w14:textId="77777777" w:rsidR="004C07A5" w:rsidRPr="004C07A5" w:rsidRDefault="004C07A5" w:rsidP="004C07A5">
            <w:pPr>
              <w:pStyle w:val="ListParagraph"/>
              <w:spacing w:after="0"/>
              <w:ind w:left="0"/>
              <w:jc w:val="center"/>
              <w:rPr>
                <w:rFonts w:cs="Arial"/>
                <w:szCs w:val="22"/>
              </w:rPr>
            </w:pPr>
            <w:r w:rsidRPr="004C07A5">
              <w:rPr>
                <w:rFonts w:cs="Arial"/>
                <w:szCs w:val="22"/>
              </w:rPr>
              <w:t>17</w:t>
            </w:r>
          </w:p>
        </w:tc>
      </w:tr>
      <w:tr w:rsidR="004C07A5" w14:paraId="08614421" w14:textId="77777777" w:rsidTr="008366D6">
        <w:trPr>
          <w:jc w:val="center"/>
        </w:trPr>
        <w:tc>
          <w:tcPr>
            <w:tcW w:w="1842" w:type="dxa"/>
            <w:vAlign w:val="center"/>
          </w:tcPr>
          <w:p w14:paraId="5C54D897" w14:textId="77777777" w:rsidR="004C07A5" w:rsidRPr="004C07A5" w:rsidRDefault="004C07A5" w:rsidP="00CB3D2D">
            <w:pPr>
              <w:pStyle w:val="ListParagraph"/>
              <w:ind w:left="0"/>
              <w:jc w:val="center"/>
              <w:rPr>
                <w:rFonts w:cs="Arial"/>
                <w:szCs w:val="22"/>
              </w:rPr>
            </w:pPr>
            <w:r w:rsidRPr="004C07A5">
              <w:rPr>
                <w:rFonts w:cs="Arial"/>
                <w:szCs w:val="22"/>
              </w:rPr>
              <w:t>100</w:t>
            </w:r>
          </w:p>
        </w:tc>
        <w:tc>
          <w:tcPr>
            <w:tcW w:w="1560" w:type="dxa"/>
            <w:vAlign w:val="center"/>
          </w:tcPr>
          <w:p w14:paraId="3E0607AD" w14:textId="77777777" w:rsidR="004C07A5" w:rsidRPr="004C07A5" w:rsidRDefault="004C07A5" w:rsidP="004C07A5">
            <w:pPr>
              <w:pStyle w:val="ListParagraph"/>
              <w:spacing w:after="0"/>
              <w:ind w:left="0"/>
              <w:jc w:val="center"/>
              <w:rPr>
                <w:rFonts w:cs="Arial"/>
                <w:szCs w:val="22"/>
              </w:rPr>
            </w:pPr>
            <w:r w:rsidRPr="004C07A5">
              <w:rPr>
                <w:rFonts w:cs="Arial"/>
                <w:szCs w:val="22"/>
              </w:rPr>
              <w:t>18</w:t>
            </w:r>
          </w:p>
        </w:tc>
      </w:tr>
      <w:tr w:rsidR="004C07A5" w14:paraId="47009F56" w14:textId="77777777" w:rsidTr="008366D6">
        <w:trPr>
          <w:jc w:val="center"/>
        </w:trPr>
        <w:tc>
          <w:tcPr>
            <w:tcW w:w="1842" w:type="dxa"/>
            <w:vAlign w:val="center"/>
          </w:tcPr>
          <w:p w14:paraId="167F5605" w14:textId="77777777" w:rsidR="004C07A5" w:rsidRPr="004C07A5" w:rsidRDefault="004C07A5" w:rsidP="00CB3D2D">
            <w:pPr>
              <w:pStyle w:val="ListParagraph"/>
              <w:ind w:left="0"/>
              <w:jc w:val="center"/>
              <w:rPr>
                <w:rFonts w:cs="Arial"/>
                <w:szCs w:val="22"/>
              </w:rPr>
            </w:pPr>
            <w:r w:rsidRPr="004C07A5">
              <w:rPr>
                <w:rFonts w:cs="Arial"/>
                <w:szCs w:val="22"/>
              </w:rPr>
              <w:t>101</w:t>
            </w:r>
          </w:p>
        </w:tc>
        <w:tc>
          <w:tcPr>
            <w:tcW w:w="1560" w:type="dxa"/>
            <w:vAlign w:val="center"/>
          </w:tcPr>
          <w:p w14:paraId="2E13C1DA" w14:textId="77777777" w:rsidR="004C07A5" w:rsidRPr="004C07A5" w:rsidRDefault="004C07A5" w:rsidP="004C07A5">
            <w:pPr>
              <w:pStyle w:val="ListParagraph"/>
              <w:spacing w:after="0"/>
              <w:ind w:left="0"/>
              <w:jc w:val="center"/>
              <w:rPr>
                <w:rFonts w:cs="Arial"/>
                <w:szCs w:val="22"/>
              </w:rPr>
            </w:pPr>
            <w:r w:rsidRPr="004C07A5">
              <w:rPr>
                <w:rFonts w:cs="Arial"/>
                <w:szCs w:val="22"/>
              </w:rPr>
              <w:t>19</w:t>
            </w:r>
          </w:p>
        </w:tc>
      </w:tr>
      <w:tr w:rsidR="004C07A5" w14:paraId="3A77268D" w14:textId="77777777" w:rsidTr="008366D6">
        <w:trPr>
          <w:jc w:val="center"/>
        </w:trPr>
        <w:tc>
          <w:tcPr>
            <w:tcW w:w="1842" w:type="dxa"/>
            <w:vAlign w:val="center"/>
          </w:tcPr>
          <w:p w14:paraId="7DED8998" w14:textId="77777777" w:rsidR="004C07A5" w:rsidRPr="004C07A5" w:rsidRDefault="004C07A5" w:rsidP="00CB3D2D">
            <w:pPr>
              <w:pStyle w:val="ListParagraph"/>
              <w:ind w:left="0"/>
              <w:jc w:val="center"/>
              <w:rPr>
                <w:rFonts w:cs="Arial"/>
                <w:szCs w:val="22"/>
              </w:rPr>
            </w:pPr>
            <w:r w:rsidRPr="004C07A5">
              <w:rPr>
                <w:rFonts w:cs="Arial"/>
                <w:szCs w:val="22"/>
              </w:rPr>
              <w:t>110</w:t>
            </w:r>
          </w:p>
        </w:tc>
        <w:tc>
          <w:tcPr>
            <w:tcW w:w="1560" w:type="dxa"/>
            <w:vAlign w:val="center"/>
          </w:tcPr>
          <w:p w14:paraId="1CC486E1" w14:textId="77777777" w:rsidR="004C07A5" w:rsidRPr="004C07A5" w:rsidRDefault="004C07A5" w:rsidP="004C07A5">
            <w:pPr>
              <w:pStyle w:val="ListParagraph"/>
              <w:spacing w:after="0"/>
              <w:ind w:left="0"/>
              <w:jc w:val="center"/>
              <w:rPr>
                <w:rFonts w:cs="Arial"/>
                <w:szCs w:val="22"/>
              </w:rPr>
            </w:pPr>
            <w:r w:rsidRPr="004C07A5">
              <w:rPr>
                <w:rFonts w:cs="Arial"/>
                <w:szCs w:val="22"/>
              </w:rPr>
              <w:t>20</w:t>
            </w:r>
          </w:p>
        </w:tc>
      </w:tr>
      <w:tr w:rsidR="004C07A5" w14:paraId="2D9875C5" w14:textId="77777777" w:rsidTr="008366D6">
        <w:trPr>
          <w:jc w:val="center"/>
        </w:trPr>
        <w:tc>
          <w:tcPr>
            <w:tcW w:w="1842" w:type="dxa"/>
            <w:vAlign w:val="center"/>
          </w:tcPr>
          <w:p w14:paraId="080ECDA3" w14:textId="77777777" w:rsidR="004C07A5" w:rsidRPr="004C07A5" w:rsidRDefault="004C07A5" w:rsidP="00CB3D2D">
            <w:pPr>
              <w:pStyle w:val="ListParagraph"/>
              <w:ind w:left="0"/>
              <w:jc w:val="center"/>
              <w:rPr>
                <w:rFonts w:cs="Arial"/>
                <w:szCs w:val="22"/>
              </w:rPr>
            </w:pPr>
            <w:r w:rsidRPr="004C07A5">
              <w:rPr>
                <w:rFonts w:cs="Arial"/>
                <w:szCs w:val="22"/>
              </w:rPr>
              <w:t>111</w:t>
            </w:r>
          </w:p>
        </w:tc>
        <w:tc>
          <w:tcPr>
            <w:tcW w:w="1560" w:type="dxa"/>
            <w:vAlign w:val="center"/>
          </w:tcPr>
          <w:p w14:paraId="3AF39499" w14:textId="77777777" w:rsidR="004C07A5" w:rsidRPr="004C07A5" w:rsidRDefault="004C07A5" w:rsidP="004C07A5">
            <w:pPr>
              <w:pStyle w:val="ListParagraph"/>
              <w:spacing w:after="0"/>
              <w:ind w:left="0"/>
              <w:jc w:val="center"/>
              <w:rPr>
                <w:rFonts w:cs="Arial"/>
                <w:szCs w:val="22"/>
              </w:rPr>
            </w:pPr>
            <w:r w:rsidRPr="004C07A5">
              <w:rPr>
                <w:rFonts w:cs="Arial"/>
                <w:szCs w:val="22"/>
              </w:rPr>
              <w:t>21</w:t>
            </w:r>
          </w:p>
        </w:tc>
      </w:tr>
    </w:tbl>
    <w:p w14:paraId="39EA2E7A" w14:textId="4A383C43" w:rsidR="00851C65" w:rsidRDefault="0015185A" w:rsidP="005D40A3">
      <w:pPr>
        <w:spacing w:before="120"/>
        <w:ind w:left="567"/>
        <w:jc w:val="both"/>
        <w:rPr>
          <w:bCs/>
          <w:noProof/>
          <w:lang w:val="en-US" w:eastAsia="en-GB"/>
        </w:rPr>
      </w:pPr>
      <w:r>
        <w:rPr>
          <w:bCs/>
          <w:noProof/>
          <w:lang w:val="en-US" w:eastAsia="en-GB"/>
        </w:rPr>
        <w:t xml:space="preserve">Alternately, </w:t>
      </w:r>
      <w:r w:rsidRPr="0015185A">
        <w:rPr>
          <w:bCs/>
          <w:noProof/>
          <w:lang w:val="en-US" w:eastAsia="en-GB"/>
        </w:rPr>
        <w:t xml:space="preserve">instead of using </w:t>
      </w:r>
      <w:r w:rsidR="008366D6">
        <w:rPr>
          <w:bCs/>
          <w:noProof/>
          <w:lang w:val="en-US" w:eastAsia="en-GB"/>
        </w:rPr>
        <w:t xml:space="preserve">the repetition number field for </w:t>
      </w:r>
      <w:r w:rsidRPr="0015185A">
        <w:rPr>
          <w:bCs/>
          <w:noProof/>
          <w:lang w:val="en-US" w:eastAsia="en-GB"/>
        </w:rPr>
        <w:t>MCS extension, the UE can be configured with two tables – one for QPSK and one for 16-QAM.</w:t>
      </w:r>
      <w:r>
        <w:rPr>
          <w:bCs/>
          <w:noProof/>
          <w:lang w:val="en-US" w:eastAsia="en-GB"/>
        </w:rPr>
        <w:t xml:space="preserve"> UE can first check the QPSK table, and an unused state in the QPSK table can be used to switch the UE to the 16-QAM table. The 16-QAM table can be indicated using the bits that have been reserved for repetition field</w:t>
      </w:r>
      <w:r w:rsidR="009835DA">
        <w:rPr>
          <w:bCs/>
          <w:noProof/>
          <w:lang w:val="en-US" w:eastAsia="en-GB"/>
        </w:rPr>
        <w:t>, hence keeping the DCI size the same as before</w:t>
      </w:r>
      <w:r w:rsidR="00851C65">
        <w:rPr>
          <w:bCs/>
          <w:noProof/>
          <w:lang w:val="en-US" w:eastAsia="en-GB"/>
        </w:rPr>
        <w:t>.</w:t>
      </w:r>
    </w:p>
    <w:p w14:paraId="2C39E13E" w14:textId="083FE7DB" w:rsidR="00851C65" w:rsidRPr="00851C65" w:rsidRDefault="00851C65" w:rsidP="00BE46F6">
      <w:pPr>
        <w:jc w:val="both"/>
        <w:rPr>
          <w:noProof/>
          <w:lang w:val="en-US" w:eastAsia="en-GB"/>
        </w:rPr>
      </w:pPr>
      <w:r w:rsidRPr="00851C65">
        <w:rPr>
          <w:noProof/>
          <w:lang w:val="en-US" w:eastAsia="en-GB"/>
        </w:rPr>
        <w:t>In our view, it should be straightforward to support all existing MCS and repetition combinations when UE is configured with 16-QAM. The details can be FFS</w:t>
      </w:r>
      <w:r>
        <w:rPr>
          <w:noProof/>
          <w:lang w:val="en-US" w:eastAsia="en-GB"/>
        </w:rPr>
        <w:t xml:space="preserve"> but several options are presented above.</w:t>
      </w:r>
    </w:p>
    <w:p w14:paraId="103084BB" w14:textId="15535290" w:rsidR="00BE46F6" w:rsidRDefault="00BE46F6" w:rsidP="00BE46F6">
      <w:pPr>
        <w:jc w:val="both"/>
        <w:rPr>
          <w:b/>
          <w:bCs/>
          <w:noProof/>
          <w:lang w:val="en-US" w:eastAsia="en-GB"/>
        </w:rPr>
      </w:pPr>
      <w:r>
        <w:rPr>
          <w:b/>
          <w:bCs/>
          <w:noProof/>
          <w:lang w:val="en-US" w:eastAsia="en-GB"/>
        </w:rPr>
        <w:t xml:space="preserve">Proposal </w:t>
      </w:r>
      <w:r w:rsidR="001D40FF">
        <w:rPr>
          <w:b/>
          <w:bCs/>
          <w:noProof/>
          <w:lang w:val="en-US" w:eastAsia="en-GB"/>
        </w:rPr>
        <w:t>8</w:t>
      </w:r>
      <w:r>
        <w:rPr>
          <w:b/>
          <w:bCs/>
          <w:noProof/>
          <w:lang w:val="en-US" w:eastAsia="en-GB"/>
        </w:rPr>
        <w:t xml:space="preserve">: </w:t>
      </w:r>
      <w:r w:rsidR="00851C65">
        <w:rPr>
          <w:b/>
          <w:bCs/>
          <w:noProof/>
          <w:lang w:val="en-US" w:eastAsia="en-GB"/>
        </w:rPr>
        <w:t xml:space="preserve">When UE is configured with 16-QAM, </w:t>
      </w:r>
      <w:r w:rsidR="00C67D18">
        <w:rPr>
          <w:b/>
          <w:bCs/>
          <w:noProof/>
          <w:lang w:val="en-US" w:eastAsia="en-GB"/>
        </w:rPr>
        <w:t xml:space="preserve">the </w:t>
      </w:r>
      <w:r w:rsidR="00EE3702">
        <w:rPr>
          <w:b/>
          <w:bCs/>
          <w:noProof/>
          <w:lang w:val="en-US" w:eastAsia="en-GB"/>
        </w:rPr>
        <w:t>DCI should support all existing MCS and repetition combinations</w:t>
      </w:r>
      <w:r>
        <w:rPr>
          <w:b/>
          <w:bCs/>
          <w:noProof/>
          <w:lang w:val="en-US" w:eastAsia="en-GB"/>
        </w:rPr>
        <w:t>.</w:t>
      </w:r>
      <w:r w:rsidR="008266A1">
        <w:rPr>
          <w:b/>
          <w:bCs/>
          <w:noProof/>
          <w:lang w:val="en-US" w:eastAsia="en-GB"/>
        </w:rPr>
        <w:t xml:space="preserve"> FFS details of DCI design.</w:t>
      </w:r>
    </w:p>
    <w:p w14:paraId="01002958" w14:textId="77777777" w:rsidR="000F19F7" w:rsidRPr="00DE5B89" w:rsidRDefault="000F19F7" w:rsidP="000F19F7">
      <w:pPr>
        <w:pStyle w:val="Heading1"/>
        <w:tabs>
          <w:tab w:val="clear" w:pos="1134"/>
          <w:tab w:val="num" w:pos="709"/>
        </w:tabs>
        <w:ind w:left="709" w:hanging="709"/>
        <w:rPr>
          <w:lang w:val="en-US"/>
        </w:rPr>
      </w:pPr>
      <w:r>
        <w:rPr>
          <w:lang w:val="en-US"/>
        </w:rPr>
        <w:t>Others</w:t>
      </w:r>
    </w:p>
    <w:p w14:paraId="79250747" w14:textId="4C94D930" w:rsidR="00806E1F" w:rsidRDefault="000F19F7" w:rsidP="000F19F7">
      <w:pPr>
        <w:jc w:val="both"/>
        <w:rPr>
          <w:lang w:val="en-US"/>
        </w:rPr>
      </w:pPr>
      <w:r>
        <w:rPr>
          <w:lang w:val="en-US"/>
        </w:rPr>
        <w:t>In</w:t>
      </w:r>
      <w:r w:rsidR="00806E1F">
        <w:rPr>
          <w:lang w:val="en-US"/>
        </w:rPr>
        <w:t xml:space="preserve"> RAN1#104e, it was agreed that 16-QAM will be supported at least for C-RNTI from USS and it remains FFS for CSS. In addition, it was FSS the applicability of 16-QAM for PUR or EDT.</w:t>
      </w:r>
      <w:r>
        <w:rPr>
          <w:lang w:val="en-US"/>
        </w:rPr>
        <w:t xml:space="preserve"> </w:t>
      </w:r>
    </w:p>
    <w:p w14:paraId="2BD25EA1" w14:textId="77777777" w:rsidR="000F19F7" w:rsidRDefault="001001EC" w:rsidP="000F19F7">
      <w:pPr>
        <w:jc w:val="both"/>
        <w:rPr>
          <w:u w:val="single"/>
          <w:lang w:val="en-US"/>
        </w:rPr>
      </w:pPr>
      <w:r>
        <w:rPr>
          <w:u w:val="single"/>
          <w:lang w:val="en-US"/>
        </w:rPr>
        <w:t>PUR</w:t>
      </w:r>
    </w:p>
    <w:p w14:paraId="408522BA" w14:textId="0A42BADA" w:rsidR="000F19F7" w:rsidRPr="00ED0335" w:rsidRDefault="000F19F7" w:rsidP="000F19F7">
      <w:pPr>
        <w:jc w:val="both"/>
        <w:rPr>
          <w:lang w:val="en-US"/>
        </w:rPr>
      </w:pPr>
      <w:r>
        <w:rPr>
          <w:lang w:val="en-US"/>
        </w:rPr>
        <w:t xml:space="preserve">In Rel-16, </w:t>
      </w:r>
      <w:r w:rsidR="00C53BDB">
        <w:rPr>
          <w:lang w:val="en-US"/>
        </w:rPr>
        <w:t>preconfigured uplink transmission was supported</w:t>
      </w:r>
      <w:r>
        <w:rPr>
          <w:lang w:val="en-US"/>
        </w:rPr>
        <w:t xml:space="preserve">. </w:t>
      </w:r>
      <w:r w:rsidR="00DC1A3B">
        <w:rPr>
          <w:lang w:val="en-US"/>
        </w:rPr>
        <w:t>Supporting 16-QAM in PUR can be done in a straightforward manner</w:t>
      </w:r>
      <w:r w:rsidR="00C32EED">
        <w:rPr>
          <w:lang w:val="en-US"/>
        </w:rPr>
        <w:t xml:space="preserve"> as PUR is configured when UE is in connected mode (and therefore capability is known)</w:t>
      </w:r>
      <w:r>
        <w:rPr>
          <w:lang w:val="en-US"/>
        </w:rPr>
        <w:t xml:space="preserve">, so it is proposed that both features can be supported together. </w:t>
      </w:r>
    </w:p>
    <w:p w14:paraId="4E92040C" w14:textId="6759009A" w:rsidR="000F19F7" w:rsidRDefault="000F19F7" w:rsidP="000F19F7">
      <w:pPr>
        <w:jc w:val="both"/>
        <w:rPr>
          <w:b/>
          <w:bCs/>
          <w:noProof/>
          <w:lang w:val="en-US" w:eastAsia="en-GB"/>
        </w:rPr>
      </w:pPr>
      <w:r>
        <w:rPr>
          <w:b/>
          <w:bCs/>
          <w:noProof/>
          <w:lang w:val="en-US" w:eastAsia="en-GB"/>
        </w:rPr>
        <w:t xml:space="preserve">Proposal </w:t>
      </w:r>
      <w:r w:rsidR="003E690C">
        <w:rPr>
          <w:b/>
          <w:bCs/>
          <w:noProof/>
          <w:lang w:val="en-US" w:eastAsia="en-GB"/>
        </w:rPr>
        <w:t>9</w:t>
      </w:r>
      <w:r>
        <w:rPr>
          <w:b/>
          <w:bCs/>
          <w:noProof/>
          <w:lang w:val="en-US" w:eastAsia="en-GB"/>
        </w:rPr>
        <w:t xml:space="preserve">: 16-QAM can be supported </w:t>
      </w:r>
      <w:r w:rsidR="008623C9">
        <w:rPr>
          <w:b/>
          <w:bCs/>
          <w:noProof/>
          <w:lang w:val="en-US" w:eastAsia="en-GB"/>
        </w:rPr>
        <w:t>for</w:t>
      </w:r>
      <w:r>
        <w:rPr>
          <w:b/>
          <w:bCs/>
          <w:noProof/>
          <w:lang w:val="en-US" w:eastAsia="en-GB"/>
        </w:rPr>
        <w:t xml:space="preserve"> </w:t>
      </w:r>
      <w:r w:rsidR="00AA137E">
        <w:rPr>
          <w:b/>
          <w:bCs/>
          <w:noProof/>
          <w:lang w:val="en-US" w:eastAsia="en-GB"/>
        </w:rPr>
        <w:t>PUR</w:t>
      </w:r>
      <w:r>
        <w:rPr>
          <w:b/>
          <w:bCs/>
          <w:noProof/>
          <w:lang w:val="en-US" w:eastAsia="en-GB"/>
        </w:rPr>
        <w:t>.</w:t>
      </w:r>
    </w:p>
    <w:p w14:paraId="52B22F54" w14:textId="7D733EB8" w:rsidR="006318A4" w:rsidRDefault="006318A4" w:rsidP="006318A4">
      <w:pPr>
        <w:jc w:val="both"/>
        <w:rPr>
          <w:u w:val="single"/>
          <w:lang w:val="en-US"/>
        </w:rPr>
      </w:pPr>
      <w:r>
        <w:rPr>
          <w:u w:val="single"/>
          <w:lang w:val="en-US"/>
        </w:rPr>
        <w:t>EDT</w:t>
      </w:r>
    </w:p>
    <w:p w14:paraId="18CE83BB" w14:textId="77777777" w:rsidR="000E5855" w:rsidRDefault="00B84584" w:rsidP="006318A4">
      <w:pPr>
        <w:jc w:val="both"/>
        <w:rPr>
          <w:lang w:val="en-US"/>
        </w:rPr>
      </w:pPr>
      <w:r>
        <w:rPr>
          <w:lang w:val="en-US"/>
        </w:rPr>
        <w:t>Uplink EDT was specified in Rel-15 and allows the UE to transmit data during random access procedure</w:t>
      </w:r>
      <w:r w:rsidR="00A870B5">
        <w:rPr>
          <w:lang w:val="en-US"/>
        </w:rPr>
        <w:t>. In this case, the eNB can provide a grant for larger TBS (from 328 to 1000 bits) to support UL EDT instead of the default Msg3 grant for 88 bits</w:t>
      </w:r>
      <w:r w:rsidR="006318A4">
        <w:rPr>
          <w:lang w:val="en-US"/>
        </w:rPr>
        <w:t>.</w:t>
      </w:r>
      <w:r w:rsidR="00A870B5">
        <w:rPr>
          <w:lang w:val="en-US"/>
        </w:rPr>
        <w:t xml:space="preserve"> The UE can further adjust the size of the uplink transmission based on the maximum assigned TBS and the eNB would have to perform blind decoding to determine the actual</w:t>
      </w:r>
      <w:r w:rsidR="00400E8E">
        <w:rPr>
          <w:lang w:val="en-US"/>
        </w:rPr>
        <w:t xml:space="preserve"> TBS. </w:t>
      </w:r>
    </w:p>
    <w:p w14:paraId="45A06B15" w14:textId="77777777" w:rsidR="006318A4" w:rsidRPr="00ED0335" w:rsidRDefault="000E5855" w:rsidP="006318A4">
      <w:pPr>
        <w:jc w:val="both"/>
        <w:rPr>
          <w:lang w:val="en-US"/>
        </w:rPr>
      </w:pPr>
      <w:r>
        <w:rPr>
          <w:lang w:val="en-US"/>
        </w:rPr>
        <w:t xml:space="preserve">Introducing 16-QAM can provide greater efficiency and support higher data rate. However, </w:t>
      </w:r>
      <w:r w:rsidR="00FE68E2">
        <w:rPr>
          <w:lang w:val="en-US"/>
        </w:rPr>
        <w:t xml:space="preserve">the eNB may not have sufficient channel information to decide whether </w:t>
      </w:r>
      <w:r>
        <w:rPr>
          <w:lang w:val="en-US"/>
        </w:rPr>
        <w:t xml:space="preserve">16-QAM is </w:t>
      </w:r>
      <w:r w:rsidR="00FE68E2">
        <w:rPr>
          <w:lang w:val="en-US"/>
        </w:rPr>
        <w:t>appropriate for Msg3</w:t>
      </w:r>
      <w:r>
        <w:rPr>
          <w:lang w:val="en-US"/>
        </w:rPr>
        <w:t>.</w:t>
      </w:r>
      <w:r w:rsidR="00916A1D">
        <w:rPr>
          <w:lang w:val="en-US"/>
        </w:rPr>
        <w:t xml:space="preserve"> </w:t>
      </w:r>
      <w:r w:rsidR="00751FB7">
        <w:rPr>
          <w:lang w:val="en-US"/>
        </w:rPr>
        <w:t xml:space="preserve">In addition, the eNB would also need to perform additional blind decoding using 16-QAM. </w:t>
      </w:r>
      <w:r w:rsidR="00400E8E">
        <w:rPr>
          <w:lang w:val="en-US"/>
        </w:rPr>
        <w:t xml:space="preserve">Note that </w:t>
      </w:r>
      <w:r w:rsidR="00FE68E2">
        <w:rPr>
          <w:lang w:val="en-US"/>
        </w:rPr>
        <w:t xml:space="preserve">for eMTC, </w:t>
      </w:r>
      <w:r w:rsidR="00400E8E">
        <w:rPr>
          <w:lang w:val="en-US"/>
        </w:rPr>
        <w:t xml:space="preserve">16-QAM was not supported for UL EDT </w:t>
      </w:r>
      <w:r w:rsidR="00FE68E2">
        <w:rPr>
          <w:lang w:val="en-US"/>
        </w:rPr>
        <w:t>and also not in Msg3 in general</w:t>
      </w:r>
      <w:r w:rsidR="00400E8E">
        <w:rPr>
          <w:lang w:val="en-US"/>
        </w:rPr>
        <w:t>.</w:t>
      </w:r>
      <w:r w:rsidR="00FE68E2">
        <w:rPr>
          <w:lang w:val="en-US"/>
        </w:rPr>
        <w:t xml:space="preserve"> Therefore, it is proposed not to support 16-QAM for UL EDT</w:t>
      </w:r>
    </w:p>
    <w:p w14:paraId="3638EFC7" w14:textId="3D1F0F2C" w:rsidR="006318A4" w:rsidRDefault="006318A4" w:rsidP="006318A4">
      <w:pPr>
        <w:jc w:val="both"/>
        <w:rPr>
          <w:lang w:val="en-US"/>
        </w:rPr>
      </w:pPr>
      <w:r>
        <w:rPr>
          <w:b/>
          <w:bCs/>
          <w:noProof/>
          <w:lang w:val="en-US" w:eastAsia="en-GB"/>
        </w:rPr>
        <w:t xml:space="preserve">Proposal </w:t>
      </w:r>
      <w:r w:rsidR="006E0F54">
        <w:rPr>
          <w:b/>
          <w:bCs/>
          <w:noProof/>
          <w:lang w:val="en-US" w:eastAsia="en-GB"/>
        </w:rPr>
        <w:t>1</w:t>
      </w:r>
      <w:r w:rsidR="003E690C">
        <w:rPr>
          <w:b/>
          <w:bCs/>
          <w:noProof/>
          <w:lang w:val="en-US" w:eastAsia="en-GB"/>
        </w:rPr>
        <w:t>0</w:t>
      </w:r>
      <w:r>
        <w:rPr>
          <w:b/>
          <w:bCs/>
          <w:noProof/>
          <w:lang w:val="en-US" w:eastAsia="en-GB"/>
        </w:rPr>
        <w:t xml:space="preserve">: 16-QAM </w:t>
      </w:r>
      <w:r w:rsidR="00A870B5">
        <w:rPr>
          <w:b/>
          <w:bCs/>
          <w:noProof/>
          <w:lang w:val="en-US" w:eastAsia="en-GB"/>
        </w:rPr>
        <w:t>is not supported for EDT</w:t>
      </w:r>
      <w:r>
        <w:rPr>
          <w:b/>
          <w:bCs/>
          <w:noProof/>
          <w:lang w:val="en-US" w:eastAsia="en-GB"/>
        </w:rPr>
        <w:t>.</w:t>
      </w:r>
    </w:p>
    <w:bookmarkEnd w:id="11"/>
    <w:bookmarkEnd w:id="12"/>
    <w:bookmarkEnd w:id="13"/>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3897BDC"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327B9">
        <w:rPr>
          <w:lang w:val="en-US"/>
        </w:rPr>
        <w:t>16-QAM support for NB-IoT and make the following proposals</w:t>
      </w:r>
      <w:r w:rsidR="003F43D8">
        <w:rPr>
          <w:lang w:val="en-US"/>
        </w:rPr>
        <w:t xml:space="preserve"> </w:t>
      </w:r>
      <w:r w:rsidRPr="002651FD">
        <w:rPr>
          <w:lang w:val="en-US"/>
        </w:rPr>
        <w:t>–</w:t>
      </w:r>
    </w:p>
    <w:p w14:paraId="6EA7A349" w14:textId="77777777" w:rsidR="005921FC" w:rsidRDefault="005921FC" w:rsidP="005921FC">
      <w:pPr>
        <w:jc w:val="both"/>
        <w:rPr>
          <w:rFonts w:eastAsia="MS Mincho"/>
          <w:lang w:val="en-US" w:eastAsia="ja-JP"/>
        </w:rPr>
      </w:pPr>
      <w:r>
        <w:rPr>
          <w:b/>
          <w:bCs/>
          <w:noProof/>
          <w:lang w:val="en-US" w:eastAsia="en-GB"/>
        </w:rPr>
        <w:t>Proposal 1: Confirm the working assumption on downlink TBS table from RAN1#104-e.</w:t>
      </w:r>
    </w:p>
    <w:p w14:paraId="6920FB81" w14:textId="77777777" w:rsidR="00942110" w:rsidRDefault="00942110" w:rsidP="00942110">
      <w:pPr>
        <w:jc w:val="both"/>
        <w:rPr>
          <w:b/>
          <w:bCs/>
          <w:noProof/>
          <w:lang w:val="en-US" w:eastAsia="en-GB"/>
        </w:rPr>
      </w:pPr>
      <w:r>
        <w:rPr>
          <w:b/>
          <w:bCs/>
          <w:noProof/>
          <w:lang w:val="en-US" w:eastAsia="en-GB"/>
        </w:rPr>
        <w:t xml:space="preserve">Proposal 2: Confirm the following working assumptions </w:t>
      </w:r>
      <w:r w:rsidRPr="00545AB6">
        <w:rPr>
          <w:b/>
          <w:bCs/>
          <w:noProof/>
          <w:lang w:val="en-US" w:eastAsia="en-GB"/>
        </w:rPr>
        <w:t>from RAN1#103-e</w:t>
      </w:r>
      <w:r>
        <w:rPr>
          <w:b/>
          <w:bCs/>
          <w:noProof/>
          <w:lang w:val="en-US" w:eastAsia="en-GB"/>
        </w:rPr>
        <w:t xml:space="preserve"> –</w:t>
      </w:r>
    </w:p>
    <w:p w14:paraId="315D81BE" w14:textId="77777777" w:rsidR="00942110" w:rsidRPr="00E61FC4" w:rsidRDefault="00942110" w:rsidP="00DB43B9">
      <w:pPr>
        <w:numPr>
          <w:ilvl w:val="0"/>
          <w:numId w:val="19"/>
        </w:numPr>
        <w:overflowPunct/>
        <w:autoSpaceDE/>
        <w:autoSpaceDN/>
        <w:adjustRightInd/>
        <w:ind w:left="567" w:hanging="210"/>
        <w:textAlignment w:val="auto"/>
        <w:rPr>
          <w:b/>
          <w:bCs/>
          <w:lang w:eastAsia="ja-JP"/>
        </w:rPr>
      </w:pPr>
      <w:r w:rsidRPr="00E61FC4">
        <w:rPr>
          <w:b/>
          <w:bCs/>
          <w:lang w:eastAsia="ja-JP"/>
        </w:rPr>
        <w:t>For standalone and guardband deployments, the downlink TBS entries between 14 (TBS of 2856 for I_SF=7) and 21 are used for 16</w:t>
      </w:r>
      <w:r>
        <w:rPr>
          <w:b/>
          <w:bCs/>
          <w:lang w:eastAsia="ja-JP"/>
        </w:rPr>
        <w:t>-</w:t>
      </w:r>
      <w:r w:rsidRPr="00E61FC4">
        <w:rPr>
          <w:b/>
          <w:bCs/>
          <w:lang w:eastAsia="ja-JP"/>
        </w:rPr>
        <w:t>QAM.</w:t>
      </w:r>
    </w:p>
    <w:p w14:paraId="6DD541CA" w14:textId="77777777" w:rsidR="00942110" w:rsidRDefault="00942110" w:rsidP="00942110">
      <w:pPr>
        <w:jc w:val="both"/>
        <w:rPr>
          <w:noProof/>
          <w:lang w:val="en-US" w:eastAsia="en-GB"/>
        </w:rPr>
      </w:pPr>
      <w:r>
        <w:rPr>
          <w:b/>
          <w:bCs/>
          <w:noProof/>
          <w:lang w:val="en-US" w:eastAsia="en-GB"/>
        </w:rPr>
        <w:t>Proposal 3: Introduce CQI reporting for 16-QAM in the DL using the same definition for CQI as eMTC. FFS how to define CSI reference resource.</w:t>
      </w:r>
    </w:p>
    <w:p w14:paraId="0FFCC378" w14:textId="77777777" w:rsidR="00942110" w:rsidRDefault="00942110" w:rsidP="00942110">
      <w:pPr>
        <w:jc w:val="both"/>
        <w:rPr>
          <w:b/>
          <w:bCs/>
          <w:noProof/>
          <w:lang w:val="en-US" w:eastAsia="en-GB"/>
        </w:rPr>
      </w:pPr>
      <w:r>
        <w:rPr>
          <w:b/>
          <w:bCs/>
          <w:noProof/>
          <w:lang w:val="en-US" w:eastAsia="en-GB"/>
        </w:rPr>
        <w:t>Proposal 4: Reuse Msg3 and MAC CE d</w:t>
      </w:r>
      <w:r w:rsidRPr="00F77EA8">
        <w:rPr>
          <w:b/>
          <w:bCs/>
          <w:noProof/>
          <w:lang w:val="en-US" w:eastAsia="en-GB"/>
        </w:rPr>
        <w:t xml:space="preserve">ownlink channel quality measurement report </w:t>
      </w:r>
      <w:r>
        <w:rPr>
          <w:b/>
          <w:bCs/>
          <w:noProof/>
          <w:lang w:val="en-US" w:eastAsia="en-GB"/>
        </w:rPr>
        <w:t>defined in 36.133 for 16-QAM CQI reporting. FFS details.</w:t>
      </w:r>
    </w:p>
    <w:p w14:paraId="2C2D7499" w14:textId="77777777" w:rsidR="00942110" w:rsidRDefault="00942110" w:rsidP="00942110">
      <w:pPr>
        <w:jc w:val="both"/>
        <w:rPr>
          <w:bCs/>
          <w:noProof/>
          <w:lang w:val="en-US" w:eastAsia="en-GB"/>
        </w:rPr>
      </w:pPr>
      <w:r>
        <w:rPr>
          <w:b/>
          <w:bCs/>
          <w:noProof/>
          <w:lang w:val="en-US" w:eastAsia="en-GB"/>
        </w:rPr>
        <w:t>Proposal 5: The total transmit power across OFDM symbols should be constant.</w:t>
      </w:r>
    </w:p>
    <w:p w14:paraId="0D798842" w14:textId="77777777" w:rsidR="00942110" w:rsidRPr="00426BFA" w:rsidRDefault="00942110" w:rsidP="00942110">
      <w:pPr>
        <w:jc w:val="both"/>
        <w:rPr>
          <w:b/>
          <w:bCs/>
          <w:lang w:val="en-US"/>
        </w:rPr>
      </w:pPr>
      <w:r>
        <w:rPr>
          <w:b/>
          <w:bCs/>
          <w:lang w:val="en-US"/>
        </w:rPr>
        <w:t>Proposal 6:</w:t>
      </w:r>
      <w:r w:rsidRPr="00426BFA">
        <w:rPr>
          <w:b/>
          <w:bCs/>
          <w:lang w:val="en-US"/>
        </w:rPr>
        <w:t xml:space="preserve"> </w:t>
      </w:r>
      <w:r>
        <w:rPr>
          <w:b/>
          <w:bCs/>
          <w:lang w:val="en-US"/>
        </w:rPr>
        <w:t xml:space="preserve">The power ratio of </w:t>
      </w:r>
      <w:r w:rsidRPr="00D57FC7">
        <w:rPr>
          <w:b/>
          <w:bCs/>
          <w:lang w:val="en-US"/>
        </w:rPr>
        <w:t xml:space="preserve">NPDSCH EPRE to NRS EPRE </w:t>
      </w:r>
      <w:r>
        <w:rPr>
          <w:b/>
          <w:bCs/>
          <w:lang w:val="en-US"/>
        </w:rPr>
        <w:t>in symbols with NRS (</w:t>
      </w:r>
      <m:oMath>
        <m:sSub>
          <m:sSubPr>
            <m:ctrlPr>
              <w:rPr>
                <w:rFonts w:ascii="Cambria Math" w:hAnsi="Cambria Math"/>
                <w:b/>
                <w:bCs/>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Pr="00426BFA">
        <w:rPr>
          <w:b/>
          <w:bCs/>
          <w:lang w:val="en-US"/>
        </w:rPr>
        <w:t>) is explicitly signaled. The other two</w:t>
      </w:r>
      <w:r>
        <w:rPr>
          <w:b/>
          <w:bCs/>
          <w:lang w:val="en-US"/>
        </w:rPr>
        <w:t xml:space="preserve"> power ratio values </w:t>
      </w:r>
      <w:r w:rsidRPr="00426BFA">
        <w:rPr>
          <w:b/>
          <w:bCs/>
          <w:lang w:val="en-US"/>
        </w:rPr>
        <w:t>can be determined by the UE</w:t>
      </w:r>
      <w:r>
        <w:rPr>
          <w:b/>
          <w:bCs/>
          <w:lang w:val="en-US"/>
        </w:rPr>
        <w:t>.</w:t>
      </w:r>
      <w:r w:rsidRPr="00426BFA">
        <w:rPr>
          <w:b/>
          <w:bCs/>
          <w:lang w:val="en-US"/>
        </w:rPr>
        <w:t xml:space="preserve"> </w:t>
      </w:r>
      <w:r>
        <w:rPr>
          <w:b/>
          <w:bCs/>
          <w:lang w:val="en-US"/>
        </w:rPr>
        <w:t xml:space="preserve"> </w:t>
      </w:r>
    </w:p>
    <w:p w14:paraId="1BCAD101" w14:textId="77777777" w:rsidR="00942110" w:rsidRDefault="00942110" w:rsidP="00942110">
      <w:pPr>
        <w:jc w:val="both"/>
        <w:rPr>
          <w:b/>
          <w:bCs/>
          <w:noProof/>
          <w:lang w:val="en-US" w:eastAsia="en-GB"/>
        </w:rPr>
      </w:pPr>
      <w:r>
        <w:rPr>
          <w:b/>
          <w:bCs/>
          <w:noProof/>
          <w:lang w:val="en-US" w:eastAsia="en-GB"/>
        </w:rPr>
        <w:t>Proposal 7: The DCI size is not increased for 16-QAM support.</w:t>
      </w:r>
    </w:p>
    <w:p w14:paraId="15767573" w14:textId="7C847ABD" w:rsidR="00942110" w:rsidRDefault="00942110" w:rsidP="00942110">
      <w:pPr>
        <w:jc w:val="both"/>
        <w:rPr>
          <w:b/>
          <w:bCs/>
          <w:noProof/>
          <w:lang w:val="en-US" w:eastAsia="en-GB"/>
        </w:rPr>
      </w:pPr>
      <w:r>
        <w:rPr>
          <w:b/>
          <w:bCs/>
          <w:noProof/>
          <w:lang w:val="en-US" w:eastAsia="en-GB"/>
        </w:rPr>
        <w:t>Proposal 8: When UE is configured with 16-QAM, the DCI should support all existing MCS and repetition combinations. FFS details of DCI design.</w:t>
      </w:r>
    </w:p>
    <w:p w14:paraId="596196C4" w14:textId="0FE1BB9E" w:rsidR="005921FC" w:rsidRDefault="005921FC" w:rsidP="005921FC">
      <w:pPr>
        <w:jc w:val="both"/>
        <w:rPr>
          <w:b/>
          <w:bCs/>
          <w:noProof/>
          <w:lang w:val="en-US" w:eastAsia="en-GB"/>
        </w:rPr>
      </w:pPr>
      <w:r>
        <w:rPr>
          <w:b/>
          <w:bCs/>
          <w:noProof/>
          <w:lang w:val="en-US" w:eastAsia="en-GB"/>
        </w:rPr>
        <w:t>Proposal 9: 16-QAM can be supported for PUR.</w:t>
      </w:r>
    </w:p>
    <w:p w14:paraId="03EF3888" w14:textId="77777777" w:rsidR="005921FC" w:rsidRDefault="005921FC" w:rsidP="005921FC">
      <w:pPr>
        <w:jc w:val="both"/>
        <w:rPr>
          <w:lang w:val="en-US"/>
        </w:rPr>
      </w:pPr>
      <w:r>
        <w:rPr>
          <w:b/>
          <w:bCs/>
          <w:noProof/>
          <w:lang w:val="en-US" w:eastAsia="en-GB"/>
        </w:rPr>
        <w:t>Proposal 10: 16-QAM is not supported for EDT.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5F1347D5" w14:textId="1C93434E" w:rsidR="00E72A6D" w:rsidRDefault="00E72A6D" w:rsidP="006A6EF1">
      <w:pPr>
        <w:pStyle w:val="ListParagraph"/>
        <w:numPr>
          <w:ilvl w:val="0"/>
          <w:numId w:val="1"/>
        </w:numPr>
        <w:spacing w:after="120"/>
        <w:ind w:left="357" w:hanging="357"/>
        <w:contextualSpacing w:val="0"/>
        <w:rPr>
          <w:rFonts w:eastAsia="MS Mincho"/>
          <w:lang w:val="en-US" w:eastAsia="ja-JP"/>
        </w:rPr>
      </w:pPr>
      <w:bookmarkStart w:id="21" w:name="_Ref3999986"/>
      <w:r w:rsidRPr="00E72A6D">
        <w:rPr>
          <w:rFonts w:eastAsia="MS Mincho"/>
          <w:lang w:val="en-US" w:eastAsia="ja-JP"/>
        </w:rPr>
        <w:t>RP-201306</w:t>
      </w:r>
      <w:r>
        <w:rPr>
          <w:rFonts w:eastAsia="MS Mincho"/>
          <w:lang w:val="en-US" w:eastAsia="ja-JP"/>
        </w:rPr>
        <w:t xml:space="preserve">, </w:t>
      </w:r>
      <w:r w:rsidRPr="0093675A">
        <w:rPr>
          <w:rFonts w:eastAsia="MS Mincho"/>
          <w:lang w:val="en-US" w:eastAsia="ja-JP"/>
        </w:rPr>
        <w:t>“</w:t>
      </w:r>
      <w:r w:rsidRPr="00E72A6D">
        <w:rPr>
          <w:rFonts w:eastAsia="MS Mincho"/>
          <w:lang w:val="en-US" w:eastAsia="ja-JP"/>
        </w:rPr>
        <w:t>Additional enhancements for NB-IoT and LTE-MTC</w:t>
      </w:r>
      <w:r>
        <w:rPr>
          <w:rFonts w:eastAsia="MS Mincho"/>
          <w:lang w:val="en-US" w:eastAsia="ja-JP"/>
        </w:rPr>
        <w:t>,” Huawei, RAN#88e.</w:t>
      </w:r>
    </w:p>
    <w:p w14:paraId="7B2DB003" w14:textId="74F11082" w:rsidR="0093675A" w:rsidRPr="0093675A" w:rsidRDefault="0093675A" w:rsidP="006A6EF1">
      <w:pPr>
        <w:pStyle w:val="ListParagraph"/>
        <w:numPr>
          <w:ilvl w:val="0"/>
          <w:numId w:val="1"/>
        </w:numPr>
        <w:spacing w:after="120"/>
        <w:ind w:left="357" w:hanging="357"/>
        <w:contextualSpacing w:val="0"/>
        <w:rPr>
          <w:rFonts w:eastAsia="MS Mincho"/>
          <w:lang w:val="en-US" w:eastAsia="ja-JP"/>
        </w:rPr>
      </w:pPr>
      <w:bookmarkStart w:id="22" w:name="_Ref68527728"/>
      <w:r w:rsidRPr="0093675A">
        <w:rPr>
          <w:rFonts w:eastAsia="MS Mincho"/>
          <w:lang w:val="en-US" w:eastAsia="ja-JP"/>
        </w:rPr>
        <w:t>R1-2008073, “Support of 16-QAM for NB-IoT,” Nokia, Nokia Shanghai Bell, RAN1#103-e, electronic meeting.</w:t>
      </w:r>
      <w:bookmarkEnd w:id="22"/>
    </w:p>
    <w:p w14:paraId="0C668CE8" w14:textId="224C485D" w:rsidR="00CF667F" w:rsidRDefault="00820524" w:rsidP="006A6EF1">
      <w:pPr>
        <w:numPr>
          <w:ilvl w:val="0"/>
          <w:numId w:val="1"/>
        </w:numPr>
        <w:tabs>
          <w:tab w:val="left" w:pos="360"/>
        </w:tabs>
        <w:spacing w:after="120"/>
        <w:ind w:left="357" w:hanging="357"/>
        <w:jc w:val="both"/>
        <w:rPr>
          <w:rFonts w:eastAsia="MS Mincho"/>
          <w:lang w:val="en-US" w:eastAsia="ja-JP"/>
        </w:rPr>
      </w:pPr>
      <w:r w:rsidRPr="00820524">
        <w:rPr>
          <w:rFonts w:eastAsia="MS Mincho"/>
          <w:lang w:val="en-US" w:eastAsia="ja-JP"/>
        </w:rPr>
        <w:t>R</w:t>
      </w:r>
      <w:r w:rsidR="00756031">
        <w:rPr>
          <w:rFonts w:eastAsia="MS Mincho"/>
          <w:lang w:val="en-US" w:eastAsia="ja-JP"/>
        </w:rPr>
        <w:t>1</w:t>
      </w:r>
      <w:r w:rsidRPr="00820524">
        <w:rPr>
          <w:rFonts w:eastAsia="MS Mincho"/>
          <w:lang w:val="en-US" w:eastAsia="ja-JP"/>
        </w:rPr>
        <w:t>-</w:t>
      </w:r>
      <w:r w:rsidR="00A31EF1">
        <w:rPr>
          <w:rFonts w:eastAsia="MS Mincho"/>
          <w:lang w:val="en-US" w:eastAsia="ja-JP"/>
        </w:rPr>
        <w:t>2</w:t>
      </w:r>
      <w:r w:rsidR="00627343">
        <w:rPr>
          <w:rFonts w:eastAsia="MS Mincho"/>
          <w:lang w:val="en-US" w:eastAsia="ja-JP"/>
        </w:rPr>
        <w:t>100507</w:t>
      </w:r>
      <w:r w:rsidR="00626FC7">
        <w:rPr>
          <w:rFonts w:eastAsia="MS Mincho"/>
          <w:lang w:val="en-US" w:eastAsia="ja-JP"/>
        </w:rPr>
        <w:t>,</w:t>
      </w:r>
      <w:r w:rsidR="00CF667F" w:rsidRPr="00CB3152">
        <w:rPr>
          <w:rFonts w:eastAsia="MS Mincho"/>
          <w:lang w:val="en-US" w:eastAsia="ja-JP"/>
        </w:rPr>
        <w:t xml:space="preserve"> “</w:t>
      </w:r>
      <w:r w:rsidR="00756031" w:rsidRPr="00756031">
        <w:rPr>
          <w:lang w:eastAsia="x-none"/>
        </w:rPr>
        <w:t>Support of 16-QAM for NB-IoT</w:t>
      </w:r>
      <w:r w:rsidR="00212954">
        <w:rPr>
          <w:lang w:eastAsia="x-none"/>
        </w:rPr>
        <w:t>,</w:t>
      </w:r>
      <w:r w:rsidR="00CF667F" w:rsidRPr="00CB3152">
        <w:rPr>
          <w:rFonts w:eastAsia="MS Mincho"/>
          <w:lang w:val="en-US" w:eastAsia="ja-JP"/>
        </w:rPr>
        <w:t xml:space="preserve">” </w:t>
      </w:r>
      <w:r w:rsidR="00756031">
        <w:rPr>
          <w:lang w:val="en-US"/>
        </w:rPr>
        <w:t>Nokia, Nokia Shanghai Bell</w:t>
      </w:r>
      <w:r w:rsidR="00CF667F" w:rsidRPr="00CB3152">
        <w:rPr>
          <w:rFonts w:eastAsia="MS Mincho"/>
          <w:lang w:val="en-US" w:eastAsia="ja-JP"/>
        </w:rPr>
        <w:t xml:space="preserve">, </w:t>
      </w:r>
      <w:r>
        <w:rPr>
          <w:lang w:val="en-US"/>
        </w:rPr>
        <w:t>RAN</w:t>
      </w:r>
      <w:r w:rsidR="00756031">
        <w:rPr>
          <w:lang w:val="en-US"/>
        </w:rPr>
        <w:t>1</w:t>
      </w:r>
      <w:r>
        <w:rPr>
          <w:lang w:val="en-US"/>
        </w:rPr>
        <w:t>#</w:t>
      </w:r>
      <w:r w:rsidR="00756031">
        <w:rPr>
          <w:lang w:val="en-US"/>
        </w:rPr>
        <w:t>10</w:t>
      </w:r>
      <w:r w:rsidR="00627343">
        <w:rPr>
          <w:lang w:val="en-US"/>
        </w:rPr>
        <w:t>4</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21"/>
    </w:p>
    <w:p w14:paraId="737C78FB" w14:textId="42E833DA" w:rsidR="00627343" w:rsidRPr="00627343" w:rsidRDefault="00627343" w:rsidP="006A6EF1">
      <w:pPr>
        <w:numPr>
          <w:ilvl w:val="0"/>
          <w:numId w:val="1"/>
        </w:numPr>
        <w:tabs>
          <w:tab w:val="left" w:pos="360"/>
        </w:tabs>
        <w:spacing w:after="120"/>
        <w:ind w:left="357" w:hanging="357"/>
        <w:jc w:val="both"/>
        <w:rPr>
          <w:rFonts w:eastAsia="MS Mincho"/>
          <w:lang w:val="en-US" w:eastAsia="ja-JP"/>
        </w:rPr>
      </w:pPr>
      <w:bookmarkStart w:id="23" w:name="_Ref65502780"/>
      <w:r w:rsidRPr="00820524">
        <w:rPr>
          <w:rFonts w:eastAsia="MS Mincho"/>
          <w:lang w:val="en-US" w:eastAsia="ja-JP"/>
        </w:rPr>
        <w:t>R</w:t>
      </w:r>
      <w:r>
        <w:rPr>
          <w:rFonts w:eastAsia="MS Mincho"/>
          <w:lang w:val="en-US" w:eastAsia="ja-JP"/>
        </w:rPr>
        <w:t>1</w:t>
      </w:r>
      <w:r w:rsidRPr="00820524">
        <w:rPr>
          <w:rFonts w:eastAsia="MS Mincho"/>
          <w:lang w:val="en-US" w:eastAsia="ja-JP"/>
        </w:rPr>
        <w:t>-</w:t>
      </w:r>
      <w:r>
        <w:rPr>
          <w:rFonts w:eastAsia="MS Mincho"/>
          <w:lang w:val="en-US" w:eastAsia="ja-JP"/>
        </w:rPr>
        <w:t>2101698,</w:t>
      </w:r>
      <w:r w:rsidRPr="00CB3152">
        <w:rPr>
          <w:rFonts w:eastAsia="MS Mincho"/>
          <w:lang w:val="en-US" w:eastAsia="ja-JP"/>
        </w:rPr>
        <w:t xml:space="preserve"> “</w:t>
      </w:r>
      <w:r w:rsidRPr="00627343">
        <w:rPr>
          <w:lang w:eastAsia="x-none"/>
        </w:rPr>
        <w:t>Support of 16-QAM for unicast in UL and DL in NB-IoT</w:t>
      </w:r>
      <w:r>
        <w:rPr>
          <w:lang w:eastAsia="x-none"/>
        </w:rPr>
        <w:t>,</w:t>
      </w:r>
      <w:r w:rsidRPr="00CB3152">
        <w:rPr>
          <w:rFonts w:eastAsia="MS Mincho"/>
          <w:lang w:val="en-US" w:eastAsia="ja-JP"/>
        </w:rPr>
        <w:t xml:space="preserve">” </w:t>
      </w:r>
      <w:r>
        <w:rPr>
          <w:lang w:val="en-US"/>
        </w:rPr>
        <w:t>Ericsson</w:t>
      </w:r>
      <w:r w:rsidRPr="00CB3152">
        <w:rPr>
          <w:rFonts w:eastAsia="MS Mincho"/>
          <w:lang w:val="en-US" w:eastAsia="ja-JP"/>
        </w:rPr>
        <w:t xml:space="preserve">, </w:t>
      </w:r>
      <w:r>
        <w:rPr>
          <w:lang w:val="en-US"/>
        </w:rPr>
        <w:t>RAN1#104-e, electronic meeting</w:t>
      </w:r>
      <w:r>
        <w:rPr>
          <w:rFonts w:eastAsia="MS Mincho"/>
          <w:lang w:val="en-US" w:eastAsia="ja-JP"/>
        </w:rPr>
        <w:t>.</w:t>
      </w:r>
      <w:bookmarkEnd w:id="23"/>
    </w:p>
    <w:sectPr w:rsidR="00627343" w:rsidRPr="00627343" w:rsidSect="004C07A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C7DF3" w14:textId="77777777" w:rsidR="00EB3B7F" w:rsidRDefault="00EB3B7F">
      <w:r>
        <w:separator/>
      </w:r>
    </w:p>
  </w:endnote>
  <w:endnote w:type="continuationSeparator" w:id="0">
    <w:p w14:paraId="0DE0B673" w14:textId="77777777" w:rsidR="00EB3B7F" w:rsidRDefault="00EB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B73E0" w14:textId="77777777" w:rsidR="00EB3B7F" w:rsidRDefault="00EB3B7F">
      <w:r>
        <w:separator/>
      </w:r>
    </w:p>
  </w:footnote>
  <w:footnote w:type="continuationSeparator" w:id="0">
    <w:p w14:paraId="78F3B922" w14:textId="77777777" w:rsidR="00EB3B7F" w:rsidRDefault="00EB3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5"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6"/>
  </w:num>
  <w:num w:numId="3">
    <w:abstractNumId w:val="8"/>
  </w:num>
  <w:num w:numId="4">
    <w:abstractNumId w:val="13"/>
  </w:num>
  <w:num w:numId="5">
    <w:abstractNumId w:val="25"/>
  </w:num>
  <w:num w:numId="6">
    <w:abstractNumId w:val="14"/>
  </w:num>
  <w:num w:numId="7">
    <w:abstractNumId w:val="12"/>
  </w:num>
  <w:num w:numId="8">
    <w:abstractNumId w:val="2"/>
  </w:num>
  <w:num w:numId="9">
    <w:abstractNumId w:val="22"/>
  </w:num>
  <w:num w:numId="10">
    <w:abstractNumId w:val="9"/>
  </w:num>
  <w:num w:numId="11">
    <w:abstractNumId w:val="24"/>
  </w:num>
  <w:num w:numId="12">
    <w:abstractNumId w:val="19"/>
  </w:num>
  <w:num w:numId="13">
    <w:abstractNumId w:val="20"/>
  </w:num>
  <w:num w:numId="14">
    <w:abstractNumId w:val="16"/>
  </w:num>
  <w:num w:numId="15">
    <w:abstractNumId w:val="11"/>
  </w:num>
  <w:num w:numId="16">
    <w:abstractNumId w:val="5"/>
  </w:num>
  <w:num w:numId="17">
    <w:abstractNumId w:val="17"/>
  </w:num>
  <w:num w:numId="18">
    <w:abstractNumId w:val="15"/>
  </w:num>
  <w:num w:numId="19">
    <w:abstractNumId w:val="3"/>
  </w:num>
  <w:num w:numId="20">
    <w:abstractNumId w:val="7"/>
  </w:num>
  <w:num w:numId="21">
    <w:abstractNumId w:val="0"/>
  </w:num>
  <w:num w:numId="22">
    <w:abstractNumId w:val="23"/>
  </w:num>
  <w:num w:numId="23">
    <w:abstractNumId w:val="10"/>
  </w:num>
  <w:num w:numId="24">
    <w:abstractNumId w:val="21"/>
  </w:num>
  <w:num w:numId="25">
    <w:abstractNumId w:val="18"/>
  </w:num>
  <w:num w:numId="2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09F"/>
    <w:rsid w:val="0000251A"/>
    <w:rsid w:val="00003243"/>
    <w:rsid w:val="000032D6"/>
    <w:rsid w:val="00003811"/>
    <w:rsid w:val="00003E4F"/>
    <w:rsid w:val="0000494E"/>
    <w:rsid w:val="00004AD6"/>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DA4"/>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23"/>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F1F"/>
    <w:rsid w:val="000F328B"/>
    <w:rsid w:val="000F33FB"/>
    <w:rsid w:val="000F3F95"/>
    <w:rsid w:val="000F41B3"/>
    <w:rsid w:val="000F4496"/>
    <w:rsid w:val="000F518F"/>
    <w:rsid w:val="000F536B"/>
    <w:rsid w:val="000F5567"/>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6488"/>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18D"/>
    <w:rsid w:val="00115C80"/>
    <w:rsid w:val="00115EB2"/>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85A"/>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B11"/>
    <w:rsid w:val="00155EEB"/>
    <w:rsid w:val="00156394"/>
    <w:rsid w:val="001563B7"/>
    <w:rsid w:val="00156A6A"/>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F1B"/>
    <w:rsid w:val="001719F8"/>
    <w:rsid w:val="0017208D"/>
    <w:rsid w:val="0017222D"/>
    <w:rsid w:val="001728E6"/>
    <w:rsid w:val="00172F84"/>
    <w:rsid w:val="0017321B"/>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881"/>
    <w:rsid w:val="001A691A"/>
    <w:rsid w:val="001A6A25"/>
    <w:rsid w:val="001A6C88"/>
    <w:rsid w:val="001A7234"/>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7E4"/>
    <w:rsid w:val="001D1C0B"/>
    <w:rsid w:val="001D1D0C"/>
    <w:rsid w:val="001D225A"/>
    <w:rsid w:val="001D2395"/>
    <w:rsid w:val="001D2ECA"/>
    <w:rsid w:val="001D3B95"/>
    <w:rsid w:val="001D40FF"/>
    <w:rsid w:val="001D41AD"/>
    <w:rsid w:val="001D4D5C"/>
    <w:rsid w:val="001D4FE3"/>
    <w:rsid w:val="001D5039"/>
    <w:rsid w:val="001D52BE"/>
    <w:rsid w:val="001D6350"/>
    <w:rsid w:val="001D64B9"/>
    <w:rsid w:val="001D6C2E"/>
    <w:rsid w:val="001E0801"/>
    <w:rsid w:val="001E1406"/>
    <w:rsid w:val="001E22A3"/>
    <w:rsid w:val="001E2449"/>
    <w:rsid w:val="001E2698"/>
    <w:rsid w:val="001E2752"/>
    <w:rsid w:val="001E2BCB"/>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837"/>
    <w:rsid w:val="001F0156"/>
    <w:rsid w:val="001F02B8"/>
    <w:rsid w:val="001F0A21"/>
    <w:rsid w:val="001F0D48"/>
    <w:rsid w:val="001F1951"/>
    <w:rsid w:val="001F19F5"/>
    <w:rsid w:val="001F1EC6"/>
    <w:rsid w:val="001F2372"/>
    <w:rsid w:val="001F2A23"/>
    <w:rsid w:val="001F2DDD"/>
    <w:rsid w:val="001F30EF"/>
    <w:rsid w:val="001F3BB5"/>
    <w:rsid w:val="001F3FAB"/>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ABC"/>
    <w:rsid w:val="00202B39"/>
    <w:rsid w:val="00202F91"/>
    <w:rsid w:val="00203461"/>
    <w:rsid w:val="00203F28"/>
    <w:rsid w:val="00204140"/>
    <w:rsid w:val="00204296"/>
    <w:rsid w:val="00204455"/>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A16"/>
    <w:rsid w:val="00215C63"/>
    <w:rsid w:val="00215DDD"/>
    <w:rsid w:val="00216244"/>
    <w:rsid w:val="00216D2B"/>
    <w:rsid w:val="002170A0"/>
    <w:rsid w:val="00217597"/>
    <w:rsid w:val="00217910"/>
    <w:rsid w:val="00217A7F"/>
    <w:rsid w:val="00217DE8"/>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9F5"/>
    <w:rsid w:val="00265C0B"/>
    <w:rsid w:val="00265C20"/>
    <w:rsid w:val="00266D06"/>
    <w:rsid w:val="00266F6D"/>
    <w:rsid w:val="002673F1"/>
    <w:rsid w:val="002674F7"/>
    <w:rsid w:val="00267A49"/>
    <w:rsid w:val="00267B86"/>
    <w:rsid w:val="00270901"/>
    <w:rsid w:val="00270C57"/>
    <w:rsid w:val="00270CD2"/>
    <w:rsid w:val="0027103D"/>
    <w:rsid w:val="0027114C"/>
    <w:rsid w:val="0027152B"/>
    <w:rsid w:val="002718B6"/>
    <w:rsid w:val="0027223E"/>
    <w:rsid w:val="00272248"/>
    <w:rsid w:val="00272452"/>
    <w:rsid w:val="0027279F"/>
    <w:rsid w:val="00272931"/>
    <w:rsid w:val="00272B29"/>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387"/>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20"/>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5981"/>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6B51"/>
    <w:rsid w:val="0031771F"/>
    <w:rsid w:val="003179C3"/>
    <w:rsid w:val="00317BF6"/>
    <w:rsid w:val="00317F47"/>
    <w:rsid w:val="003206C6"/>
    <w:rsid w:val="00320B7F"/>
    <w:rsid w:val="00320DCD"/>
    <w:rsid w:val="00320E94"/>
    <w:rsid w:val="0032119C"/>
    <w:rsid w:val="003213B9"/>
    <w:rsid w:val="003218F9"/>
    <w:rsid w:val="00321A6B"/>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EA"/>
    <w:rsid w:val="00384DA6"/>
    <w:rsid w:val="00384F0F"/>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345"/>
    <w:rsid w:val="003926C2"/>
    <w:rsid w:val="003926C7"/>
    <w:rsid w:val="00392815"/>
    <w:rsid w:val="003928CF"/>
    <w:rsid w:val="003928FC"/>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4130"/>
    <w:rsid w:val="003A4649"/>
    <w:rsid w:val="003A498F"/>
    <w:rsid w:val="003A5322"/>
    <w:rsid w:val="003A56E7"/>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90C"/>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4618"/>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6693"/>
    <w:rsid w:val="00436E43"/>
    <w:rsid w:val="00436F01"/>
    <w:rsid w:val="00436FF6"/>
    <w:rsid w:val="00437533"/>
    <w:rsid w:val="00437A45"/>
    <w:rsid w:val="00437A4D"/>
    <w:rsid w:val="00437D57"/>
    <w:rsid w:val="00440FE8"/>
    <w:rsid w:val="00441877"/>
    <w:rsid w:val="004426C0"/>
    <w:rsid w:val="00442833"/>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2216"/>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7A5"/>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DCF"/>
    <w:rsid w:val="004C7072"/>
    <w:rsid w:val="004C7101"/>
    <w:rsid w:val="004C779B"/>
    <w:rsid w:val="004C795A"/>
    <w:rsid w:val="004C7A28"/>
    <w:rsid w:val="004D006C"/>
    <w:rsid w:val="004D0803"/>
    <w:rsid w:val="004D09AD"/>
    <w:rsid w:val="004D0A0D"/>
    <w:rsid w:val="004D13F2"/>
    <w:rsid w:val="004D1C2B"/>
    <w:rsid w:val="004D2744"/>
    <w:rsid w:val="004D28E9"/>
    <w:rsid w:val="004D2B4A"/>
    <w:rsid w:val="004D2D3E"/>
    <w:rsid w:val="004D2E15"/>
    <w:rsid w:val="004D4015"/>
    <w:rsid w:val="004D4619"/>
    <w:rsid w:val="004D5345"/>
    <w:rsid w:val="004D5C84"/>
    <w:rsid w:val="004D6174"/>
    <w:rsid w:val="004D6321"/>
    <w:rsid w:val="004D638E"/>
    <w:rsid w:val="004D6865"/>
    <w:rsid w:val="004D6A3B"/>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07F47"/>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C40"/>
    <w:rsid w:val="00533E8B"/>
    <w:rsid w:val="00533F54"/>
    <w:rsid w:val="0053421D"/>
    <w:rsid w:val="005346A5"/>
    <w:rsid w:val="00535084"/>
    <w:rsid w:val="0053520C"/>
    <w:rsid w:val="005355B2"/>
    <w:rsid w:val="00535C4A"/>
    <w:rsid w:val="00536A30"/>
    <w:rsid w:val="00536B4D"/>
    <w:rsid w:val="005377D0"/>
    <w:rsid w:val="00537A3D"/>
    <w:rsid w:val="00537ACE"/>
    <w:rsid w:val="00537CD7"/>
    <w:rsid w:val="00537F43"/>
    <w:rsid w:val="00540809"/>
    <w:rsid w:val="005412E8"/>
    <w:rsid w:val="00541837"/>
    <w:rsid w:val="00541A1B"/>
    <w:rsid w:val="00541A68"/>
    <w:rsid w:val="00541E64"/>
    <w:rsid w:val="00541EB5"/>
    <w:rsid w:val="00542539"/>
    <w:rsid w:val="00542663"/>
    <w:rsid w:val="00542D5B"/>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316"/>
    <w:rsid w:val="00554442"/>
    <w:rsid w:val="00554B82"/>
    <w:rsid w:val="00555E7F"/>
    <w:rsid w:val="005561EB"/>
    <w:rsid w:val="005569D8"/>
    <w:rsid w:val="00556AA8"/>
    <w:rsid w:val="00556BE7"/>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3325"/>
    <w:rsid w:val="00583417"/>
    <w:rsid w:val="00583631"/>
    <w:rsid w:val="005837F2"/>
    <w:rsid w:val="00583871"/>
    <w:rsid w:val="00583C95"/>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1FC"/>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229"/>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0A3"/>
    <w:rsid w:val="005D4398"/>
    <w:rsid w:val="005D43BF"/>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A2B"/>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973"/>
    <w:rsid w:val="00607F41"/>
    <w:rsid w:val="006106A7"/>
    <w:rsid w:val="0061128F"/>
    <w:rsid w:val="00611F34"/>
    <w:rsid w:val="006125A3"/>
    <w:rsid w:val="006139CC"/>
    <w:rsid w:val="00614CD1"/>
    <w:rsid w:val="00614FCF"/>
    <w:rsid w:val="0061505B"/>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6FC7"/>
    <w:rsid w:val="00627343"/>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EF1"/>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BBF"/>
    <w:rsid w:val="006D62E3"/>
    <w:rsid w:val="006D63B9"/>
    <w:rsid w:val="006D6485"/>
    <w:rsid w:val="006D7196"/>
    <w:rsid w:val="006D7779"/>
    <w:rsid w:val="006E0127"/>
    <w:rsid w:val="006E0B13"/>
    <w:rsid w:val="006E0BDC"/>
    <w:rsid w:val="006E0E2C"/>
    <w:rsid w:val="006E0F54"/>
    <w:rsid w:val="006E1163"/>
    <w:rsid w:val="006E13D1"/>
    <w:rsid w:val="006E1416"/>
    <w:rsid w:val="006E180C"/>
    <w:rsid w:val="006E22A7"/>
    <w:rsid w:val="006E2743"/>
    <w:rsid w:val="006E3D74"/>
    <w:rsid w:val="006E421D"/>
    <w:rsid w:val="006E4411"/>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6F75B6"/>
    <w:rsid w:val="00700297"/>
    <w:rsid w:val="007003C4"/>
    <w:rsid w:val="007004E7"/>
    <w:rsid w:val="00700503"/>
    <w:rsid w:val="007012DE"/>
    <w:rsid w:val="00701381"/>
    <w:rsid w:val="007013CA"/>
    <w:rsid w:val="007013E1"/>
    <w:rsid w:val="0070234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81A"/>
    <w:rsid w:val="0071295E"/>
    <w:rsid w:val="00712EDA"/>
    <w:rsid w:val="00714554"/>
    <w:rsid w:val="007152C6"/>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B63"/>
    <w:rsid w:val="00732D3E"/>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48F"/>
    <w:rsid w:val="00753902"/>
    <w:rsid w:val="00754157"/>
    <w:rsid w:val="007548CB"/>
    <w:rsid w:val="00754B7E"/>
    <w:rsid w:val="00754C7C"/>
    <w:rsid w:val="00756031"/>
    <w:rsid w:val="00756480"/>
    <w:rsid w:val="00756547"/>
    <w:rsid w:val="00756832"/>
    <w:rsid w:val="0075687E"/>
    <w:rsid w:val="007569E5"/>
    <w:rsid w:val="007577E5"/>
    <w:rsid w:val="007579BB"/>
    <w:rsid w:val="00760050"/>
    <w:rsid w:val="007603C9"/>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7DE"/>
    <w:rsid w:val="0079687F"/>
    <w:rsid w:val="00796995"/>
    <w:rsid w:val="0079707B"/>
    <w:rsid w:val="0079721F"/>
    <w:rsid w:val="007974C7"/>
    <w:rsid w:val="00797C70"/>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9E1"/>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908"/>
    <w:rsid w:val="007C7D97"/>
    <w:rsid w:val="007C7DF2"/>
    <w:rsid w:val="007D01E1"/>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14B"/>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BE"/>
    <w:rsid w:val="007F75DC"/>
    <w:rsid w:val="007F76A3"/>
    <w:rsid w:val="007F7845"/>
    <w:rsid w:val="007F7B22"/>
    <w:rsid w:val="00800436"/>
    <w:rsid w:val="008006AF"/>
    <w:rsid w:val="00800D14"/>
    <w:rsid w:val="00800DB3"/>
    <w:rsid w:val="0080153E"/>
    <w:rsid w:val="00801630"/>
    <w:rsid w:val="00801678"/>
    <w:rsid w:val="0080242F"/>
    <w:rsid w:val="0080246D"/>
    <w:rsid w:val="00802A0C"/>
    <w:rsid w:val="00803317"/>
    <w:rsid w:val="0080331E"/>
    <w:rsid w:val="008033A0"/>
    <w:rsid w:val="00803F54"/>
    <w:rsid w:val="00804E1E"/>
    <w:rsid w:val="00806455"/>
    <w:rsid w:val="00806E1F"/>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A1"/>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6D6"/>
    <w:rsid w:val="00836FA9"/>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1C6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3C9"/>
    <w:rsid w:val="00862B50"/>
    <w:rsid w:val="008632B9"/>
    <w:rsid w:val="0086362F"/>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3131"/>
    <w:rsid w:val="00893408"/>
    <w:rsid w:val="008935B2"/>
    <w:rsid w:val="0089365F"/>
    <w:rsid w:val="00893D29"/>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5290"/>
    <w:rsid w:val="008B5872"/>
    <w:rsid w:val="008B630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6F14"/>
    <w:rsid w:val="008C72ED"/>
    <w:rsid w:val="008D0543"/>
    <w:rsid w:val="008D0B2D"/>
    <w:rsid w:val="008D137D"/>
    <w:rsid w:val="008D1688"/>
    <w:rsid w:val="008D18C0"/>
    <w:rsid w:val="008D19DF"/>
    <w:rsid w:val="008D20FF"/>
    <w:rsid w:val="008D3C28"/>
    <w:rsid w:val="008D3DA7"/>
    <w:rsid w:val="008D3F7D"/>
    <w:rsid w:val="008D46A8"/>
    <w:rsid w:val="008D47DF"/>
    <w:rsid w:val="008D4A01"/>
    <w:rsid w:val="008D5F6F"/>
    <w:rsid w:val="008D5F74"/>
    <w:rsid w:val="008D63F2"/>
    <w:rsid w:val="008D6F87"/>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BA8"/>
    <w:rsid w:val="008E785F"/>
    <w:rsid w:val="008E79D3"/>
    <w:rsid w:val="008F0300"/>
    <w:rsid w:val="008F0360"/>
    <w:rsid w:val="008F0580"/>
    <w:rsid w:val="008F06A6"/>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6F57"/>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99D"/>
    <w:rsid w:val="00925E77"/>
    <w:rsid w:val="00926519"/>
    <w:rsid w:val="00926E6D"/>
    <w:rsid w:val="00927053"/>
    <w:rsid w:val="00927B77"/>
    <w:rsid w:val="00927C14"/>
    <w:rsid w:val="00927E04"/>
    <w:rsid w:val="009300F1"/>
    <w:rsid w:val="00930369"/>
    <w:rsid w:val="00930390"/>
    <w:rsid w:val="009303FC"/>
    <w:rsid w:val="00930502"/>
    <w:rsid w:val="00930C3E"/>
    <w:rsid w:val="00930C42"/>
    <w:rsid w:val="009315B7"/>
    <w:rsid w:val="0093165B"/>
    <w:rsid w:val="00931A33"/>
    <w:rsid w:val="00931A65"/>
    <w:rsid w:val="00931B76"/>
    <w:rsid w:val="00932215"/>
    <w:rsid w:val="00933B9D"/>
    <w:rsid w:val="00934A98"/>
    <w:rsid w:val="00934C39"/>
    <w:rsid w:val="00934F00"/>
    <w:rsid w:val="009350BF"/>
    <w:rsid w:val="009352C9"/>
    <w:rsid w:val="009353DB"/>
    <w:rsid w:val="0093675A"/>
    <w:rsid w:val="00936767"/>
    <w:rsid w:val="00936BB6"/>
    <w:rsid w:val="00936E7E"/>
    <w:rsid w:val="0093717E"/>
    <w:rsid w:val="00937883"/>
    <w:rsid w:val="00937A13"/>
    <w:rsid w:val="00937AC7"/>
    <w:rsid w:val="00937EAA"/>
    <w:rsid w:val="00940516"/>
    <w:rsid w:val="009406AC"/>
    <w:rsid w:val="00941CF9"/>
    <w:rsid w:val="0094203F"/>
    <w:rsid w:val="00942110"/>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C76"/>
    <w:rsid w:val="00982CDF"/>
    <w:rsid w:val="009832A8"/>
    <w:rsid w:val="009835DA"/>
    <w:rsid w:val="00983AFA"/>
    <w:rsid w:val="0098492B"/>
    <w:rsid w:val="00984E48"/>
    <w:rsid w:val="009857AA"/>
    <w:rsid w:val="00985CEC"/>
    <w:rsid w:val="00985EF7"/>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22"/>
    <w:rsid w:val="009A72A3"/>
    <w:rsid w:val="009A7D0A"/>
    <w:rsid w:val="009B005B"/>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6D3"/>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43"/>
    <w:rsid w:val="009F2BD3"/>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8CF"/>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B79"/>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A0B"/>
    <w:rsid w:val="00A52FD9"/>
    <w:rsid w:val="00A531E0"/>
    <w:rsid w:val="00A537AD"/>
    <w:rsid w:val="00A53874"/>
    <w:rsid w:val="00A539D1"/>
    <w:rsid w:val="00A53A07"/>
    <w:rsid w:val="00A53B9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34D"/>
    <w:rsid w:val="00A66D4C"/>
    <w:rsid w:val="00A66E3B"/>
    <w:rsid w:val="00A66F3D"/>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71"/>
    <w:rsid w:val="00A769DE"/>
    <w:rsid w:val="00A76BA8"/>
    <w:rsid w:val="00A8025E"/>
    <w:rsid w:val="00A80E7E"/>
    <w:rsid w:val="00A81217"/>
    <w:rsid w:val="00A81A35"/>
    <w:rsid w:val="00A81A85"/>
    <w:rsid w:val="00A81CC3"/>
    <w:rsid w:val="00A82422"/>
    <w:rsid w:val="00A82697"/>
    <w:rsid w:val="00A82B61"/>
    <w:rsid w:val="00A82F41"/>
    <w:rsid w:val="00A830EA"/>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6B1"/>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2BF"/>
    <w:rsid w:val="00A9349C"/>
    <w:rsid w:val="00A938E6"/>
    <w:rsid w:val="00A93BF7"/>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F80"/>
    <w:rsid w:val="00AA7FA4"/>
    <w:rsid w:val="00AB0E52"/>
    <w:rsid w:val="00AB1584"/>
    <w:rsid w:val="00AB1A72"/>
    <w:rsid w:val="00AB1D3F"/>
    <w:rsid w:val="00AB2574"/>
    <w:rsid w:val="00AB2697"/>
    <w:rsid w:val="00AB2FE2"/>
    <w:rsid w:val="00AB3462"/>
    <w:rsid w:val="00AB4B95"/>
    <w:rsid w:val="00AB5094"/>
    <w:rsid w:val="00AB5576"/>
    <w:rsid w:val="00AB55D1"/>
    <w:rsid w:val="00AB5B51"/>
    <w:rsid w:val="00AB5E9A"/>
    <w:rsid w:val="00AB621D"/>
    <w:rsid w:val="00AB6FE9"/>
    <w:rsid w:val="00AB71E1"/>
    <w:rsid w:val="00AB7790"/>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76C"/>
    <w:rsid w:val="00AE7A30"/>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C48"/>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5B3"/>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7FE"/>
    <w:rsid w:val="00B61D08"/>
    <w:rsid w:val="00B621BB"/>
    <w:rsid w:val="00B62680"/>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C99"/>
    <w:rsid w:val="00B66D8E"/>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819"/>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772"/>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AE0"/>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E1B"/>
    <w:rsid w:val="00BE3F4B"/>
    <w:rsid w:val="00BE3F7A"/>
    <w:rsid w:val="00BE45C2"/>
    <w:rsid w:val="00BE46F6"/>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CF"/>
    <w:rsid w:val="00C20531"/>
    <w:rsid w:val="00C20BEA"/>
    <w:rsid w:val="00C21016"/>
    <w:rsid w:val="00C21368"/>
    <w:rsid w:val="00C21D22"/>
    <w:rsid w:val="00C2255D"/>
    <w:rsid w:val="00C22776"/>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4D4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67D18"/>
    <w:rsid w:val="00C70307"/>
    <w:rsid w:val="00C7040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D41"/>
    <w:rsid w:val="00CC6045"/>
    <w:rsid w:val="00CC609E"/>
    <w:rsid w:val="00CC6167"/>
    <w:rsid w:val="00CC6632"/>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4710"/>
    <w:rsid w:val="00CD4B26"/>
    <w:rsid w:val="00CD4C82"/>
    <w:rsid w:val="00CD4DEB"/>
    <w:rsid w:val="00CD4ED4"/>
    <w:rsid w:val="00CD4FE8"/>
    <w:rsid w:val="00CD54A2"/>
    <w:rsid w:val="00CD57C8"/>
    <w:rsid w:val="00CD5B76"/>
    <w:rsid w:val="00CD5E06"/>
    <w:rsid w:val="00CD6864"/>
    <w:rsid w:val="00CD6980"/>
    <w:rsid w:val="00CD7479"/>
    <w:rsid w:val="00CD7D2E"/>
    <w:rsid w:val="00CD7E77"/>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659"/>
    <w:rsid w:val="00D12359"/>
    <w:rsid w:val="00D12417"/>
    <w:rsid w:val="00D12600"/>
    <w:rsid w:val="00D13049"/>
    <w:rsid w:val="00D13ABA"/>
    <w:rsid w:val="00D1455A"/>
    <w:rsid w:val="00D14976"/>
    <w:rsid w:val="00D14E8C"/>
    <w:rsid w:val="00D14FD8"/>
    <w:rsid w:val="00D173C3"/>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79D"/>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A0C"/>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E47"/>
    <w:rsid w:val="00DB1FE0"/>
    <w:rsid w:val="00DB2744"/>
    <w:rsid w:val="00DB3440"/>
    <w:rsid w:val="00DB351A"/>
    <w:rsid w:val="00DB35BD"/>
    <w:rsid w:val="00DB3915"/>
    <w:rsid w:val="00DB3A47"/>
    <w:rsid w:val="00DB3FC7"/>
    <w:rsid w:val="00DB43B9"/>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359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47A"/>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27FBC"/>
    <w:rsid w:val="00E30565"/>
    <w:rsid w:val="00E30E7B"/>
    <w:rsid w:val="00E30E87"/>
    <w:rsid w:val="00E30EE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3C7"/>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6D"/>
    <w:rsid w:val="00E72AB4"/>
    <w:rsid w:val="00E73325"/>
    <w:rsid w:val="00E7338E"/>
    <w:rsid w:val="00E73852"/>
    <w:rsid w:val="00E73F27"/>
    <w:rsid w:val="00E74212"/>
    <w:rsid w:val="00E746E5"/>
    <w:rsid w:val="00E748A8"/>
    <w:rsid w:val="00E74DCB"/>
    <w:rsid w:val="00E754AD"/>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84"/>
    <w:rsid w:val="00E943FF"/>
    <w:rsid w:val="00E946A6"/>
    <w:rsid w:val="00E94823"/>
    <w:rsid w:val="00E9575B"/>
    <w:rsid w:val="00E95D28"/>
    <w:rsid w:val="00E96219"/>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F38"/>
    <w:rsid w:val="00EB19F9"/>
    <w:rsid w:val="00EB1E70"/>
    <w:rsid w:val="00EB21C4"/>
    <w:rsid w:val="00EB241D"/>
    <w:rsid w:val="00EB2CA2"/>
    <w:rsid w:val="00EB2D87"/>
    <w:rsid w:val="00EB2EFE"/>
    <w:rsid w:val="00EB3773"/>
    <w:rsid w:val="00EB3B7F"/>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02"/>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608"/>
    <w:rsid w:val="00F366C5"/>
    <w:rsid w:val="00F366F1"/>
    <w:rsid w:val="00F36F53"/>
    <w:rsid w:val="00F37A15"/>
    <w:rsid w:val="00F402B8"/>
    <w:rsid w:val="00F40331"/>
    <w:rsid w:val="00F41DEF"/>
    <w:rsid w:val="00F426A3"/>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F5C"/>
    <w:rsid w:val="00F73352"/>
    <w:rsid w:val="00F73E36"/>
    <w:rsid w:val="00F744C7"/>
    <w:rsid w:val="00F74EB5"/>
    <w:rsid w:val="00F75A76"/>
    <w:rsid w:val="00F761E0"/>
    <w:rsid w:val="00F76C9A"/>
    <w:rsid w:val="00F7731B"/>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4D89"/>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AFA"/>
    <w:rsid w:val="00FE3E38"/>
    <w:rsid w:val="00FE43B0"/>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201A"/>
    <w:rsid w:val="00FF2A3F"/>
    <w:rsid w:val="00FF2B76"/>
    <w:rsid w:val="00FF2C4F"/>
    <w:rsid w:val="00FF2CDC"/>
    <w:rsid w:val="00FF38D5"/>
    <w:rsid w:val="00FF423D"/>
    <w:rsid w:val="00FF453D"/>
    <w:rsid w:val="00FF4D48"/>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5.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C68372-C64C-4020-A602-966007DF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2789</Words>
  <Characters>15900</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Downlink</vt:lpstr>
      <vt:lpstr>DCI Design</vt:lpstr>
      <vt:lpstr>Others</vt:lpstr>
      <vt:lpstr>Conclusions</vt:lpstr>
      <vt:lpstr>References</vt:lpstr>
    </vt:vector>
  </TitlesOfParts>
  <Company>Nokia Siemens Networks</Company>
  <LinksUpToDate>false</LinksUpToDate>
  <CharactersWithSpaces>18652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3</cp:revision>
  <cp:lastPrinted>2019-04-30T02:45:00Z</cp:lastPrinted>
  <dcterms:created xsi:type="dcterms:W3CDTF">2021-04-06T15:03:00Z</dcterms:created>
  <dcterms:modified xsi:type="dcterms:W3CDTF">2021-04-06T15:05:00Z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