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6C50" w14:textId="51AC2FE3"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AD99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343D6">
        <w:rPr>
          <w:rFonts w:ascii="Arial" w:hAnsi="Arial" w:cs="Arial"/>
          <w:b/>
          <w:bCs/>
          <w:sz w:val="28"/>
        </w:rPr>
        <w:t>3GPP TSG RAN WG1</w:t>
      </w:r>
      <w:r w:rsidR="00F63F9E">
        <w:rPr>
          <w:rFonts w:ascii="Arial" w:hAnsi="Arial" w:cs="Arial"/>
          <w:b/>
          <w:bCs/>
          <w:sz w:val="28"/>
        </w:rPr>
        <w:t>#</w:t>
      </w:r>
      <w:r w:rsidR="00F26D8A">
        <w:rPr>
          <w:rFonts w:ascii="Arial" w:hAnsi="Arial" w:cs="Arial"/>
          <w:b/>
          <w:bCs/>
          <w:sz w:val="28"/>
        </w:rPr>
        <w:t>10</w:t>
      </w:r>
      <w:r w:rsidR="00500258">
        <w:rPr>
          <w:rFonts w:ascii="Arial" w:hAnsi="Arial" w:cs="Arial"/>
          <w:b/>
          <w:bCs/>
          <w:sz w:val="28"/>
        </w:rPr>
        <w:t>4</w:t>
      </w:r>
      <w:r w:rsidR="009341CD">
        <w:rPr>
          <w:rFonts w:ascii="Arial" w:hAnsi="Arial" w:cs="Arial" w:hint="eastAsia"/>
          <w:b/>
          <w:bCs/>
          <w:sz w:val="28"/>
          <w:lang w:eastAsia="zh-CN"/>
        </w:rPr>
        <w:t>b</w:t>
      </w:r>
      <w:r w:rsidR="002E4EDD">
        <w:rPr>
          <w:rFonts w:ascii="Arial" w:hAnsi="Arial" w:cs="Arial"/>
          <w:b/>
          <w:bCs/>
          <w:sz w:val="28"/>
        </w:rPr>
        <w:t>-e</w:t>
      </w:r>
      <w:r w:rsidR="00682B9E">
        <w:rPr>
          <w:rFonts w:ascii="Arial" w:hAnsi="Arial" w:cs="Arial"/>
          <w:b/>
          <w:bCs/>
          <w:sz w:val="28"/>
        </w:rPr>
        <w:t xml:space="preserve">                              </w:t>
      </w:r>
      <w:r w:rsidR="00F63F9E">
        <w:rPr>
          <w:rFonts w:ascii="Arial" w:hAnsi="Arial" w:cs="Arial"/>
          <w:b/>
          <w:bCs/>
          <w:sz w:val="28"/>
        </w:rPr>
        <w:tab/>
        <w:t xml:space="preserve">               </w:t>
      </w:r>
      <w:r w:rsidR="00FD663C">
        <w:rPr>
          <w:rFonts w:ascii="Arial" w:hAnsi="Arial" w:cs="Arial"/>
          <w:b/>
          <w:bCs/>
          <w:sz w:val="28"/>
        </w:rPr>
        <w:t xml:space="preserve">   </w:t>
      </w:r>
      <w:r w:rsidR="009341CD">
        <w:rPr>
          <w:rFonts w:ascii="Arial" w:hAnsi="Arial" w:cs="Arial"/>
          <w:b/>
          <w:bCs/>
          <w:sz w:val="28"/>
        </w:rPr>
        <w:t xml:space="preserve"> </w:t>
      </w:r>
      <w:r w:rsidR="004C6BB0">
        <w:rPr>
          <w:rFonts w:ascii="Arial" w:hAnsi="Arial" w:cs="Arial"/>
          <w:b/>
          <w:bCs/>
          <w:sz w:val="28"/>
        </w:rPr>
        <w:t>R1-</w:t>
      </w:r>
      <w:r w:rsidR="004B6E85" w:rsidRPr="004B6E85">
        <w:t xml:space="preserve"> </w:t>
      </w:r>
      <w:r w:rsidR="00E553C4">
        <w:rPr>
          <w:rFonts w:ascii="Arial" w:hAnsi="Arial" w:cs="Arial"/>
          <w:b/>
          <w:bCs/>
          <w:sz w:val="28"/>
        </w:rPr>
        <w:t>2</w:t>
      </w:r>
      <w:r w:rsidR="00500258">
        <w:rPr>
          <w:rFonts w:ascii="Arial" w:hAnsi="Arial" w:cs="Arial" w:hint="eastAsia"/>
          <w:b/>
          <w:bCs/>
          <w:sz w:val="28"/>
          <w:lang w:eastAsia="zh-CN"/>
        </w:rPr>
        <w:t>1</w:t>
      </w:r>
      <w:r w:rsidR="00EE2F41">
        <w:rPr>
          <w:rFonts w:ascii="Arial" w:hAnsi="Arial" w:cs="Arial"/>
          <w:b/>
          <w:bCs/>
          <w:sz w:val="28"/>
          <w:lang w:eastAsia="zh-CN"/>
        </w:rPr>
        <w:t>0</w:t>
      </w:r>
      <w:r w:rsidR="009341CD" w:rsidRPr="009341CD">
        <w:rPr>
          <w:rFonts w:ascii="Arial" w:hAnsi="Arial" w:cs="Arial" w:hint="eastAsia"/>
          <w:b/>
          <w:bCs/>
          <w:sz w:val="28"/>
          <w:lang w:eastAsia="zh-CN"/>
        </w:rPr>
        <w:t>24</w:t>
      </w:r>
      <w:r w:rsidR="002B284C">
        <w:rPr>
          <w:rFonts w:ascii="Arial" w:hAnsi="Arial" w:cs="Arial"/>
          <w:b/>
          <w:bCs/>
          <w:sz w:val="28"/>
          <w:lang w:eastAsia="zh-CN"/>
        </w:rPr>
        <w:t>49</w:t>
      </w:r>
    </w:p>
    <w:p w14:paraId="6CEF2C61" w14:textId="7E8BF667" w:rsidR="003C346D" w:rsidRPr="00961FDC" w:rsidRDefault="00FD0BA2" w:rsidP="00F13613">
      <w:pPr>
        <w:tabs>
          <w:tab w:val="center" w:pos="4536"/>
          <w:tab w:val="right" w:pos="8280"/>
          <w:tab w:val="right" w:pos="9639"/>
        </w:tabs>
        <w:ind w:right="2"/>
        <w:rPr>
          <w:rFonts w:ascii="Arial" w:eastAsia="MS Mincho" w:hAnsi="Arial" w:cs="Arial"/>
          <w:b/>
          <w:bCs/>
          <w:sz w:val="28"/>
          <w:lang w:eastAsia="ja-JP"/>
        </w:rPr>
      </w:pPr>
      <w:r w:rsidRPr="00FD663C">
        <w:rPr>
          <w:rFonts w:ascii="Arial" w:eastAsia="MS Mincho" w:hAnsi="Arial" w:cs="Arial"/>
          <w:b/>
          <w:bCs/>
          <w:sz w:val="28"/>
          <w:lang w:eastAsia="ja-JP"/>
        </w:rPr>
        <w:t>e-</w:t>
      </w:r>
      <w:r w:rsidR="00FD663C" w:rsidRPr="00FD663C">
        <w:rPr>
          <w:rFonts w:ascii="Arial" w:eastAsia="MS Mincho" w:hAnsi="Arial" w:cs="Arial"/>
          <w:b/>
          <w:bCs/>
          <w:sz w:val="28"/>
          <w:lang w:eastAsia="ja-JP"/>
        </w:rPr>
        <w:t>Meeting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sidR="009341CD">
        <w:rPr>
          <w:rFonts w:ascii="Arial" w:eastAsia="MS Mincho" w:hAnsi="Arial" w:cs="Arial"/>
          <w:b/>
          <w:bCs/>
          <w:sz w:val="28"/>
          <w:lang w:eastAsia="ja-JP"/>
        </w:rPr>
        <w:t>April</w:t>
      </w:r>
      <w:r w:rsidR="006922BB">
        <w:rPr>
          <w:rFonts w:ascii="Arial" w:eastAsia="MS Mincho" w:hAnsi="Arial" w:cs="Arial"/>
          <w:b/>
          <w:bCs/>
          <w:sz w:val="28"/>
          <w:lang w:eastAsia="ja-JP"/>
        </w:rPr>
        <w:t xml:space="preserve"> </w:t>
      </w:r>
      <w:r w:rsidR="009341CD">
        <w:rPr>
          <w:rFonts w:ascii="Arial" w:eastAsia="MS Mincho" w:hAnsi="Arial" w:cs="Arial"/>
          <w:b/>
          <w:bCs/>
          <w:sz w:val="28"/>
          <w:lang w:eastAsia="ja-JP"/>
        </w:rPr>
        <w:t>12</w:t>
      </w:r>
      <w:r w:rsidR="00B57B2A">
        <w:rPr>
          <w:rFonts w:ascii="Arial" w:eastAsia="MS Mincho" w:hAnsi="Arial" w:cs="Arial"/>
          <w:b/>
          <w:bCs/>
          <w:sz w:val="28"/>
          <w:vertAlign w:val="superscript"/>
          <w:lang w:eastAsia="ja-JP"/>
        </w:rPr>
        <w:t>th</w:t>
      </w:r>
      <w:r w:rsidR="00B57B2A">
        <w:rPr>
          <w:rFonts w:ascii="Arial" w:eastAsia="MS Mincho" w:hAnsi="Arial" w:cs="Arial"/>
          <w:b/>
          <w:bCs/>
          <w:sz w:val="28"/>
          <w:lang w:eastAsia="ja-JP"/>
        </w:rPr>
        <w:t xml:space="preserve"> </w:t>
      </w:r>
      <w:r w:rsidR="002E4EDD">
        <w:rPr>
          <w:rFonts w:ascii="Arial" w:eastAsia="MS Mincho" w:hAnsi="Arial" w:cs="Arial"/>
          <w:b/>
          <w:bCs/>
          <w:sz w:val="28"/>
          <w:lang w:eastAsia="ja-JP"/>
        </w:rPr>
        <w:t>–</w:t>
      </w:r>
      <w:r w:rsidR="006922BB">
        <w:rPr>
          <w:rFonts w:ascii="Arial" w:eastAsia="MS Mincho" w:hAnsi="Arial" w:cs="Arial"/>
          <w:b/>
          <w:bCs/>
          <w:sz w:val="28"/>
          <w:lang w:eastAsia="ja-JP"/>
        </w:rPr>
        <w:t xml:space="preserve"> </w:t>
      </w:r>
      <w:r w:rsidR="009341CD">
        <w:rPr>
          <w:rFonts w:ascii="Arial" w:eastAsia="MS Mincho" w:hAnsi="Arial" w:cs="Arial"/>
          <w:b/>
          <w:bCs/>
          <w:sz w:val="28"/>
          <w:lang w:eastAsia="ja-JP"/>
        </w:rPr>
        <w:t>20</w:t>
      </w:r>
      <w:r w:rsidR="00FD663C">
        <w:rPr>
          <w:rFonts w:ascii="Arial" w:eastAsia="MS Mincho" w:hAnsi="Arial" w:cs="Arial"/>
          <w:b/>
          <w:bCs/>
          <w:sz w:val="28"/>
          <w:vertAlign w:val="superscript"/>
          <w:lang w:eastAsia="ja-JP"/>
        </w:rPr>
        <w:t>th</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sidR="00500258">
        <w:rPr>
          <w:rFonts w:ascii="Arial" w:eastAsia="MS Mincho" w:hAnsi="Arial" w:cs="Arial"/>
          <w:b/>
          <w:bCs/>
          <w:sz w:val="28"/>
          <w:lang w:eastAsia="ja-JP"/>
        </w:rPr>
        <w:t>21</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3FC35156"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500258">
        <w:rPr>
          <w:b/>
        </w:rPr>
        <w:t>8</w:t>
      </w:r>
      <w:r w:rsidR="002E4EDD">
        <w:rPr>
          <w:b/>
        </w:rPr>
        <w:t>.2</w:t>
      </w:r>
      <w:r w:rsidR="00D1001B">
        <w:rPr>
          <w:b/>
        </w:rPr>
        <w:t>.</w:t>
      </w:r>
      <w:r w:rsidR="002B284C">
        <w:rPr>
          <w:b/>
        </w:rPr>
        <w:t>2</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0DD4EDFA" w:rsidR="003C346D" w:rsidRPr="00447E0C" w:rsidRDefault="003C346D" w:rsidP="003C346D">
      <w:pPr>
        <w:spacing w:after="60"/>
        <w:ind w:left="1555" w:hanging="1555"/>
        <w:jc w:val="left"/>
        <w:rPr>
          <w:b/>
          <w:lang w:eastAsia="zh-CN"/>
        </w:rPr>
      </w:pPr>
      <w:r w:rsidRPr="00447E0C">
        <w:rPr>
          <w:b/>
        </w:rPr>
        <w:t>Title:</w:t>
      </w:r>
      <w:r w:rsidRPr="00447E0C">
        <w:rPr>
          <w:b/>
        </w:rPr>
        <w:tab/>
      </w:r>
      <w:r w:rsidR="002B284C" w:rsidRPr="007F34AE">
        <w:rPr>
          <w:b/>
          <w:color w:val="000000"/>
        </w:rPr>
        <w:t>Discussion on PDCCH monitoring enhancement for NR beyond 52.6 GHz</w:t>
      </w:r>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0" w:name="OLE_LINK13"/>
      <w:bookmarkStart w:id="1" w:name="OLE_LINK14"/>
      <w:bookmarkStart w:id="2" w:name="_Ref494215420"/>
    </w:p>
    <w:bookmarkEnd w:id="0"/>
    <w:bookmarkEnd w:id="1"/>
    <w:p w14:paraId="3AEFFFB7" w14:textId="6324BDE9" w:rsidR="002B284C" w:rsidRPr="00E67848" w:rsidRDefault="002B284C" w:rsidP="002B284C">
      <w:pPr>
        <w:rPr>
          <w:rFonts w:eastAsia="等线" w:hint="eastAsia"/>
          <w:lang w:eastAsia="zh-CN"/>
        </w:rPr>
      </w:pPr>
      <w:r w:rsidRPr="00E67848">
        <w:t xml:space="preserve">In RAN1 102e and 103e, many companies </w:t>
      </w:r>
      <w:r w:rsidRPr="00E67848">
        <w:rPr>
          <w:rFonts w:hint="eastAsia"/>
        </w:rPr>
        <w:t>discuss</w:t>
      </w:r>
      <w:r w:rsidRPr="00E67848">
        <w:t>ed</w:t>
      </w:r>
      <w:r w:rsidRPr="00E67848">
        <w:rPr>
          <w:rFonts w:eastAsia="MS Mincho"/>
          <w:lang w:eastAsia="ja-JP"/>
        </w:rPr>
        <w:t xml:space="preserve"> physical design for 52.6-71 GHz</w:t>
      </w:r>
      <w:r w:rsidRPr="00E67848">
        <w:t>, including new numerology, carrier bandwidth, phase noise impacts, channel access mechanism, beam management</w:t>
      </w:r>
      <w:r w:rsidRPr="00E67848">
        <w:rPr>
          <w:rFonts w:ascii="等线" w:eastAsia="等线" w:hAnsi="等线" w:hint="eastAsia"/>
          <w:lang w:eastAsia="zh-CN"/>
        </w:rPr>
        <w:t>，</w:t>
      </w:r>
      <w:r w:rsidRPr="00E67848">
        <w:rPr>
          <w:lang w:eastAsia="zh-CN"/>
        </w:rPr>
        <w:t xml:space="preserve">initial access </w:t>
      </w:r>
      <w:r w:rsidRPr="00E67848">
        <w:rPr>
          <w:rFonts w:hint="eastAsia"/>
          <w:lang w:eastAsia="zh-CN"/>
        </w:rPr>
        <w:t>and</w:t>
      </w:r>
      <w:r w:rsidRPr="00E67848">
        <w:rPr>
          <w:lang w:eastAsia="zh-CN"/>
        </w:rPr>
        <w:t xml:space="preserve"> physical channel/signal, etc.</w:t>
      </w:r>
      <w:r w:rsidRPr="00E67848">
        <w:rPr>
          <w:rFonts w:eastAsia="MS Mincho"/>
          <w:lang w:eastAsia="ja-JP"/>
        </w:rPr>
        <w:t xml:space="preserve"> Various proposals have been discussed and multiple agreements have been reached on PHY design for 52.6-71 GHz support in previous meetings. </w:t>
      </w:r>
      <w:r w:rsidRPr="00E67848">
        <w:rPr>
          <w:lang w:eastAsia="zh-CN"/>
        </w:rPr>
        <w:t>I</w:t>
      </w:r>
      <w:r w:rsidRPr="00E67848">
        <w:rPr>
          <w:rFonts w:hint="eastAsia"/>
          <w:lang w:eastAsia="zh-CN"/>
        </w:rPr>
        <w:t xml:space="preserve">n </w:t>
      </w:r>
      <w:r w:rsidRPr="00E67848">
        <w:rPr>
          <w:lang w:eastAsia="zh-CN"/>
        </w:rPr>
        <w:t>RAN#</w:t>
      </w:r>
      <w:r w:rsidRPr="00E67848">
        <w:rPr>
          <w:rFonts w:hint="eastAsia"/>
          <w:lang w:eastAsia="zh-CN"/>
        </w:rPr>
        <w:t>90</w:t>
      </w:r>
      <w:r w:rsidRPr="00E67848">
        <w:rPr>
          <w:lang w:eastAsia="zh-CN"/>
        </w:rPr>
        <w:t xml:space="preserve">-e meeting, the </w:t>
      </w:r>
      <w:r w:rsidRPr="00E67848">
        <w:rPr>
          <w:rFonts w:hint="eastAsia"/>
          <w:lang w:eastAsia="zh-CN"/>
        </w:rPr>
        <w:t xml:space="preserve">WID </w:t>
      </w:r>
      <w:r w:rsidRPr="00E67848">
        <w:rPr>
          <w:lang w:eastAsia="zh-CN"/>
        </w:rPr>
        <w:t>of extending current NR operation to 71GHz has been agreed. And the following PDCCH monitoring enhancement has been made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B284C" w:rsidRPr="00005208" w14:paraId="19B6E0C4" w14:textId="77777777" w:rsidTr="00205F26">
        <w:tc>
          <w:tcPr>
            <w:tcW w:w="9307" w:type="dxa"/>
            <w:shd w:val="clear" w:color="auto" w:fill="auto"/>
          </w:tcPr>
          <w:p w14:paraId="2431D46B" w14:textId="77777777" w:rsidR="002B284C" w:rsidRPr="00A45E4C" w:rsidRDefault="002B284C" w:rsidP="002B284C">
            <w:pPr>
              <w:pStyle w:val="B1"/>
              <w:widowControl w:val="0"/>
              <w:numPr>
                <w:ilvl w:val="0"/>
                <w:numId w:val="14"/>
              </w:numPr>
              <w:overflowPunct w:val="0"/>
              <w:autoSpaceDE w:val="0"/>
              <w:autoSpaceDN w:val="0"/>
              <w:adjustRightInd w:val="0"/>
              <w:spacing w:before="180"/>
              <w:ind w:left="360"/>
              <w:textAlignment w:val="baseline"/>
              <w:rPr>
                <w:sz w:val="22"/>
                <w:szCs w:val="22"/>
              </w:rPr>
            </w:pPr>
            <w:r w:rsidRPr="00A45E4C">
              <w:rPr>
                <w:sz w:val="22"/>
                <w:szCs w:val="22"/>
                <w:lang w:eastAsia="ja-JP"/>
              </w:rPr>
              <w:t>Physical layer procedure(s) including [RAN1]</w:t>
            </w:r>
            <w:r w:rsidRPr="00A45E4C">
              <w:rPr>
                <w:rFonts w:hint="eastAsia"/>
                <w:sz w:val="22"/>
                <w:szCs w:val="22"/>
                <w:lang w:eastAsia="ja-JP"/>
              </w:rPr>
              <w:t>:</w:t>
            </w:r>
          </w:p>
          <w:p w14:paraId="26AEC48B" w14:textId="77777777" w:rsidR="002B284C" w:rsidRPr="00005208" w:rsidRDefault="002B284C" w:rsidP="002B284C">
            <w:pPr>
              <w:pStyle w:val="B1"/>
              <w:numPr>
                <w:ilvl w:val="1"/>
                <w:numId w:val="14"/>
              </w:numPr>
              <w:overflowPunct w:val="0"/>
              <w:autoSpaceDE w:val="0"/>
              <w:autoSpaceDN w:val="0"/>
              <w:adjustRightInd w:val="0"/>
              <w:spacing w:before="180"/>
              <w:textAlignment w:val="baseline"/>
              <w:rPr>
                <w:sz w:val="22"/>
                <w:szCs w:val="22"/>
                <w:lang w:eastAsia="zh-CN"/>
              </w:rPr>
            </w:pPr>
            <w:bookmarkStart w:id="3" w:name="_Hlk58595024"/>
            <w:r w:rsidRPr="00005208">
              <w:rPr>
                <w:sz w:val="22"/>
                <w:szCs w:val="22"/>
                <w:lang w:eastAsia="zh-CN"/>
              </w:rPr>
              <w:t>Support enhancement to PDCCH monitoring, including blind detection/CCE budget, and multi-slot span monitoring, potential limitation to UE PDCCH configuration and capability related to PDCCH monitoring.</w:t>
            </w:r>
            <w:bookmarkEnd w:id="3"/>
          </w:p>
        </w:tc>
      </w:tr>
    </w:tbl>
    <w:p w14:paraId="17D971A2" w14:textId="77777777" w:rsidR="002B284C" w:rsidRPr="00005208" w:rsidRDefault="002B284C" w:rsidP="002B284C">
      <w:pPr>
        <w:rPr>
          <w:rFonts w:eastAsia="Yu Mincho" w:hint="eastAsia"/>
          <w:lang w:val="en-GB" w:eastAsia="ja-JP"/>
        </w:rPr>
      </w:pPr>
    </w:p>
    <w:p w14:paraId="2978B571" w14:textId="034ED2C3" w:rsidR="006D1D5B" w:rsidRPr="002B284C" w:rsidRDefault="002B284C" w:rsidP="002B284C">
      <w:pPr>
        <w:widowControl w:val="0"/>
        <w:kinsoku w:val="0"/>
        <w:overflowPunct w:val="0"/>
        <w:rPr>
          <w:rFonts w:eastAsia="MS Mincho"/>
          <w:lang w:eastAsia="ja-JP"/>
        </w:rPr>
      </w:pPr>
      <w:r w:rsidRPr="00BF2172">
        <w:rPr>
          <w:rFonts w:eastAsia="MS Mincho"/>
          <w:lang w:eastAsia="ja-JP"/>
        </w:rPr>
        <w:t>In RAN1 10</w:t>
      </w:r>
      <w:r w:rsidRPr="00BF2172">
        <w:rPr>
          <w:rFonts w:ascii="等线" w:eastAsia="等线" w:hAnsi="等线" w:hint="eastAsia"/>
          <w:lang w:eastAsia="zh-CN"/>
        </w:rPr>
        <w:t>4-</w:t>
      </w:r>
      <w:r w:rsidRPr="00BF2172">
        <w:rPr>
          <w:rFonts w:eastAsia="MS Mincho"/>
          <w:lang w:eastAsia="ja-JP"/>
        </w:rPr>
        <w:t xml:space="preserve">e meeting, multi-slot span PDCCH monitoring capacity is reached due to higher SCS introduced for above 52.6GHz. </w:t>
      </w:r>
      <w:r w:rsidRPr="00583488">
        <w:rPr>
          <w:rFonts w:eastAsia="MS Mincho"/>
          <w:lang w:eastAsia="ja-JP"/>
        </w:rPr>
        <w:t xml:space="preserve">In this contribution, we will provide our views on </w:t>
      </w:r>
      <w:r w:rsidRPr="00583488">
        <w:rPr>
          <w:lang w:eastAsia="zh-CN"/>
        </w:rPr>
        <w:t xml:space="preserve">PDCCH </w:t>
      </w:r>
      <w:r w:rsidRPr="00583488">
        <w:rPr>
          <w:rFonts w:eastAsia="等线"/>
          <w:lang w:eastAsia="zh-CN"/>
        </w:rPr>
        <w:t>monitoring</w:t>
      </w:r>
      <w:r w:rsidRPr="00583488">
        <w:rPr>
          <w:lang w:eastAsia="zh-CN"/>
        </w:rPr>
        <w:t xml:space="preserve"> enhancement </w:t>
      </w:r>
      <w:r w:rsidRPr="00583488">
        <w:t xml:space="preserve">for operation in the 60GHz unlicensed band. </w:t>
      </w:r>
    </w:p>
    <w:p w14:paraId="0EE23ED6" w14:textId="4915A6ED" w:rsidR="000963A9" w:rsidRPr="005255D1" w:rsidRDefault="00847CD5" w:rsidP="005255D1">
      <w:pPr>
        <w:pStyle w:val="1"/>
        <w:rPr>
          <w:lang w:val="en-GB" w:eastAsia="zh-CN"/>
        </w:rPr>
      </w:pPr>
      <w:r>
        <w:rPr>
          <w:lang w:eastAsia="zh-CN"/>
        </w:rPr>
        <w:t>Discussion</w:t>
      </w:r>
      <w:bookmarkStart w:id="4" w:name="OLE_LINK26"/>
      <w:bookmarkStart w:id="5" w:name="OLE_LINK27"/>
      <w:bookmarkStart w:id="6" w:name="OLE_LINK8"/>
    </w:p>
    <w:bookmarkEnd w:id="4"/>
    <w:bookmarkEnd w:id="5"/>
    <w:bookmarkEnd w:id="6"/>
    <w:p w14:paraId="5582772C" w14:textId="77777777" w:rsidR="002B284C" w:rsidRPr="00E67848" w:rsidRDefault="002B284C" w:rsidP="002B284C">
      <w:pPr>
        <w:pStyle w:val="a3"/>
        <w:rPr>
          <w:rFonts w:eastAsia="宋体"/>
          <w:sz w:val="22"/>
          <w:szCs w:val="22"/>
          <w:lang w:eastAsia="zh-CN"/>
        </w:rPr>
      </w:pPr>
      <w:r w:rsidRPr="00E67848">
        <w:rPr>
          <w:rFonts w:eastAsia="宋体"/>
          <w:sz w:val="22"/>
          <w:szCs w:val="22"/>
          <w:lang w:eastAsia="zh-CN"/>
        </w:rPr>
        <w:t>In RAN1 10</w:t>
      </w:r>
      <w:r w:rsidRPr="00E67848">
        <w:rPr>
          <w:rFonts w:eastAsia="宋体" w:hint="eastAsia"/>
          <w:sz w:val="22"/>
          <w:szCs w:val="22"/>
          <w:lang w:eastAsia="zh-CN"/>
        </w:rPr>
        <w:t>4</w:t>
      </w:r>
      <w:r>
        <w:rPr>
          <w:rFonts w:eastAsia="宋体" w:hint="eastAsia"/>
          <w:sz w:val="22"/>
          <w:szCs w:val="22"/>
          <w:lang w:eastAsia="zh-CN"/>
        </w:rPr>
        <w:t>-</w:t>
      </w:r>
      <w:r w:rsidRPr="00E67848">
        <w:rPr>
          <w:rFonts w:eastAsia="宋体"/>
          <w:sz w:val="22"/>
          <w:szCs w:val="22"/>
          <w:lang w:eastAsia="zh-CN"/>
        </w:rPr>
        <w:t>e, the following agreement related to PDCCH monitoring enhancement</w:t>
      </w:r>
      <w:r w:rsidRPr="00E67848" w:rsidDel="005713E6">
        <w:rPr>
          <w:rFonts w:eastAsia="宋体"/>
          <w:sz w:val="22"/>
          <w:szCs w:val="22"/>
          <w:lang w:eastAsia="zh-CN"/>
        </w:rPr>
        <w:t xml:space="preserve"> </w:t>
      </w:r>
      <w:r w:rsidRPr="00E67848">
        <w:rPr>
          <w:rFonts w:eastAsia="宋体"/>
          <w:sz w:val="22"/>
          <w:szCs w:val="22"/>
          <w:lang w:eastAsia="zh-CN"/>
        </w:rPr>
        <w:t xml:space="preserve">is reached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2B284C" w:rsidRPr="00E67848" w14:paraId="1196066D" w14:textId="77777777" w:rsidTr="00205F26">
        <w:tc>
          <w:tcPr>
            <w:tcW w:w="9072" w:type="dxa"/>
            <w:shd w:val="clear" w:color="auto" w:fill="auto"/>
          </w:tcPr>
          <w:p w14:paraId="0922A5A2" w14:textId="77777777" w:rsidR="002B284C" w:rsidRPr="00E67848" w:rsidRDefault="002B284C" w:rsidP="00205F26">
            <w:pPr>
              <w:rPr>
                <w:rFonts w:cs="Times"/>
                <w:highlight w:val="green"/>
                <w:lang w:eastAsia="x-none"/>
              </w:rPr>
            </w:pPr>
            <w:r w:rsidRPr="00E67848">
              <w:rPr>
                <w:rFonts w:cs="Times"/>
                <w:highlight w:val="green"/>
                <w:lang w:eastAsia="x-none"/>
              </w:rPr>
              <w:t>Agreement:</w:t>
            </w:r>
          </w:p>
          <w:p w14:paraId="1138F8BE" w14:textId="77777777" w:rsidR="002B284C" w:rsidRPr="00E67848" w:rsidRDefault="002B284C" w:rsidP="00205F26">
            <w:pPr>
              <w:pStyle w:val="a3"/>
              <w:overflowPunct w:val="0"/>
              <w:spacing w:after="0"/>
              <w:textAlignment w:val="baseline"/>
              <w:rPr>
                <w:rFonts w:cs="Times"/>
                <w:sz w:val="22"/>
                <w:szCs w:val="22"/>
                <w:lang w:eastAsia="zh-CN"/>
              </w:rPr>
            </w:pPr>
            <w:r w:rsidRPr="00E67848">
              <w:rPr>
                <w:rFonts w:cs="Times"/>
                <w:sz w:val="22"/>
                <w:szCs w:val="22"/>
                <w:lang w:val="en-GB" w:eastAsia="zh-CN"/>
              </w:rPr>
              <w:t>Choose one of the following alternatives for defining the multi-slot PDCCH monitoring capability</w:t>
            </w:r>
          </w:p>
          <w:p w14:paraId="51AB500A" w14:textId="77777777" w:rsidR="002B284C" w:rsidRPr="00E67848" w:rsidRDefault="002B284C" w:rsidP="002B284C">
            <w:pPr>
              <w:pStyle w:val="a3"/>
              <w:numPr>
                <w:ilvl w:val="0"/>
                <w:numId w:val="21"/>
              </w:numPr>
              <w:overflowPunct w:val="0"/>
              <w:snapToGrid/>
              <w:spacing w:after="0"/>
              <w:textAlignment w:val="baseline"/>
              <w:rPr>
                <w:rFonts w:cs="Times"/>
                <w:sz w:val="22"/>
                <w:szCs w:val="22"/>
                <w:lang w:eastAsia="zh-CN"/>
              </w:rPr>
            </w:pPr>
            <w:r w:rsidRPr="00E67848">
              <w:rPr>
                <w:rFonts w:cs="Times"/>
                <w:sz w:val="22"/>
                <w:szCs w:val="22"/>
                <w:lang w:val="en-GB" w:eastAsia="zh-CN"/>
              </w:rPr>
              <w:t xml:space="preserve">Alt 1: A fixed pattern of N slots. </w:t>
            </w:r>
          </w:p>
          <w:p w14:paraId="342A6042" w14:textId="77777777" w:rsidR="002B284C" w:rsidRPr="00E67848" w:rsidRDefault="002B284C" w:rsidP="002B284C">
            <w:pPr>
              <w:pStyle w:val="a3"/>
              <w:numPr>
                <w:ilvl w:val="0"/>
                <w:numId w:val="21"/>
              </w:numPr>
              <w:overflowPunct w:val="0"/>
              <w:snapToGrid/>
              <w:spacing w:after="0"/>
              <w:textAlignment w:val="baseline"/>
              <w:rPr>
                <w:rFonts w:cs="Times"/>
                <w:sz w:val="22"/>
                <w:szCs w:val="22"/>
                <w:lang w:eastAsia="zh-CN"/>
              </w:rPr>
            </w:pPr>
            <w:r w:rsidRPr="00E67848">
              <w:rPr>
                <w:rFonts w:cs="Times"/>
                <w:sz w:val="22"/>
                <w:szCs w:val="22"/>
                <w:lang w:val="en-GB" w:eastAsia="zh-CN"/>
              </w:rPr>
              <w:t>Alt 2: Use the Rel-16 capability (</w:t>
            </w:r>
            <w:r w:rsidRPr="00E67848">
              <w:rPr>
                <w:rFonts w:cs="Times"/>
                <w:i/>
                <w:iCs/>
                <w:sz w:val="22"/>
                <w:szCs w:val="22"/>
                <w:lang w:val="en-GB" w:eastAsia="zh-CN"/>
              </w:rPr>
              <w:t>pdcch-Monitoring-r16</w:t>
            </w:r>
            <w:r w:rsidRPr="00E67848">
              <w:rPr>
                <w:rFonts w:cs="Times"/>
                <w:sz w:val="22"/>
                <w:szCs w:val="22"/>
                <w:lang w:val="en-GB" w:eastAsia="zh-CN"/>
              </w:rPr>
              <w:t>, (X, Y) span) as the baseline to define the new capability</w:t>
            </w:r>
          </w:p>
          <w:p w14:paraId="58BB8889" w14:textId="77777777" w:rsidR="002B284C" w:rsidRPr="00E67848" w:rsidRDefault="002B284C" w:rsidP="002B284C">
            <w:pPr>
              <w:pStyle w:val="a3"/>
              <w:numPr>
                <w:ilvl w:val="1"/>
                <w:numId w:val="21"/>
              </w:numPr>
              <w:overflowPunct w:val="0"/>
              <w:snapToGrid/>
              <w:spacing w:after="0"/>
              <w:textAlignment w:val="baseline"/>
              <w:rPr>
                <w:rFonts w:cs="Times"/>
                <w:sz w:val="22"/>
                <w:szCs w:val="22"/>
                <w:lang w:eastAsia="zh-CN"/>
              </w:rPr>
            </w:pPr>
            <w:r w:rsidRPr="00E67848">
              <w:rPr>
                <w:rFonts w:cs="Times"/>
                <w:sz w:val="22"/>
                <w:szCs w:val="22"/>
                <w:lang w:val="en-GB" w:eastAsia="zh-CN"/>
              </w:rPr>
              <w:t xml:space="preserve">FFS: Values of X and Y and units in which they are defined </w:t>
            </w:r>
          </w:p>
          <w:p w14:paraId="2D71D154" w14:textId="77777777" w:rsidR="002B284C" w:rsidRPr="00E67848" w:rsidRDefault="002B284C" w:rsidP="002B284C">
            <w:pPr>
              <w:pStyle w:val="a3"/>
              <w:numPr>
                <w:ilvl w:val="1"/>
                <w:numId w:val="21"/>
              </w:numPr>
              <w:overflowPunct w:val="0"/>
              <w:snapToGrid/>
              <w:spacing w:after="0"/>
              <w:textAlignment w:val="baseline"/>
              <w:rPr>
                <w:rFonts w:cs="Times"/>
                <w:sz w:val="22"/>
                <w:szCs w:val="22"/>
                <w:lang w:eastAsia="zh-CN"/>
              </w:rPr>
            </w:pPr>
            <w:r w:rsidRPr="00E67848">
              <w:rPr>
                <w:rFonts w:cs="Times"/>
                <w:sz w:val="22"/>
                <w:szCs w:val="22"/>
                <w:lang w:val="en-GB" w:eastAsia="zh-CN"/>
              </w:rPr>
              <w:t>FFS: Whether number of slots within which the number of monitoring occasions is counted is needed and if needed, the value of the number of slots</w:t>
            </w:r>
          </w:p>
          <w:p w14:paraId="02784A07" w14:textId="77777777" w:rsidR="002B284C" w:rsidRPr="00E67848" w:rsidRDefault="002B284C" w:rsidP="002B284C">
            <w:pPr>
              <w:pStyle w:val="a3"/>
              <w:numPr>
                <w:ilvl w:val="0"/>
                <w:numId w:val="21"/>
              </w:numPr>
              <w:overflowPunct w:val="0"/>
              <w:snapToGrid/>
              <w:spacing w:after="0"/>
              <w:textAlignment w:val="baseline"/>
              <w:rPr>
                <w:rFonts w:cs="Times"/>
                <w:sz w:val="22"/>
                <w:szCs w:val="22"/>
                <w:lang w:eastAsia="zh-CN"/>
              </w:rPr>
            </w:pPr>
            <w:r w:rsidRPr="00E67848">
              <w:rPr>
                <w:rFonts w:cs="Times"/>
                <w:sz w:val="22"/>
                <w:szCs w:val="22"/>
                <w:lang w:val="en-GB" w:eastAsia="zh-CN"/>
              </w:rPr>
              <w:t xml:space="preserve">Alt 3: A sliding window of N slots for defining multi-slot PDCCH monitoring capability. </w:t>
            </w:r>
          </w:p>
          <w:p w14:paraId="5BBC9F18" w14:textId="77777777" w:rsidR="002B284C" w:rsidRPr="00E67848" w:rsidRDefault="002B284C" w:rsidP="002B284C">
            <w:pPr>
              <w:pStyle w:val="a3"/>
              <w:numPr>
                <w:ilvl w:val="1"/>
                <w:numId w:val="21"/>
              </w:numPr>
              <w:overflowPunct w:val="0"/>
              <w:snapToGrid/>
              <w:spacing w:after="0"/>
              <w:textAlignment w:val="baseline"/>
              <w:rPr>
                <w:rFonts w:cs="Times"/>
                <w:sz w:val="22"/>
                <w:szCs w:val="22"/>
                <w:lang w:eastAsia="zh-CN"/>
              </w:rPr>
            </w:pPr>
            <w:r w:rsidRPr="00E67848">
              <w:rPr>
                <w:rFonts w:cs="Times"/>
                <w:sz w:val="22"/>
                <w:szCs w:val="22"/>
                <w:lang w:val="en-GB" w:eastAsia="zh-CN"/>
              </w:rPr>
              <w:t>FFS: Increments in which sliding occurs</w:t>
            </w:r>
          </w:p>
          <w:p w14:paraId="6E305088" w14:textId="77777777" w:rsidR="002B284C" w:rsidRPr="00E67848" w:rsidRDefault="002B284C" w:rsidP="002B284C">
            <w:pPr>
              <w:pStyle w:val="a3"/>
              <w:numPr>
                <w:ilvl w:val="0"/>
                <w:numId w:val="21"/>
              </w:numPr>
              <w:overflowPunct w:val="0"/>
              <w:snapToGrid/>
              <w:spacing w:after="0"/>
              <w:textAlignment w:val="baseline"/>
              <w:rPr>
                <w:rFonts w:cs="Times"/>
                <w:sz w:val="22"/>
                <w:szCs w:val="22"/>
                <w:lang w:eastAsia="zh-CN"/>
              </w:rPr>
            </w:pPr>
            <w:r w:rsidRPr="00E67848">
              <w:rPr>
                <w:rFonts w:cs="Times"/>
                <w:sz w:val="22"/>
                <w:szCs w:val="22"/>
                <w:lang w:val="en-GB" w:eastAsia="zh-CN"/>
              </w:rPr>
              <w:t>Specific numbers for X, Y and N may depend on UE capability and gNB configuration</w:t>
            </w:r>
          </w:p>
          <w:p w14:paraId="4E8E6911" w14:textId="77777777" w:rsidR="002B284C" w:rsidRPr="00E67848" w:rsidRDefault="002B284C" w:rsidP="002B284C">
            <w:pPr>
              <w:pStyle w:val="a3"/>
              <w:numPr>
                <w:ilvl w:val="1"/>
                <w:numId w:val="21"/>
              </w:numPr>
              <w:overflowPunct w:val="0"/>
              <w:snapToGrid/>
              <w:spacing w:after="0"/>
              <w:textAlignment w:val="baseline"/>
              <w:rPr>
                <w:rFonts w:cs="Times"/>
                <w:sz w:val="22"/>
                <w:szCs w:val="22"/>
                <w:lang w:eastAsia="zh-CN"/>
              </w:rPr>
            </w:pPr>
            <w:r w:rsidRPr="00E67848">
              <w:rPr>
                <w:rFonts w:cs="Times"/>
                <w:sz w:val="22"/>
                <w:szCs w:val="22"/>
                <w:lang w:val="en-GB" w:eastAsia="zh-CN"/>
              </w:rPr>
              <w:t xml:space="preserve">Examples: </w:t>
            </w:r>
          </w:p>
          <w:p w14:paraId="48618E29" w14:textId="77777777" w:rsidR="002B284C" w:rsidRPr="00E67848" w:rsidRDefault="002B284C" w:rsidP="002B284C">
            <w:pPr>
              <w:pStyle w:val="a3"/>
              <w:numPr>
                <w:ilvl w:val="2"/>
                <w:numId w:val="21"/>
              </w:numPr>
              <w:overflowPunct w:val="0"/>
              <w:snapToGrid/>
              <w:spacing w:after="0"/>
              <w:textAlignment w:val="baseline"/>
              <w:rPr>
                <w:rFonts w:cs="Times"/>
                <w:sz w:val="22"/>
                <w:szCs w:val="22"/>
                <w:lang w:eastAsia="zh-CN"/>
              </w:rPr>
            </w:pPr>
            <w:r w:rsidRPr="00E67848">
              <w:rPr>
                <w:rFonts w:cs="Times"/>
                <w:sz w:val="22"/>
                <w:szCs w:val="22"/>
                <w:lang w:val="en-GB" w:eastAsia="zh-CN"/>
              </w:rPr>
              <w:t>N = [4] slots for 480 kHz SCS and N = [8] slots for 960 kHz SCS</w:t>
            </w:r>
          </w:p>
          <w:p w14:paraId="6197A4B1" w14:textId="77777777" w:rsidR="002B284C" w:rsidRPr="00E67848" w:rsidRDefault="002B284C" w:rsidP="002B284C">
            <w:pPr>
              <w:pStyle w:val="a3"/>
              <w:numPr>
                <w:ilvl w:val="2"/>
                <w:numId w:val="21"/>
              </w:numPr>
              <w:overflowPunct w:val="0"/>
              <w:snapToGrid/>
              <w:spacing w:after="0"/>
              <w:textAlignment w:val="baseline"/>
              <w:rPr>
                <w:rFonts w:cs="Times" w:hint="eastAsia"/>
                <w:sz w:val="22"/>
                <w:szCs w:val="22"/>
                <w:lang w:eastAsia="zh-CN"/>
              </w:rPr>
            </w:pPr>
            <w:r w:rsidRPr="00E67848">
              <w:rPr>
                <w:rFonts w:cs="Times"/>
                <w:sz w:val="22"/>
                <w:szCs w:val="22"/>
                <w:lang w:val="en-GB" w:eastAsia="zh-CN"/>
              </w:rPr>
              <w:t>X = [4] slots for 480 kHz SCS and X = [8] slots for 960 kHz SCS</w:t>
            </w:r>
          </w:p>
        </w:tc>
      </w:tr>
    </w:tbl>
    <w:p w14:paraId="43813B32" w14:textId="77777777" w:rsidR="002B284C" w:rsidRDefault="002B284C" w:rsidP="002B284C">
      <w:pPr>
        <w:pStyle w:val="2"/>
        <w:widowControl w:val="0"/>
        <w:numPr>
          <w:ilvl w:val="1"/>
          <w:numId w:val="23"/>
        </w:numPr>
        <w:tabs>
          <w:tab w:val="num" w:pos="576"/>
        </w:tabs>
        <w:autoSpaceDE/>
        <w:autoSpaceDN/>
        <w:adjustRightInd/>
        <w:snapToGrid/>
        <w:ind w:left="576" w:hanging="576"/>
        <w:jc w:val="left"/>
        <w:rPr>
          <w:b w:val="0"/>
          <w:sz w:val="28"/>
        </w:rPr>
      </w:pPr>
      <w:r w:rsidRPr="001D3D7A">
        <w:rPr>
          <w:b w:val="0"/>
          <w:sz w:val="28"/>
        </w:rPr>
        <w:t>PDCCH candidates allocation</w:t>
      </w:r>
      <w:bookmarkStart w:id="7" w:name="OLE_LINK31"/>
      <w:r w:rsidRPr="001D3D7A">
        <w:rPr>
          <w:b w:val="0"/>
          <w:sz w:val="28"/>
        </w:rPr>
        <w:t xml:space="preserve"> per multi-slot span</w:t>
      </w:r>
    </w:p>
    <w:p w14:paraId="4FC8BE76" w14:textId="77777777" w:rsidR="002B284C" w:rsidRDefault="002B284C" w:rsidP="002B284C">
      <w:pPr>
        <w:pStyle w:val="a3"/>
      </w:pPr>
      <w:r w:rsidRPr="00E67848">
        <w:rPr>
          <w:rFonts w:eastAsia="宋体" w:hint="eastAsia"/>
          <w:sz w:val="22"/>
          <w:szCs w:val="22"/>
          <w:lang w:eastAsia="zh-CN"/>
        </w:rPr>
        <w:t>In</w:t>
      </w:r>
      <w:r w:rsidRPr="00E67848">
        <w:rPr>
          <w:rFonts w:eastAsia="宋体"/>
          <w:sz w:val="22"/>
          <w:szCs w:val="22"/>
          <w:lang w:eastAsia="zh-CN"/>
        </w:rPr>
        <w:t xml:space="preserve"> last meeting, it is agreed that relax per-slot </w:t>
      </w:r>
      <w:r w:rsidRPr="00E67848">
        <w:rPr>
          <w:sz w:val="22"/>
          <w:szCs w:val="22"/>
          <w:lang w:eastAsia="zh-CN"/>
        </w:rPr>
        <w:t>PDCCH monitoring</w:t>
      </w:r>
      <w:r w:rsidRPr="00E67848">
        <w:rPr>
          <w:rFonts w:eastAsia="宋体"/>
          <w:sz w:val="22"/>
          <w:szCs w:val="22"/>
          <w:lang w:eastAsia="zh-CN"/>
        </w:rPr>
        <w:t xml:space="preserve"> to multi-slot </w:t>
      </w:r>
      <w:r w:rsidRPr="008476C1">
        <w:rPr>
          <w:sz w:val="22"/>
          <w:szCs w:val="22"/>
          <w:lang w:eastAsia="zh-CN"/>
        </w:rPr>
        <w:t>PDCCH monitoring</w:t>
      </w:r>
      <w:r>
        <w:rPr>
          <w:rFonts w:eastAsia="宋体"/>
          <w:sz w:val="22"/>
          <w:szCs w:val="22"/>
          <w:lang w:eastAsia="zh-CN"/>
        </w:rPr>
        <w:t xml:space="preserve"> for high SCS</w:t>
      </w:r>
      <w:r w:rsidRPr="00E67848">
        <w:rPr>
          <w:rFonts w:eastAsia="宋体"/>
          <w:sz w:val="22"/>
          <w:szCs w:val="22"/>
          <w:lang w:eastAsia="zh-CN"/>
        </w:rPr>
        <w:t>.</w:t>
      </w:r>
      <w:r>
        <w:rPr>
          <w:rFonts w:eastAsia="宋体"/>
          <w:sz w:val="22"/>
          <w:szCs w:val="22"/>
          <w:lang w:eastAsia="zh-CN"/>
        </w:rPr>
        <w:t xml:space="preserve"> </w:t>
      </w:r>
      <w:r w:rsidRPr="00D90BF8">
        <w:rPr>
          <w:rFonts w:eastAsia="宋体"/>
          <w:sz w:val="22"/>
          <w:szCs w:val="22"/>
          <w:lang w:eastAsia="zh-CN"/>
        </w:rPr>
        <w:t>The points for further study</w:t>
      </w:r>
      <w:r w:rsidRPr="00E67848">
        <w:rPr>
          <w:rFonts w:eastAsia="宋体"/>
          <w:sz w:val="22"/>
          <w:szCs w:val="22"/>
          <w:lang w:eastAsia="zh-CN"/>
        </w:rPr>
        <w:t xml:space="preserve"> how to define the multi-slot PDCCH monitoring capability.</w:t>
      </w:r>
      <w:r w:rsidRPr="004D07D9">
        <w:t xml:space="preserve"> </w:t>
      </w:r>
      <w:r w:rsidRPr="00663730">
        <w:rPr>
          <w:lang w:eastAsia="zh-CN"/>
        </w:rPr>
        <w:t>In other company</w:t>
      </w:r>
      <w:r>
        <w:rPr>
          <w:lang w:eastAsia="zh-CN"/>
        </w:rPr>
        <w:t xml:space="preserve">’s draft </w:t>
      </w:r>
      <w:r w:rsidRPr="008476C1">
        <w:rPr>
          <w:rFonts w:eastAsia="宋体"/>
          <w:sz w:val="22"/>
          <w:szCs w:val="22"/>
          <w:lang w:eastAsia="zh-CN"/>
        </w:rPr>
        <w:t>[</w:t>
      </w:r>
      <w:r>
        <w:rPr>
          <w:rFonts w:eastAsia="宋体"/>
          <w:sz w:val="22"/>
          <w:szCs w:val="22"/>
          <w:lang w:eastAsia="zh-CN"/>
        </w:rPr>
        <w:t>3</w:t>
      </w:r>
      <w:r w:rsidRPr="008476C1">
        <w:rPr>
          <w:rFonts w:eastAsia="宋体"/>
          <w:sz w:val="22"/>
          <w:szCs w:val="22"/>
          <w:lang w:eastAsia="zh-CN"/>
        </w:rPr>
        <w:t>]</w:t>
      </w:r>
      <w:r w:rsidRPr="00E67848">
        <w:rPr>
          <w:rFonts w:eastAsia="宋体"/>
          <w:sz w:val="22"/>
          <w:szCs w:val="22"/>
          <w:lang w:eastAsia="zh-CN"/>
        </w:rPr>
        <w:t>, it was proposed that the number of BD/CCE in multi-slot span</w:t>
      </w:r>
      <w:r w:rsidRPr="00E67848">
        <w:rPr>
          <w:rFonts w:eastAsia="宋体" w:hint="eastAsia"/>
          <w:sz w:val="22"/>
          <w:szCs w:val="22"/>
          <w:lang w:eastAsia="zh-CN"/>
        </w:rPr>
        <w:t xml:space="preserve"> </w:t>
      </w:r>
      <w:r w:rsidRPr="00E67848">
        <w:rPr>
          <w:rFonts w:eastAsia="宋体"/>
          <w:sz w:val="22"/>
          <w:szCs w:val="22"/>
          <w:lang w:eastAsia="zh-CN"/>
        </w:rPr>
        <w:t>should be limited</w:t>
      </w:r>
      <w:bookmarkEnd w:id="7"/>
      <w:r w:rsidRPr="00E67848">
        <w:rPr>
          <w:rFonts w:eastAsia="宋体"/>
          <w:sz w:val="22"/>
          <w:szCs w:val="22"/>
          <w:lang w:eastAsia="zh-CN"/>
        </w:rPr>
        <w:t>.</w:t>
      </w:r>
      <w:r w:rsidRPr="00E67848">
        <w:rPr>
          <w:sz w:val="22"/>
          <w:szCs w:val="22"/>
        </w:rPr>
        <w:t xml:space="preserve"> If a large number of BDs and CCEs are forced per slot, the total number of BD and CCE in a multi-slot span </w:t>
      </w:r>
      <w:r>
        <w:rPr>
          <w:sz w:val="22"/>
          <w:szCs w:val="22"/>
        </w:rPr>
        <w:lastRenderedPageBreak/>
        <w:t>could be</w:t>
      </w:r>
      <w:r w:rsidRPr="00E67848">
        <w:rPr>
          <w:sz w:val="22"/>
          <w:szCs w:val="22"/>
        </w:rPr>
        <w:t xml:space="preserve"> </w:t>
      </w:r>
      <w:r w:rsidRPr="00F40604">
        <w:rPr>
          <w:sz w:val="22"/>
          <w:szCs w:val="22"/>
        </w:rPr>
        <w:t>significantly</w:t>
      </w:r>
      <w:r w:rsidRPr="00E67848">
        <w:rPr>
          <w:sz w:val="22"/>
          <w:szCs w:val="22"/>
        </w:rPr>
        <w:t xml:space="preserve"> high because the total number of slots is 4x or 8x of SCS 120kHz.</w:t>
      </w:r>
      <w:r>
        <w:rPr>
          <w:sz w:val="22"/>
          <w:szCs w:val="22"/>
        </w:rPr>
        <w:t xml:space="preserve"> </w:t>
      </w:r>
      <w:r w:rsidRPr="00E67848">
        <w:rPr>
          <w:rFonts w:eastAsia="宋体"/>
          <w:sz w:val="22"/>
          <w:szCs w:val="22"/>
          <w:lang w:eastAsia="zh-CN"/>
        </w:rPr>
        <w:t>As shown in Figure 1,</w:t>
      </w:r>
      <w:r w:rsidRPr="00E67848">
        <w:rPr>
          <w:sz w:val="22"/>
          <w:szCs w:val="22"/>
        </w:rPr>
        <w:t xml:space="preserve"> </w:t>
      </w:r>
      <w:r w:rsidRPr="00E67848">
        <w:rPr>
          <w:rFonts w:eastAsia="宋体"/>
          <w:sz w:val="22"/>
          <w:szCs w:val="22"/>
          <w:lang w:eastAsia="zh-CN"/>
        </w:rPr>
        <w:t>the numbers of BD</w:t>
      </w:r>
      <w:r>
        <w:rPr>
          <w:rFonts w:eastAsia="宋体"/>
          <w:sz w:val="22"/>
          <w:szCs w:val="22"/>
          <w:lang w:eastAsia="zh-CN"/>
        </w:rPr>
        <w:t>s</w:t>
      </w:r>
      <w:r w:rsidRPr="00E67848">
        <w:rPr>
          <w:rFonts w:eastAsia="宋体"/>
          <w:sz w:val="22"/>
          <w:szCs w:val="22"/>
          <w:lang w:eastAsia="zh-CN"/>
        </w:rPr>
        <w:t xml:space="preserve"> and CCE</w:t>
      </w:r>
      <w:r>
        <w:rPr>
          <w:rFonts w:eastAsia="宋体"/>
          <w:sz w:val="22"/>
          <w:szCs w:val="22"/>
          <w:lang w:eastAsia="zh-CN"/>
        </w:rPr>
        <w:t>s</w:t>
      </w:r>
      <w:r w:rsidRPr="00E67848">
        <w:rPr>
          <w:rFonts w:eastAsia="宋体"/>
          <w:sz w:val="22"/>
          <w:szCs w:val="22"/>
          <w:lang w:eastAsia="zh-CN"/>
        </w:rPr>
        <w:t xml:space="preserve"> are distributed in 4 consecutive slots, and there is no limit to configuration in each slot within the 4 slots. In special cases, gNB can respectively configure most/all of the BDS/CCE slots in slot</w:t>
      </w:r>
      <w:r w:rsidRPr="00E837BF">
        <w:rPr>
          <w:rFonts w:eastAsia="宋体"/>
          <w:sz w:val="22"/>
          <w:szCs w:val="22"/>
          <w:lang w:eastAsia="zh-CN"/>
        </w:rPr>
        <w:t xml:space="preserve"> </w:t>
      </w:r>
      <w:r w:rsidRPr="00E67848">
        <w:rPr>
          <w:rFonts w:eastAsia="宋体"/>
          <w:sz w:val="22"/>
          <w:szCs w:val="22"/>
          <w:lang w:eastAsia="zh-CN"/>
        </w:rPr>
        <w:t>A and consecutive slot</w:t>
      </w:r>
      <w:r w:rsidRPr="00E837BF">
        <w:rPr>
          <w:rFonts w:eastAsia="宋体"/>
          <w:sz w:val="22"/>
          <w:szCs w:val="22"/>
          <w:lang w:eastAsia="zh-CN"/>
        </w:rPr>
        <w:t xml:space="preserve"> </w:t>
      </w:r>
      <w:r w:rsidRPr="00E67848">
        <w:rPr>
          <w:rFonts w:eastAsia="宋体"/>
          <w:sz w:val="22"/>
          <w:szCs w:val="22"/>
          <w:lang w:eastAsia="zh-CN"/>
        </w:rPr>
        <w:t xml:space="preserve">B, which belong to different </w:t>
      </w:r>
      <w:r>
        <w:rPr>
          <w:rFonts w:eastAsia="宋体"/>
          <w:sz w:val="22"/>
          <w:szCs w:val="22"/>
          <w:lang w:eastAsia="zh-CN"/>
        </w:rPr>
        <w:t>multi-s</w:t>
      </w:r>
      <w:r w:rsidRPr="00E67848">
        <w:rPr>
          <w:rFonts w:eastAsia="宋体"/>
          <w:sz w:val="22"/>
          <w:szCs w:val="22"/>
          <w:lang w:eastAsia="zh-CN"/>
        </w:rPr>
        <w:t xml:space="preserve">lots </w:t>
      </w:r>
      <w:r>
        <w:rPr>
          <w:rFonts w:eastAsia="宋体"/>
          <w:sz w:val="22"/>
          <w:szCs w:val="22"/>
          <w:lang w:eastAsia="zh-CN"/>
        </w:rPr>
        <w:t>s</w:t>
      </w:r>
      <w:r w:rsidRPr="00E67848">
        <w:rPr>
          <w:rFonts w:eastAsia="宋体"/>
          <w:sz w:val="22"/>
          <w:szCs w:val="22"/>
          <w:lang w:eastAsia="zh-CN"/>
        </w:rPr>
        <w:t>pan.</w:t>
      </w:r>
      <w:r>
        <w:rPr>
          <w:rFonts w:eastAsia="宋体"/>
          <w:sz w:val="22"/>
          <w:szCs w:val="22"/>
          <w:lang w:eastAsia="zh-CN"/>
        </w:rPr>
        <w:t xml:space="preserve"> </w:t>
      </w:r>
      <w:r w:rsidRPr="00E67848">
        <w:rPr>
          <w:rFonts w:eastAsia="宋体"/>
          <w:sz w:val="22"/>
          <w:szCs w:val="22"/>
          <w:lang w:eastAsia="zh-CN"/>
        </w:rPr>
        <w:t xml:space="preserve">However, this configuration </w:t>
      </w:r>
      <w:r>
        <w:rPr>
          <w:rFonts w:eastAsia="宋体"/>
          <w:sz w:val="22"/>
          <w:szCs w:val="22"/>
          <w:lang w:eastAsia="zh-CN"/>
        </w:rPr>
        <w:t>cause</w:t>
      </w:r>
      <w:r w:rsidRPr="00E67848">
        <w:rPr>
          <w:rFonts w:eastAsia="宋体"/>
          <w:sz w:val="22"/>
          <w:szCs w:val="22"/>
          <w:lang w:eastAsia="zh-CN"/>
        </w:rPr>
        <w:t xml:space="preserve">s a larger PDCCH detection capability, as the number of PDCCH </w:t>
      </w:r>
      <w:r>
        <w:rPr>
          <w:rFonts w:eastAsia="宋体"/>
          <w:sz w:val="22"/>
          <w:szCs w:val="22"/>
          <w:lang w:eastAsia="zh-CN"/>
        </w:rPr>
        <w:t>detection</w:t>
      </w:r>
      <w:r w:rsidRPr="00E67848">
        <w:rPr>
          <w:rFonts w:eastAsia="宋体"/>
          <w:sz w:val="22"/>
          <w:szCs w:val="22"/>
          <w:lang w:eastAsia="zh-CN"/>
        </w:rPr>
        <w:t xml:space="preserve"> for one UE is nearly double. Therefore, there is a need to restrict the </w:t>
      </w:r>
      <w:r>
        <w:rPr>
          <w:rFonts w:eastAsia="宋体"/>
          <w:sz w:val="22"/>
          <w:szCs w:val="22"/>
          <w:lang w:eastAsia="zh-CN"/>
        </w:rPr>
        <w:t xml:space="preserve">number of </w:t>
      </w:r>
      <w:r w:rsidRPr="00E67848">
        <w:rPr>
          <w:rFonts w:eastAsia="宋体"/>
          <w:sz w:val="22"/>
          <w:szCs w:val="22"/>
          <w:lang w:eastAsia="zh-CN"/>
        </w:rPr>
        <w:t>BD/CCE of adjacent/consecutive slots belonging to different multi-slot spans.</w:t>
      </w:r>
      <w:r w:rsidRPr="00E67848">
        <w:rPr>
          <w:sz w:val="22"/>
          <w:szCs w:val="22"/>
        </w:rPr>
        <w:t xml:space="preserve"> </w:t>
      </w:r>
      <w:r w:rsidRPr="00E67848">
        <w:rPr>
          <w:rFonts w:eastAsia="宋体"/>
          <w:sz w:val="22"/>
          <w:szCs w:val="22"/>
          <w:lang w:eastAsia="zh-CN"/>
        </w:rPr>
        <w:t xml:space="preserve">One easy way to put an upper </w:t>
      </w:r>
      <w:r>
        <w:rPr>
          <w:rFonts w:eastAsia="宋体"/>
          <w:sz w:val="22"/>
          <w:szCs w:val="22"/>
          <w:lang w:eastAsia="zh-CN"/>
        </w:rPr>
        <w:t>limit</w:t>
      </w:r>
      <w:r w:rsidRPr="00E67848">
        <w:rPr>
          <w:rFonts w:eastAsia="宋体"/>
          <w:sz w:val="22"/>
          <w:szCs w:val="22"/>
          <w:lang w:eastAsia="zh-CN"/>
        </w:rPr>
        <w:t xml:space="preserve"> of the number of the BDs/CCEs in two adjacent/consecutive slots belonging to different multi-slot spans. </w:t>
      </w:r>
      <w:r w:rsidRPr="000D5CD0">
        <w:rPr>
          <w:rFonts w:eastAsia="宋体"/>
          <w:strike/>
          <w:sz w:val="22"/>
          <w:szCs w:val="22"/>
          <w:lang w:eastAsia="zh-CN"/>
        </w:rPr>
        <w:t xml:space="preserve"> </w:t>
      </w:r>
    </w:p>
    <w:p w14:paraId="633F91C7" w14:textId="77777777" w:rsidR="002B284C" w:rsidRPr="00E67848" w:rsidRDefault="002B284C" w:rsidP="002B284C">
      <w:pPr>
        <w:pStyle w:val="a3"/>
        <w:jc w:val="center"/>
        <w:rPr>
          <w:sz w:val="22"/>
          <w:szCs w:val="22"/>
        </w:rPr>
      </w:pPr>
      <w:r>
        <w:object w:dxaOrig="5760" w:dyaOrig="1785" w14:anchorId="1B382F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89.2pt" o:ole="">
            <v:imagedata r:id="rId8" o:title=""/>
          </v:shape>
          <o:OLEObject Type="Embed" ProgID="Visio.Drawing.15" ShapeID="_x0000_i1025" DrawAspect="Content" ObjectID="_1679299433" r:id="rId9"/>
        </w:object>
      </w:r>
    </w:p>
    <w:p w14:paraId="18C86220" w14:textId="77777777" w:rsidR="002B284C" w:rsidRPr="00E67848" w:rsidRDefault="002B284C" w:rsidP="002B284C">
      <w:pPr>
        <w:jc w:val="center"/>
        <w:rPr>
          <w:rFonts w:eastAsia="等线" w:hint="eastAsia"/>
          <w:lang w:eastAsia="zh-CN"/>
        </w:rPr>
      </w:pPr>
      <w:r w:rsidRPr="00E67848">
        <w:rPr>
          <w:lang w:eastAsia="zh-CN"/>
        </w:rPr>
        <w:t>Figure 1: Illustration of multi-slot span</w:t>
      </w:r>
    </w:p>
    <w:p w14:paraId="5A692F81" w14:textId="77777777" w:rsidR="002B284C" w:rsidRPr="00E67848" w:rsidRDefault="002B284C" w:rsidP="002B284C">
      <w:pPr>
        <w:spacing w:before="120"/>
        <w:rPr>
          <w:b/>
          <w:bCs/>
          <w:i/>
          <w:lang w:val="en-GB" w:eastAsia="x-none"/>
        </w:rPr>
      </w:pPr>
      <w:r w:rsidRPr="00E67848">
        <w:rPr>
          <w:b/>
          <w:bCs/>
          <w:i/>
          <w:lang w:val="en-GB" w:eastAsia="x-none"/>
        </w:rPr>
        <w:t xml:space="preserve">Proposal 1: It is necessary to limit the number of the BDs/CCEs in two adjacent/consecutive slots belonging to different multi-slot spans.  </w:t>
      </w:r>
    </w:p>
    <w:p w14:paraId="10504574" w14:textId="77777777" w:rsidR="002B284C" w:rsidRPr="00E67848" w:rsidRDefault="002B284C" w:rsidP="002B284C">
      <w:pPr>
        <w:pStyle w:val="2"/>
        <w:widowControl w:val="0"/>
        <w:numPr>
          <w:ilvl w:val="1"/>
          <w:numId w:val="23"/>
        </w:numPr>
        <w:tabs>
          <w:tab w:val="num" w:pos="576"/>
        </w:tabs>
        <w:autoSpaceDE/>
        <w:autoSpaceDN/>
        <w:adjustRightInd/>
        <w:snapToGrid/>
        <w:ind w:left="576" w:hanging="576"/>
        <w:jc w:val="left"/>
        <w:rPr>
          <w:b w:val="0"/>
          <w:sz w:val="28"/>
        </w:rPr>
      </w:pPr>
      <w:r w:rsidRPr="009C2DF0">
        <w:rPr>
          <w:b w:val="0"/>
          <w:sz w:val="28"/>
        </w:rPr>
        <w:t>Dropping</w:t>
      </w:r>
      <w:r w:rsidRPr="001D3D7A">
        <w:rPr>
          <w:b w:val="0"/>
          <w:sz w:val="28"/>
        </w:rPr>
        <w:t xml:space="preserve"> per multi-slot span</w:t>
      </w:r>
    </w:p>
    <w:p w14:paraId="72852198" w14:textId="77777777" w:rsidR="002B284C" w:rsidRPr="00E67848" w:rsidRDefault="002B284C" w:rsidP="002B284C">
      <w:pPr>
        <w:pStyle w:val="a3"/>
        <w:rPr>
          <w:rFonts w:eastAsia="宋体" w:hint="eastAsia"/>
          <w:sz w:val="22"/>
          <w:szCs w:val="22"/>
          <w:lang w:eastAsia="zh-CN"/>
        </w:rPr>
      </w:pPr>
      <w:r w:rsidRPr="00E67848">
        <w:rPr>
          <w:sz w:val="22"/>
          <w:szCs w:val="22"/>
          <w:lang w:val="en-GB" w:eastAsia="x-none"/>
        </w:rPr>
        <w:t xml:space="preserve">When multi-slot PDCCH monitoring is introduced, there will be a related problem of PDCCH overbooking. </w:t>
      </w:r>
      <w:r w:rsidRPr="00E67848">
        <w:rPr>
          <w:rFonts w:eastAsia="宋体"/>
          <w:sz w:val="22"/>
          <w:szCs w:val="22"/>
          <w:lang w:val="en-GB" w:eastAsia="x-none"/>
        </w:rPr>
        <w:t xml:space="preserve">In </w:t>
      </w:r>
      <w:r w:rsidRPr="00E67848">
        <w:rPr>
          <w:sz w:val="22"/>
          <w:szCs w:val="22"/>
          <w:lang w:val="en-GB" w:eastAsia="x-none"/>
        </w:rPr>
        <w:t>NR Rel-15, the maximum number of BDS/CCE in a slot</w:t>
      </w:r>
      <w:r>
        <w:rPr>
          <w:sz w:val="22"/>
          <w:szCs w:val="22"/>
          <w:lang w:val="en-GB" w:eastAsia="x-none"/>
        </w:rPr>
        <w:t xml:space="preserve"> is determined</w:t>
      </w:r>
      <w:r w:rsidRPr="00E67848">
        <w:rPr>
          <w:sz w:val="22"/>
          <w:szCs w:val="22"/>
          <w:lang w:val="en-GB" w:eastAsia="x-none"/>
        </w:rPr>
        <w:t xml:space="preserve"> based on the capability of the UE. For PCell or PSCell, it is allowed that the configured number of BDs/CCEs in a slot by the configuration of SS set(s) is larger than the corresponding maximum number. </w:t>
      </w:r>
      <w:r>
        <w:rPr>
          <w:sz w:val="22"/>
          <w:szCs w:val="22"/>
          <w:lang w:val="en-GB" w:eastAsia="x-none"/>
        </w:rPr>
        <w:t>However</w:t>
      </w:r>
      <w:r w:rsidRPr="00E67848">
        <w:rPr>
          <w:sz w:val="22"/>
          <w:szCs w:val="22"/>
          <w:lang w:val="en-GB" w:eastAsia="x-none"/>
        </w:rPr>
        <w:t xml:space="preserve">, </w:t>
      </w:r>
      <w:r w:rsidRPr="00E67848">
        <w:rPr>
          <w:rFonts w:eastAsia="等线"/>
          <w:sz w:val="22"/>
          <w:szCs w:val="22"/>
          <w:lang w:val="en-GB" w:eastAsia="zh-CN"/>
        </w:rPr>
        <w:t>f</w:t>
      </w:r>
      <w:r w:rsidRPr="00E67848">
        <w:rPr>
          <w:sz w:val="22"/>
          <w:szCs w:val="22"/>
          <w:lang w:val="en-GB" w:eastAsia="x-none"/>
        </w:rPr>
        <w:t xml:space="preserve">or a SCell, the </w:t>
      </w:r>
      <w:r w:rsidRPr="00E67848">
        <w:rPr>
          <w:rFonts w:eastAsia="Times New Roman"/>
          <w:sz w:val="22"/>
          <w:szCs w:val="22"/>
          <w:lang w:val="en-GB" w:eastAsia="x-none"/>
        </w:rPr>
        <w:t>gNB</w:t>
      </w:r>
      <w:r w:rsidRPr="00E67848">
        <w:rPr>
          <w:sz w:val="22"/>
          <w:szCs w:val="22"/>
          <w:lang w:val="en-GB" w:eastAsia="x-none"/>
        </w:rPr>
        <w:t xml:space="preserve"> should guarantee that </w:t>
      </w:r>
      <w:r w:rsidRPr="00E67848">
        <w:rPr>
          <w:rFonts w:eastAsia="宋体"/>
          <w:sz w:val="22"/>
          <w:szCs w:val="22"/>
          <w:lang w:eastAsia="zh-CN"/>
        </w:rPr>
        <w:t xml:space="preserve">numbers of monitored PDCCH candidates and non-overlapped CCEs per slot or per span that </w:t>
      </w:r>
      <w:r w:rsidRPr="00E67848">
        <w:rPr>
          <w:sz w:val="22"/>
          <w:szCs w:val="22"/>
          <w:lang w:val="en-GB" w:eastAsia="x-none"/>
        </w:rPr>
        <w:t>do not</w:t>
      </w:r>
      <w:r w:rsidRPr="00E67848">
        <w:rPr>
          <w:rFonts w:eastAsia="宋体"/>
          <w:sz w:val="22"/>
          <w:szCs w:val="22"/>
          <w:lang w:eastAsia="zh-CN"/>
        </w:rPr>
        <w:t xml:space="preserve"> exceed the corresponding maximum numbers per slot or per span, respectively.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2B284C" w:rsidRPr="00E67848" w14:paraId="568353BA" w14:textId="77777777" w:rsidTr="00205F26">
        <w:tc>
          <w:tcPr>
            <w:tcW w:w="9072" w:type="dxa"/>
            <w:shd w:val="clear" w:color="auto" w:fill="auto"/>
          </w:tcPr>
          <w:p w14:paraId="7866B5BB" w14:textId="77777777" w:rsidR="002B284C" w:rsidRPr="00E67848" w:rsidRDefault="002B284C" w:rsidP="00205F26">
            <w:pPr>
              <w:pStyle w:val="a3"/>
              <w:rPr>
                <w:rFonts w:eastAsia="宋体"/>
                <w:sz w:val="22"/>
                <w:szCs w:val="22"/>
                <w:lang w:eastAsia="zh-CN"/>
              </w:rPr>
            </w:pPr>
            <w:r w:rsidRPr="00E67848">
              <w:rPr>
                <w:rFonts w:eastAsia="宋体" w:hint="eastAsia"/>
                <w:sz w:val="22"/>
                <w:szCs w:val="22"/>
                <w:highlight w:val="green"/>
                <w:lang w:eastAsia="zh-CN"/>
              </w:rPr>
              <w:t>TS38.213</w:t>
            </w:r>
            <w:r>
              <w:rPr>
                <w:rFonts w:eastAsia="宋体"/>
                <w:sz w:val="22"/>
                <w:szCs w:val="22"/>
                <w:highlight w:val="green"/>
                <w:lang w:eastAsia="zh-CN"/>
              </w:rPr>
              <w:t>[4]</w:t>
            </w:r>
            <w:r w:rsidRPr="00E67848">
              <w:rPr>
                <w:rFonts w:eastAsia="宋体" w:hint="eastAsia"/>
                <w:sz w:val="22"/>
                <w:szCs w:val="22"/>
                <w:highlight w:val="green"/>
                <w:lang w:eastAsia="zh-CN"/>
              </w:rPr>
              <w:t>:</w:t>
            </w:r>
          </w:p>
          <w:p w14:paraId="1756CE55" w14:textId="77777777" w:rsidR="002B284C" w:rsidRPr="00E67848" w:rsidRDefault="002B284C" w:rsidP="00205F26">
            <w:pPr>
              <w:pStyle w:val="a3"/>
              <w:rPr>
                <w:rFonts w:eastAsia="宋体"/>
                <w:sz w:val="22"/>
                <w:szCs w:val="22"/>
                <w:lang w:eastAsia="zh-CN"/>
              </w:rPr>
            </w:pPr>
            <w:r w:rsidRPr="00E67848">
              <w:rPr>
                <w:rFonts w:eastAsia="宋体"/>
                <w:sz w:val="22"/>
                <w:szCs w:val="22"/>
                <w:lang w:eastAsia="zh-CN"/>
              </w:rPr>
              <w:t>A UE does not expect to be configured CSS sets that result to corresponding total, or per scheduled cell, numbers of monitored PDCCH candidates and non-overlapped CCEs per slot or per span that exceed the corresponding maximum numbers per slot or per span, respectively.</w:t>
            </w:r>
          </w:p>
          <w:p w14:paraId="78364F0B" w14:textId="77777777" w:rsidR="002B284C" w:rsidRPr="00E67848" w:rsidRDefault="002B284C" w:rsidP="00205F26">
            <w:pPr>
              <w:pStyle w:val="a3"/>
              <w:rPr>
                <w:rFonts w:eastAsia="宋体" w:hint="eastAsia"/>
                <w:sz w:val="22"/>
                <w:szCs w:val="22"/>
                <w:lang w:eastAsia="zh-CN"/>
              </w:rPr>
            </w:pPr>
            <w:r w:rsidRPr="00E67848">
              <w:rPr>
                <w:rFonts w:eastAsia="宋体"/>
                <w:sz w:val="22"/>
                <w:szCs w:val="22"/>
                <w:lang w:eastAsia="zh-CN"/>
              </w:rPr>
              <w:t>For same cell scheduling or for cross-carrier scheduling,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provided monitoringCapabilityConfig-r16 = r16monitoringcapability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w:t>
            </w:r>
          </w:p>
        </w:tc>
      </w:tr>
    </w:tbl>
    <w:p w14:paraId="072FF4CB" w14:textId="77777777" w:rsidR="002B284C" w:rsidRPr="00E67848" w:rsidRDefault="002B284C" w:rsidP="002B284C">
      <w:pPr>
        <w:spacing w:before="120"/>
        <w:rPr>
          <w:rFonts w:hint="eastAsia"/>
          <w:lang w:val="en-GB" w:eastAsia="x-none"/>
        </w:rPr>
      </w:pPr>
      <w:r w:rsidRPr="00E67848">
        <w:rPr>
          <w:lang w:val="en-GB" w:eastAsia="x-none"/>
        </w:rPr>
        <w:t xml:space="preserve">The similar rules could be extended </w:t>
      </w:r>
      <w:r>
        <w:rPr>
          <w:lang w:val="en-GB" w:eastAsia="x-none"/>
        </w:rPr>
        <w:t xml:space="preserve">to </w:t>
      </w:r>
      <w:r w:rsidRPr="00E67848">
        <w:rPr>
          <w:lang w:val="en-GB" w:eastAsia="x-none"/>
        </w:rPr>
        <w:t xml:space="preserve">multi-slot span. For PCell or PSCell, it is allowed that the numbers of monitored PDCCH candidates and non-overlapped CCEs </w:t>
      </w:r>
      <w:r w:rsidRPr="003027E9">
        <w:rPr>
          <w:lang w:val="en-GB" w:eastAsia="x-none"/>
        </w:rPr>
        <w:t>in a multi-slot span by the configuration of SS set(s)</w:t>
      </w:r>
      <w:r>
        <w:rPr>
          <w:lang w:val="en-GB" w:eastAsia="x-none"/>
        </w:rPr>
        <w:t xml:space="preserve"> </w:t>
      </w:r>
      <w:r w:rsidRPr="00E67848">
        <w:rPr>
          <w:lang w:val="en-GB" w:eastAsia="x-none"/>
        </w:rPr>
        <w:t>that exceed the corresponding maximum numbers.</w:t>
      </w:r>
      <w:r w:rsidRPr="00E67848">
        <w:t xml:space="preserve"> </w:t>
      </w:r>
      <w:r w:rsidRPr="00E67848">
        <w:rPr>
          <w:lang w:val="en-GB" w:eastAsia="x-none"/>
        </w:rPr>
        <w:t>Define certain dropping rules, so that the actual number in the multi-slots span does not exceed the corresponding maximum number.</w:t>
      </w:r>
    </w:p>
    <w:p w14:paraId="55CECAA4" w14:textId="77777777" w:rsidR="002B284C" w:rsidRPr="00E67848" w:rsidRDefault="002B284C" w:rsidP="002B284C">
      <w:pPr>
        <w:spacing w:before="120"/>
        <w:rPr>
          <w:lang w:val="en-GB" w:eastAsia="x-none"/>
        </w:rPr>
      </w:pPr>
      <w:r w:rsidRPr="002E2656">
        <w:rPr>
          <w:b/>
          <w:bCs/>
          <w:i/>
          <w:lang w:val="en-GB" w:eastAsia="x-none"/>
        </w:rPr>
        <w:t xml:space="preserve">Proposal </w:t>
      </w:r>
      <w:r>
        <w:rPr>
          <w:b/>
          <w:bCs/>
          <w:i/>
          <w:lang w:val="en-GB" w:eastAsia="x-none"/>
        </w:rPr>
        <w:t>2</w:t>
      </w:r>
      <w:r w:rsidRPr="002E2656">
        <w:rPr>
          <w:b/>
          <w:bCs/>
          <w:i/>
          <w:lang w:val="en-GB" w:eastAsia="x-none"/>
        </w:rPr>
        <w:t>: PD</w:t>
      </w:r>
      <w:r>
        <w:rPr>
          <w:b/>
          <w:bCs/>
          <w:i/>
          <w:lang w:val="en-GB" w:eastAsia="x-none"/>
        </w:rPr>
        <w:t xml:space="preserve">CCH overbooking per-slot in NR </w:t>
      </w:r>
      <w:r w:rsidRPr="008476C1">
        <w:rPr>
          <w:b/>
          <w:bCs/>
          <w:i/>
          <w:lang w:val="en-GB" w:eastAsia="x-none"/>
        </w:rPr>
        <w:t xml:space="preserve">Rel-15 </w:t>
      </w:r>
      <w:r w:rsidRPr="002E2656">
        <w:rPr>
          <w:b/>
          <w:bCs/>
          <w:i/>
          <w:lang w:val="en-GB" w:eastAsia="x-none"/>
        </w:rPr>
        <w:t>can reused in multi-slot span for beyond 52.6GHz</w:t>
      </w:r>
      <w:r w:rsidRPr="008476C1">
        <w:rPr>
          <w:rFonts w:hint="eastAsia"/>
          <w:b/>
          <w:bCs/>
          <w:i/>
          <w:lang w:val="en-GB" w:eastAsia="x-none"/>
        </w:rPr>
        <w:t>.</w:t>
      </w:r>
    </w:p>
    <w:p w14:paraId="7940C693" w14:textId="77777777" w:rsidR="002B284C" w:rsidRPr="00E67848" w:rsidRDefault="002B284C" w:rsidP="002B284C">
      <w:pPr>
        <w:rPr>
          <w:lang w:val="en-GB" w:eastAsia="x-none"/>
        </w:rPr>
      </w:pPr>
      <w:r w:rsidRPr="00E67848">
        <w:rPr>
          <w:lang w:val="en-GB" w:eastAsia="x-none"/>
        </w:rPr>
        <w:t xml:space="preserve">In Rel-15, there is no dropping </w:t>
      </w:r>
      <w:r>
        <w:rPr>
          <w:lang w:val="en-GB" w:eastAsia="x-none"/>
        </w:rPr>
        <w:t>method applied to the</w:t>
      </w:r>
      <w:r w:rsidRPr="00E67848">
        <w:rPr>
          <w:lang w:val="en-GB" w:eastAsia="x-none"/>
        </w:rPr>
        <w:t xml:space="preserve"> CSS set for PCell/PSCell. Therefore,</w:t>
      </w:r>
      <w:r w:rsidRPr="00E67848">
        <w:t xml:space="preserve"> </w:t>
      </w:r>
      <w:r>
        <w:rPr>
          <w:lang w:val="en-GB" w:eastAsia="x-none"/>
        </w:rPr>
        <w:t xml:space="preserve">the similar </w:t>
      </w:r>
      <w:r w:rsidRPr="00E67848">
        <w:rPr>
          <w:lang w:val="en-GB" w:eastAsia="x-none"/>
        </w:rPr>
        <w:t xml:space="preserve">rule </w:t>
      </w:r>
      <w:r>
        <w:rPr>
          <w:lang w:val="en-GB" w:eastAsia="x-none"/>
        </w:rPr>
        <w:t>can be reused</w:t>
      </w:r>
      <w:r w:rsidRPr="00E67848">
        <w:rPr>
          <w:lang w:val="en-GB" w:eastAsia="x-none"/>
        </w:rPr>
        <w:t xml:space="preserve"> in multi-slot spans.</w:t>
      </w:r>
      <w:r w:rsidRPr="00E67848">
        <w:t xml:space="preserve"> </w:t>
      </w:r>
      <w:r w:rsidRPr="00E67848">
        <w:rPr>
          <w:lang w:val="en-GB" w:eastAsia="x-none"/>
        </w:rPr>
        <w:t>When handling USS sets, if the total number of BD</w:t>
      </w:r>
      <w:r>
        <w:rPr>
          <w:lang w:val="en-GB" w:eastAsia="x-none"/>
        </w:rPr>
        <w:t>s</w:t>
      </w:r>
      <w:r w:rsidRPr="00E67848">
        <w:rPr>
          <w:lang w:val="en-GB" w:eastAsia="x-none"/>
        </w:rPr>
        <w:t>/CCE</w:t>
      </w:r>
      <w:r>
        <w:rPr>
          <w:lang w:val="en-GB" w:eastAsia="x-none"/>
        </w:rPr>
        <w:t>s</w:t>
      </w:r>
      <w:r w:rsidRPr="00E67848">
        <w:rPr>
          <w:lang w:val="en-GB" w:eastAsia="x-none"/>
        </w:rPr>
        <w:t xml:space="preserve"> exceeds the corresponding maximum number, the same principle as Rel-15 can be reused, namely dropping USS sets with high index of SS sets.</w:t>
      </w:r>
      <w:r w:rsidRPr="00E67848">
        <w:rPr>
          <w:rFonts w:eastAsia="等线"/>
          <w:lang w:val="en-GB" w:eastAsia="zh-CN"/>
        </w:rPr>
        <w:t xml:space="preserve"> </w:t>
      </w:r>
      <w:r w:rsidRPr="00E67848">
        <w:rPr>
          <w:lang w:eastAsia="x-none"/>
        </w:rPr>
        <w:t>In addition, the PDCCH MOs of the USS set may be configured in multiple slots in the multi-slot span, the USS set in all the multiple slots is dropped slot by slot.</w:t>
      </w:r>
      <w:r>
        <w:rPr>
          <w:lang w:eastAsia="x-none"/>
        </w:rPr>
        <w:t xml:space="preserve"> </w:t>
      </w:r>
      <w:r w:rsidRPr="00583488">
        <w:rPr>
          <w:lang w:eastAsia="x-none"/>
        </w:rPr>
        <w:t>Considering the different number of USS in each slot</w:t>
      </w:r>
      <w:r>
        <w:rPr>
          <w:lang w:eastAsia="x-none"/>
        </w:rPr>
        <w:t>, t</w:t>
      </w:r>
      <w:r w:rsidRPr="00583488">
        <w:rPr>
          <w:lang w:eastAsia="x-none"/>
        </w:rPr>
        <w:t xml:space="preserve">here are certain rules for </w:t>
      </w:r>
      <w:r>
        <w:rPr>
          <w:lang w:eastAsia="x-none"/>
        </w:rPr>
        <w:t>dropping</w:t>
      </w:r>
      <w:r w:rsidRPr="00583488">
        <w:rPr>
          <w:lang w:eastAsia="x-none"/>
        </w:rPr>
        <w:t xml:space="preserve"> </w:t>
      </w:r>
      <w:r>
        <w:rPr>
          <w:lang w:eastAsia="x-none"/>
        </w:rPr>
        <w:t xml:space="preserve">one slot, such as dropping slot </w:t>
      </w:r>
      <w:r w:rsidRPr="00583488">
        <w:rPr>
          <w:lang w:eastAsia="x-none"/>
        </w:rPr>
        <w:lastRenderedPageBreak/>
        <w:t>from back to front</w:t>
      </w:r>
      <w:r>
        <w:rPr>
          <w:lang w:eastAsia="x-none"/>
        </w:rPr>
        <w:t xml:space="preserve"> or dropping s</w:t>
      </w:r>
      <w:r w:rsidRPr="00583488">
        <w:rPr>
          <w:lang w:eastAsia="x-none"/>
        </w:rPr>
        <w:t xml:space="preserve">lot with the </w:t>
      </w:r>
      <w:r>
        <w:rPr>
          <w:lang w:eastAsia="x-none"/>
        </w:rPr>
        <w:t>largest number of</w:t>
      </w:r>
      <w:r w:rsidRPr="00583488">
        <w:rPr>
          <w:lang w:eastAsia="x-none"/>
        </w:rPr>
        <w:t xml:space="preserve"> USS sets</w:t>
      </w:r>
      <w:r>
        <w:rPr>
          <w:lang w:eastAsia="x-none"/>
        </w:rPr>
        <w:t xml:space="preserve">. In addition, dropping USS set </w:t>
      </w:r>
      <w:r w:rsidRPr="00BF2172">
        <w:t>should be based on the</w:t>
      </w:r>
      <w:r>
        <w:t xml:space="preserve"> set</w:t>
      </w:r>
      <w:r w:rsidRPr="00BF2172">
        <w:t xml:space="preserve"> ID</w:t>
      </w:r>
      <w:r>
        <w:rPr>
          <w:lang w:eastAsia="x-none"/>
        </w:rPr>
        <w:t>.</w:t>
      </w:r>
      <w:r w:rsidRPr="00BF2172">
        <w:rPr>
          <w:lang w:eastAsia="x-none"/>
        </w:rPr>
        <w:t xml:space="preserve"> </w:t>
      </w:r>
      <w:r>
        <w:rPr>
          <w:lang w:eastAsia="x-none"/>
        </w:rPr>
        <w:t>S</w:t>
      </w:r>
      <w:r w:rsidRPr="00BF2172">
        <w:rPr>
          <w:lang w:eastAsia="x-none"/>
        </w:rPr>
        <w:t xml:space="preserve">mall ID preferentially </w:t>
      </w:r>
      <w:r>
        <w:rPr>
          <w:lang w:eastAsia="x-none"/>
        </w:rPr>
        <w:t xml:space="preserve">perform </w:t>
      </w:r>
      <w:r w:rsidRPr="00BF2172">
        <w:rPr>
          <w:lang w:eastAsia="x-none"/>
        </w:rPr>
        <w:t xml:space="preserve">PDCCH monitoring, </w:t>
      </w:r>
      <w:r>
        <w:rPr>
          <w:lang w:eastAsia="x-none"/>
        </w:rPr>
        <w:t xml:space="preserve">and </w:t>
      </w:r>
      <w:r w:rsidRPr="00BF2172">
        <w:rPr>
          <w:lang w:eastAsia="x-none"/>
        </w:rPr>
        <w:t>large</w:t>
      </w:r>
      <w:r>
        <w:rPr>
          <w:lang w:eastAsia="x-none"/>
        </w:rPr>
        <w:t>r</w:t>
      </w:r>
      <w:r w:rsidRPr="00BF2172">
        <w:rPr>
          <w:lang w:eastAsia="x-none"/>
        </w:rPr>
        <w:t xml:space="preserve"> ID </w:t>
      </w:r>
      <w:r>
        <w:rPr>
          <w:lang w:eastAsia="x-none"/>
        </w:rPr>
        <w:t xml:space="preserve">perform </w:t>
      </w:r>
      <w:r w:rsidRPr="00BF2172">
        <w:rPr>
          <w:lang w:eastAsia="x-none"/>
        </w:rPr>
        <w:t>drop</w:t>
      </w:r>
      <w:r>
        <w:rPr>
          <w:lang w:eastAsia="x-none"/>
        </w:rPr>
        <w:t>ping.</w:t>
      </w:r>
    </w:p>
    <w:p w14:paraId="450EDCCE" w14:textId="77777777" w:rsidR="002B284C" w:rsidRPr="00E67848" w:rsidRDefault="002B284C" w:rsidP="002B284C">
      <w:pPr>
        <w:spacing w:before="120"/>
        <w:rPr>
          <w:b/>
          <w:bCs/>
          <w:i/>
          <w:lang w:val="en-GB" w:eastAsia="x-none"/>
        </w:rPr>
      </w:pPr>
      <w:r w:rsidRPr="00E67848">
        <w:rPr>
          <w:b/>
          <w:bCs/>
          <w:i/>
          <w:lang w:val="en-GB" w:eastAsia="x-none"/>
        </w:rPr>
        <w:t xml:space="preserve">Proposal </w:t>
      </w:r>
      <w:r>
        <w:rPr>
          <w:b/>
          <w:bCs/>
          <w:i/>
          <w:lang w:val="en-GB" w:eastAsia="x-none"/>
        </w:rPr>
        <w:t>3</w:t>
      </w:r>
      <w:r w:rsidRPr="00E67848">
        <w:rPr>
          <w:b/>
          <w:bCs/>
          <w:i/>
          <w:lang w:val="en-GB" w:eastAsia="x-none"/>
        </w:rPr>
        <w:t>: It is expected there is no dropping for CSS sets for PCell/PSCell in PDCCH overbooking</w:t>
      </w:r>
      <w:r>
        <w:rPr>
          <w:b/>
          <w:bCs/>
          <w:i/>
          <w:lang w:val="en-GB" w:eastAsia="x-none"/>
        </w:rPr>
        <w:t>.</w:t>
      </w:r>
    </w:p>
    <w:p w14:paraId="663997C9" w14:textId="77777777" w:rsidR="002B284C" w:rsidRPr="00E67848" w:rsidRDefault="002B284C" w:rsidP="002B284C">
      <w:pPr>
        <w:rPr>
          <w:b/>
          <w:bCs/>
          <w:i/>
          <w:lang w:val="en-GB" w:eastAsia="x-none"/>
        </w:rPr>
      </w:pPr>
      <w:r w:rsidRPr="00E67848">
        <w:rPr>
          <w:b/>
          <w:bCs/>
          <w:i/>
          <w:lang w:val="en-GB" w:eastAsia="x-none"/>
        </w:rPr>
        <w:t xml:space="preserve">Proposal </w:t>
      </w:r>
      <w:r>
        <w:rPr>
          <w:b/>
          <w:bCs/>
          <w:i/>
          <w:lang w:val="en-GB" w:eastAsia="x-none"/>
        </w:rPr>
        <w:t>4</w:t>
      </w:r>
      <w:r w:rsidRPr="00E67848">
        <w:rPr>
          <w:b/>
          <w:bCs/>
          <w:i/>
          <w:lang w:val="en-GB" w:eastAsia="x-none"/>
        </w:rPr>
        <w:t>: To handling USS dropping in PDCCH overbooking in the multi-slot span</w:t>
      </w:r>
    </w:p>
    <w:p w14:paraId="4A80E8C3" w14:textId="77777777" w:rsidR="002B284C" w:rsidRPr="00E67848" w:rsidRDefault="002B284C" w:rsidP="002B284C">
      <w:pPr>
        <w:pStyle w:val="B1"/>
        <w:numPr>
          <w:ilvl w:val="0"/>
          <w:numId w:val="22"/>
        </w:numPr>
        <w:overflowPunct w:val="0"/>
        <w:autoSpaceDE w:val="0"/>
        <w:autoSpaceDN w:val="0"/>
        <w:adjustRightInd w:val="0"/>
        <w:spacing w:after="120"/>
        <w:jc w:val="both"/>
        <w:textAlignment w:val="baseline"/>
        <w:rPr>
          <w:b/>
          <w:bCs/>
          <w:i/>
          <w:sz w:val="22"/>
          <w:szCs w:val="22"/>
          <w:lang w:eastAsia="x-none"/>
        </w:rPr>
      </w:pPr>
      <w:r w:rsidRPr="00E67848">
        <w:rPr>
          <w:b/>
          <w:bCs/>
          <w:i/>
          <w:sz w:val="22"/>
          <w:szCs w:val="22"/>
          <w:lang w:eastAsia="x-none"/>
        </w:rPr>
        <w:t>If the PDCCH MOs of a USS set are configured in multiple slots in the multi-slot span, the USS set in all the multiple slots is dropped</w:t>
      </w:r>
      <w:r>
        <w:rPr>
          <w:b/>
          <w:bCs/>
          <w:i/>
          <w:sz w:val="22"/>
          <w:szCs w:val="22"/>
          <w:lang w:eastAsia="x-none"/>
        </w:rPr>
        <w:t xml:space="preserve"> </w:t>
      </w:r>
      <w:r w:rsidRPr="000D5CD0">
        <w:rPr>
          <w:b/>
          <w:bCs/>
          <w:i/>
          <w:sz w:val="22"/>
          <w:szCs w:val="22"/>
          <w:lang w:eastAsia="x-none"/>
        </w:rPr>
        <w:t xml:space="preserve">based on the </w:t>
      </w:r>
      <w:r w:rsidRPr="004A4D58">
        <w:rPr>
          <w:b/>
          <w:bCs/>
          <w:i/>
          <w:sz w:val="22"/>
          <w:szCs w:val="22"/>
          <w:lang w:eastAsia="x-none"/>
        </w:rPr>
        <w:t>certain</w:t>
      </w:r>
      <w:r>
        <w:rPr>
          <w:b/>
          <w:bCs/>
          <w:i/>
          <w:sz w:val="22"/>
          <w:szCs w:val="22"/>
          <w:lang w:eastAsia="x-none"/>
        </w:rPr>
        <w:t xml:space="preserve"> </w:t>
      </w:r>
      <w:r w:rsidRPr="000D5CD0">
        <w:rPr>
          <w:b/>
          <w:bCs/>
          <w:i/>
          <w:sz w:val="22"/>
          <w:szCs w:val="22"/>
          <w:lang w:eastAsia="x-none"/>
        </w:rPr>
        <w:t>order of</w:t>
      </w:r>
      <w:r>
        <w:rPr>
          <w:b/>
          <w:bCs/>
          <w:i/>
          <w:sz w:val="22"/>
          <w:szCs w:val="22"/>
          <w:lang w:eastAsia="x-none"/>
        </w:rPr>
        <w:t xml:space="preserve"> the</w:t>
      </w:r>
      <w:r w:rsidRPr="000D5CD0">
        <w:rPr>
          <w:b/>
          <w:bCs/>
          <w:i/>
          <w:sz w:val="22"/>
          <w:szCs w:val="22"/>
          <w:lang w:eastAsia="x-none"/>
        </w:rPr>
        <w:t xml:space="preserve"> slot</w:t>
      </w:r>
      <w:r>
        <w:rPr>
          <w:b/>
          <w:bCs/>
          <w:i/>
          <w:sz w:val="22"/>
          <w:szCs w:val="22"/>
          <w:lang w:eastAsia="x-none"/>
        </w:rPr>
        <w:t>s.</w:t>
      </w:r>
    </w:p>
    <w:p w14:paraId="4E6E6C83" w14:textId="77777777" w:rsidR="002B284C" w:rsidRDefault="002B284C" w:rsidP="002B284C">
      <w:pPr>
        <w:pStyle w:val="2"/>
        <w:widowControl w:val="0"/>
        <w:numPr>
          <w:ilvl w:val="1"/>
          <w:numId w:val="23"/>
        </w:numPr>
        <w:tabs>
          <w:tab w:val="num" w:pos="576"/>
        </w:tabs>
        <w:autoSpaceDE/>
        <w:autoSpaceDN/>
        <w:adjustRightInd/>
        <w:snapToGrid/>
        <w:ind w:left="576" w:hanging="576"/>
        <w:jc w:val="left"/>
        <w:rPr>
          <w:b w:val="0"/>
          <w:sz w:val="28"/>
        </w:rPr>
      </w:pPr>
      <w:r w:rsidRPr="00E67848">
        <w:rPr>
          <w:b w:val="0"/>
          <w:sz w:val="28"/>
        </w:rPr>
        <w:t>SS switching</w:t>
      </w:r>
      <w:bookmarkStart w:id="8" w:name="OLE_LINK33"/>
      <w:bookmarkStart w:id="9" w:name="OLE_LINK34"/>
      <w:r w:rsidRPr="00E67848">
        <w:rPr>
          <w:b w:val="0"/>
          <w:sz w:val="28"/>
        </w:rPr>
        <w:t xml:space="preserve"> between single-slot and multi-slot span</w:t>
      </w:r>
      <w:bookmarkEnd w:id="8"/>
      <w:bookmarkEnd w:id="9"/>
    </w:p>
    <w:p w14:paraId="7D45B81A" w14:textId="77777777" w:rsidR="002B284C" w:rsidRPr="00583488" w:rsidRDefault="002B284C" w:rsidP="002B284C">
      <w:r w:rsidRPr="00583488">
        <w:t>On the one hand,</w:t>
      </w:r>
      <w:r w:rsidRPr="00BF2172">
        <w:t xml:space="preserve"> many of the UE capabilities are already numerology dependent and the “slot” is commonly used as a reference time grid to confine the capabilities. On the other hand, if the UE is expected to monitor PDCCH in every slot, the micro-sleep opportunities decrease due to the short slot length for the high SCS and the power efficiency during the connected mode would be degraded. Therefore, for the high SCSs, multi-slot can be considered to confine the UE capabilities. </w:t>
      </w:r>
      <w:r w:rsidRPr="00BF2172">
        <w:rPr>
          <w:rFonts w:ascii="宋体" w:eastAsia="宋体" w:hAnsi="宋体" w:cs="宋体" w:hint="eastAsia"/>
          <w:lang w:eastAsia="zh-CN"/>
        </w:rPr>
        <w:t>I</w:t>
      </w:r>
      <w:r w:rsidRPr="00BF2172">
        <w:t xml:space="preserve">n conclusion, </w:t>
      </w:r>
      <w:r w:rsidRPr="00583488">
        <w:t>it is desirable to support both per-slot and multi-slot span PDCCH monitoring capabilities for different SCSs. However, it needs further discussion how to switch between single-slot and multi-slot span or multi-slot of different lengths.</w:t>
      </w:r>
    </w:p>
    <w:p w14:paraId="76B4A777" w14:textId="77777777" w:rsidR="002B284C" w:rsidRDefault="002B284C" w:rsidP="002B284C">
      <w:pPr>
        <w:spacing w:before="120"/>
        <w:rPr>
          <w:b/>
          <w:bCs/>
          <w:i/>
          <w:lang w:val="en-GB" w:eastAsia="x-none"/>
        </w:rPr>
      </w:pPr>
      <w:bookmarkStart w:id="10" w:name="_Toc61822879"/>
      <w:bookmarkStart w:id="11" w:name="_Toc61859758"/>
      <w:bookmarkStart w:id="12" w:name="_Toc61859947"/>
      <w:bookmarkStart w:id="13" w:name="_Toc61869393"/>
      <w:r w:rsidRPr="00E67848">
        <w:rPr>
          <w:b/>
          <w:bCs/>
          <w:i/>
          <w:lang w:val="en-GB" w:eastAsia="x-none"/>
        </w:rPr>
        <w:t xml:space="preserve">Proposal </w:t>
      </w:r>
      <w:r>
        <w:rPr>
          <w:b/>
          <w:bCs/>
          <w:i/>
          <w:lang w:val="en-GB" w:eastAsia="x-none"/>
        </w:rPr>
        <w:t>5</w:t>
      </w:r>
      <w:r w:rsidRPr="00E67848">
        <w:rPr>
          <w:b/>
          <w:bCs/>
          <w:i/>
          <w:lang w:val="en-GB" w:eastAsia="x-none"/>
        </w:rPr>
        <w:t xml:space="preserve">: </w:t>
      </w:r>
      <w:r>
        <w:rPr>
          <w:b/>
          <w:bCs/>
          <w:i/>
          <w:lang w:val="en-GB" w:eastAsia="x-none"/>
        </w:rPr>
        <w:t>S</w:t>
      </w:r>
      <w:r w:rsidRPr="00E67848">
        <w:rPr>
          <w:b/>
          <w:bCs/>
          <w:i/>
          <w:lang w:val="en-GB" w:eastAsia="x-none"/>
        </w:rPr>
        <w:t>upport both single-slot and multi-slot based PDCCH monitoring capabilities</w:t>
      </w:r>
      <w:bookmarkEnd w:id="10"/>
      <w:bookmarkEnd w:id="11"/>
      <w:bookmarkEnd w:id="12"/>
      <w:bookmarkEnd w:id="13"/>
      <w:r>
        <w:rPr>
          <w:b/>
          <w:bCs/>
          <w:i/>
          <w:lang w:val="en-GB" w:eastAsia="x-none"/>
        </w:rPr>
        <w:t xml:space="preserve"> for above 52.6GHz.</w:t>
      </w:r>
    </w:p>
    <w:p w14:paraId="0B898156" w14:textId="77777777" w:rsidR="002B284C" w:rsidRPr="00E67848" w:rsidRDefault="002B284C" w:rsidP="002B284C">
      <w:r>
        <w:t>E</w:t>
      </w:r>
      <w:r w:rsidRPr="009C2DF0">
        <w:t>ach search space set group may be configured for either per-slot or per-span PDCCH monitoring.</w:t>
      </w:r>
      <w:r>
        <w:t xml:space="preserve"> </w:t>
      </w:r>
      <w:r w:rsidRPr="0067659C">
        <w:rPr>
          <w:rFonts w:hint="eastAsia"/>
        </w:rPr>
        <w:t>In</w:t>
      </w:r>
      <w:r w:rsidRPr="0067659C">
        <w:t xml:space="preserve"> order to access the unlicensed spectrum as soon as possible when the gNB passes the LBT. It is better to transmit the PDCCH frequently in the time domain. However, when the unlicensed spectrum is occupied, a sparse PDCCH monitoring occasion is beneficial to the power consumption of UE. Therefore, </w:t>
      </w:r>
      <w:r w:rsidRPr="00E67848">
        <w:t>search space set group switching will provide more</w:t>
      </w:r>
      <w:r w:rsidRPr="009C2DF0">
        <w:t xml:space="preserve"> </w:t>
      </w:r>
      <w:r w:rsidRPr="00E67848">
        <w:t>dynamic transition</w:t>
      </w:r>
      <w:r w:rsidRPr="009C2DF0">
        <w:t xml:space="preserve"> between per-slot and per-span PDCCH monitoring.</w:t>
      </w:r>
    </w:p>
    <w:p w14:paraId="35337285" w14:textId="77777777" w:rsidR="002B284C" w:rsidRDefault="002B284C" w:rsidP="002B284C">
      <w:pPr>
        <w:spacing w:before="120"/>
        <w:rPr>
          <w:b/>
          <w:bCs/>
          <w:i/>
          <w:lang w:eastAsia="x-none"/>
        </w:rPr>
      </w:pPr>
      <w:r w:rsidRPr="00FB3C84">
        <w:rPr>
          <w:b/>
          <w:bCs/>
          <w:i/>
          <w:lang w:eastAsia="x-none"/>
        </w:rPr>
        <w:t xml:space="preserve">Proposal </w:t>
      </w:r>
      <w:r w:rsidRPr="004A4D58">
        <w:rPr>
          <w:b/>
          <w:bCs/>
          <w:i/>
          <w:lang w:val="en-GB" w:eastAsia="x-none"/>
        </w:rPr>
        <w:t>6:</w:t>
      </w:r>
      <w:r>
        <w:rPr>
          <w:b/>
          <w:bCs/>
          <w:i/>
          <w:lang w:eastAsia="x-none"/>
        </w:rPr>
        <w:t xml:space="preserve"> S</w:t>
      </w:r>
      <w:r w:rsidRPr="00FB3C84">
        <w:rPr>
          <w:b/>
          <w:bCs/>
          <w:i/>
          <w:lang w:eastAsia="x-none"/>
        </w:rPr>
        <w:t>upport a dynamic switching between single</w:t>
      </w:r>
      <w:r w:rsidRPr="00E67848">
        <w:rPr>
          <w:rFonts w:hint="eastAsia"/>
          <w:b/>
          <w:bCs/>
          <w:i/>
          <w:lang w:eastAsia="x-none"/>
        </w:rPr>
        <w:t>-</w:t>
      </w:r>
      <w:r w:rsidRPr="00E67848">
        <w:rPr>
          <w:b/>
          <w:bCs/>
          <w:i/>
          <w:lang w:eastAsia="x-none"/>
        </w:rPr>
        <w:t>slot</w:t>
      </w:r>
      <w:r w:rsidRPr="00FB3C84">
        <w:rPr>
          <w:b/>
          <w:bCs/>
          <w:i/>
          <w:lang w:eastAsia="x-none"/>
        </w:rPr>
        <w:t xml:space="preserve"> and multi-slot based PDCCH monitoring capabilities</w:t>
      </w:r>
      <w:r>
        <w:rPr>
          <w:b/>
          <w:bCs/>
          <w:i/>
          <w:lang w:eastAsia="x-none"/>
        </w:rPr>
        <w:t xml:space="preserve"> f</w:t>
      </w:r>
      <w:r w:rsidRPr="00FB3C84">
        <w:rPr>
          <w:b/>
          <w:bCs/>
          <w:i/>
          <w:lang w:eastAsia="x-none"/>
        </w:rPr>
        <w:t>or the high SCSs.</w:t>
      </w:r>
    </w:p>
    <w:p w14:paraId="11BD2D97" w14:textId="77777777" w:rsidR="002B284C" w:rsidRPr="00E67848" w:rsidRDefault="002B284C" w:rsidP="002B284C">
      <w:pPr>
        <w:pStyle w:val="2"/>
        <w:widowControl w:val="0"/>
        <w:numPr>
          <w:ilvl w:val="1"/>
          <w:numId w:val="23"/>
        </w:numPr>
        <w:tabs>
          <w:tab w:val="num" w:pos="576"/>
        </w:tabs>
        <w:autoSpaceDE/>
        <w:autoSpaceDN/>
        <w:adjustRightInd/>
        <w:snapToGrid/>
        <w:ind w:left="576" w:hanging="576"/>
        <w:jc w:val="left"/>
        <w:rPr>
          <w:b w:val="0"/>
          <w:sz w:val="28"/>
        </w:rPr>
      </w:pPr>
      <w:r w:rsidRPr="0081552C">
        <w:rPr>
          <w:b w:val="0"/>
          <w:sz w:val="28"/>
        </w:rPr>
        <w:t xml:space="preserve"> </w:t>
      </w:r>
      <w:r w:rsidRPr="00DC4FB0">
        <w:rPr>
          <w:b w:val="0"/>
          <w:sz w:val="28"/>
        </w:rPr>
        <w:t>Cross-carrier scheduling</w:t>
      </w:r>
    </w:p>
    <w:p w14:paraId="218AA218" w14:textId="77777777" w:rsidR="002B284C" w:rsidRPr="00E67848" w:rsidRDefault="002B284C" w:rsidP="002B284C">
      <w:r w:rsidRPr="00E67848">
        <w:t>Cross-carrier scheduling is useful for NR. Therefore, it is expected that cross-carrier scheduling between serving cells using SCS 120/480/960kHz can be supported. In the CA case, due to different SCS</w:t>
      </w:r>
      <w:r>
        <w:t>,</w:t>
      </w:r>
      <w:r w:rsidRPr="00E67848">
        <w:t xml:space="preserve"> some cells are based on per-slot PDCCH monitoring, some </w:t>
      </w:r>
      <w:r>
        <w:t xml:space="preserve">ones </w:t>
      </w:r>
      <w:r w:rsidRPr="00E67848">
        <w:t xml:space="preserve">are based on multi-slot PDCCH monitoring, and some are based on per-span PDCCH monitoring, even the number of </w:t>
      </w:r>
      <w:r>
        <w:t xml:space="preserve">slot in the </w:t>
      </w:r>
      <w:r w:rsidRPr="00E67848">
        <w:t>multi-slot is</w:t>
      </w:r>
      <w:r>
        <w:t xml:space="preserve"> not</w:t>
      </w:r>
      <w:r w:rsidRPr="00E67848">
        <w:t xml:space="preserve"> </w:t>
      </w:r>
      <w:r>
        <w:t xml:space="preserve">same </w:t>
      </w:r>
      <w:r w:rsidRPr="00E67848">
        <w:t>in different cells</w:t>
      </w:r>
      <w:r>
        <w:t>.</w:t>
      </w:r>
      <w:r w:rsidRPr="00E67848">
        <w:t xml:space="preserve"> One discussion point is how to determine the number of monitored PDCCH candidates and non-overlapping CCE </w:t>
      </w:r>
      <w:r>
        <w:t>for</w:t>
      </w:r>
      <w:r w:rsidRPr="00E67848">
        <w:t xml:space="preserve"> different cells combine in the CA scenario.</w:t>
      </w:r>
      <w:r w:rsidRPr="00E67848">
        <w:rPr>
          <w:rFonts w:hint="eastAsia"/>
        </w:rPr>
        <w:t xml:space="preserve"> </w:t>
      </w:r>
      <w:r w:rsidRPr="00E67848">
        <w:t>In addition, another point of discussion is carrier aggregation (CA) between cells with frequencies of 52.6-71GHz and FR2 or even FR1 cells. Such CA scenario could be supported, especially considering PCells below 52.6-71GHz are more appropriate for coverage/robustness.</w:t>
      </w:r>
    </w:p>
    <w:p w14:paraId="5E793AF3" w14:textId="77777777" w:rsidR="002B284C" w:rsidRPr="00E67848" w:rsidRDefault="002B284C" w:rsidP="002B284C">
      <w:pPr>
        <w:spacing w:before="120"/>
        <w:rPr>
          <w:b/>
          <w:bCs/>
          <w:i/>
          <w:lang w:eastAsia="x-none"/>
        </w:rPr>
      </w:pPr>
      <w:r w:rsidRPr="00FB3C84">
        <w:rPr>
          <w:b/>
          <w:bCs/>
          <w:i/>
          <w:lang w:eastAsia="x-none"/>
        </w:rPr>
        <w:t xml:space="preserve">Proposal </w:t>
      </w:r>
      <w:r>
        <w:rPr>
          <w:b/>
          <w:bCs/>
          <w:i/>
          <w:lang w:eastAsia="x-none"/>
        </w:rPr>
        <w:t>7</w:t>
      </w:r>
      <w:r w:rsidRPr="00FB3C84">
        <w:rPr>
          <w:b/>
          <w:bCs/>
          <w:i/>
          <w:lang w:eastAsia="x-none"/>
        </w:rPr>
        <w:t>:</w:t>
      </w:r>
      <w:r>
        <w:rPr>
          <w:b/>
          <w:bCs/>
          <w:i/>
          <w:lang w:eastAsia="x-none"/>
        </w:rPr>
        <w:t xml:space="preserve"> </w:t>
      </w:r>
      <w:r w:rsidRPr="008476C1">
        <w:rPr>
          <w:b/>
          <w:bCs/>
          <w:i/>
          <w:lang w:val="en-GB" w:eastAsia="x-none"/>
        </w:rPr>
        <w:t xml:space="preserve">The allocation of BDs/CCEs </w:t>
      </w:r>
      <w:r>
        <w:rPr>
          <w:b/>
          <w:bCs/>
          <w:i/>
          <w:lang w:val="en-GB" w:eastAsia="x-none"/>
        </w:rPr>
        <w:t>need</w:t>
      </w:r>
      <w:r w:rsidRPr="008476C1">
        <w:rPr>
          <w:b/>
          <w:bCs/>
          <w:i/>
          <w:lang w:val="en-GB" w:eastAsia="x-none"/>
        </w:rPr>
        <w:t xml:space="preserve"> </w:t>
      </w:r>
      <w:r>
        <w:rPr>
          <w:b/>
          <w:bCs/>
          <w:i/>
          <w:lang w:val="en-GB" w:eastAsia="x-none"/>
        </w:rPr>
        <w:t>further study in different cells for CA case</w:t>
      </w:r>
      <w:r w:rsidRPr="008476C1">
        <w:rPr>
          <w:b/>
          <w:bCs/>
          <w:i/>
          <w:lang w:val="en-GB" w:eastAsia="x-none"/>
        </w:rPr>
        <w:t>.</w:t>
      </w:r>
    </w:p>
    <w:p w14:paraId="3FA507D8" w14:textId="10C453C0" w:rsidR="002B284C" w:rsidRPr="00747BCB" w:rsidRDefault="002B284C" w:rsidP="002B284C">
      <w:pPr>
        <w:rPr>
          <w:b/>
          <w:bCs/>
          <w:i/>
          <w:lang w:eastAsia="x-none"/>
        </w:rPr>
      </w:pPr>
      <w:r w:rsidRPr="00E67848">
        <w:rPr>
          <w:b/>
          <w:bCs/>
          <w:i/>
          <w:lang w:eastAsia="x-none"/>
        </w:rPr>
        <w:t xml:space="preserve">Proposal </w:t>
      </w:r>
      <w:r>
        <w:rPr>
          <w:b/>
          <w:bCs/>
          <w:i/>
          <w:lang w:eastAsia="x-none"/>
        </w:rPr>
        <w:t>8</w:t>
      </w:r>
      <w:r w:rsidRPr="00E67848">
        <w:rPr>
          <w:b/>
          <w:bCs/>
          <w:i/>
          <w:lang w:eastAsia="x-none"/>
        </w:rPr>
        <w:t xml:space="preserve">: </w:t>
      </w:r>
      <w:r>
        <w:rPr>
          <w:b/>
          <w:bCs/>
          <w:i/>
          <w:lang w:eastAsia="x-none"/>
        </w:rPr>
        <w:t>C</w:t>
      </w:r>
      <w:r w:rsidRPr="00971C89">
        <w:rPr>
          <w:b/>
          <w:bCs/>
          <w:i/>
          <w:lang w:eastAsia="x-none"/>
        </w:rPr>
        <w:t>arrier aggregation between a cell with</w:t>
      </w:r>
      <w:r>
        <w:rPr>
          <w:b/>
          <w:bCs/>
          <w:i/>
          <w:lang w:eastAsia="x-none"/>
        </w:rPr>
        <w:t xml:space="preserve"> a</w:t>
      </w:r>
      <w:r w:rsidRPr="00971C89">
        <w:rPr>
          <w:b/>
          <w:bCs/>
          <w:i/>
          <w:lang w:eastAsia="x-none"/>
        </w:rPr>
        <w:t xml:space="preserve"> frequency</w:t>
      </w:r>
      <w:r>
        <w:rPr>
          <w:b/>
          <w:bCs/>
          <w:i/>
          <w:lang w:eastAsia="x-none"/>
        </w:rPr>
        <w:t xml:space="preserve"> of </w:t>
      </w:r>
      <w:r w:rsidRPr="00971C89">
        <w:rPr>
          <w:b/>
          <w:bCs/>
          <w:i/>
          <w:lang w:eastAsia="x-none"/>
        </w:rPr>
        <w:t>52.6-71GHz and a cell in FR2 or even FR1</w:t>
      </w:r>
      <w:r>
        <w:rPr>
          <w:b/>
          <w:bCs/>
          <w:i/>
          <w:lang w:eastAsia="x-none"/>
        </w:rPr>
        <w:t xml:space="preserve"> </w:t>
      </w:r>
      <w:r w:rsidRPr="00E67848">
        <w:rPr>
          <w:b/>
          <w:bCs/>
          <w:i/>
          <w:lang w:eastAsia="x-none"/>
        </w:rPr>
        <w:t xml:space="preserve">could be </w:t>
      </w:r>
      <w:r>
        <w:rPr>
          <w:b/>
          <w:bCs/>
          <w:i/>
          <w:lang w:eastAsia="x-none"/>
        </w:rPr>
        <w:t>supported</w:t>
      </w:r>
      <w:r w:rsidRPr="00E67848">
        <w:rPr>
          <w:b/>
          <w:bCs/>
          <w:i/>
          <w:lang w:eastAsia="x-none"/>
        </w:rPr>
        <w:t>.</w:t>
      </w:r>
      <w:bookmarkStart w:id="14" w:name="_GoBack"/>
      <w:bookmarkEnd w:id="14"/>
    </w:p>
    <w:p w14:paraId="540F4B98" w14:textId="77777777" w:rsidR="00E015EC" w:rsidRDefault="00E015EC" w:rsidP="00E015EC">
      <w:pPr>
        <w:pStyle w:val="1"/>
      </w:pPr>
      <w:r>
        <w:t>Conclusion</w:t>
      </w:r>
    </w:p>
    <w:p w14:paraId="6E4560D0" w14:textId="77777777" w:rsidR="002B284C" w:rsidRPr="00005208" w:rsidRDefault="002B284C" w:rsidP="002B284C">
      <w:pPr>
        <w:pStyle w:val="a3"/>
        <w:rPr>
          <w:rFonts w:eastAsia="宋体" w:hint="eastAsia"/>
          <w:sz w:val="22"/>
          <w:szCs w:val="22"/>
          <w:lang w:eastAsia="zh-CN"/>
        </w:rPr>
      </w:pPr>
      <w:bookmarkStart w:id="15" w:name="OLE_LINK5"/>
      <w:bookmarkStart w:id="16" w:name="OLE_LINK6"/>
      <w:bookmarkStart w:id="17" w:name="OLE_LINK3"/>
      <w:bookmarkStart w:id="18" w:name="OLE_LINK4"/>
      <w:bookmarkStart w:id="19" w:name="OLE_LINK39"/>
      <w:bookmarkStart w:id="20" w:name="OLE_LINK40"/>
      <w:r w:rsidRPr="00005208">
        <w:rPr>
          <w:rFonts w:eastAsia="宋体"/>
          <w:sz w:val="22"/>
          <w:szCs w:val="22"/>
          <w:lang w:eastAsia="zh-CN"/>
        </w:rPr>
        <w:t>In this contribution, we discussed some of the potential PDCCH monitoring enhancements over high carrier frequency band and the following observations and proposals were made.</w:t>
      </w:r>
    </w:p>
    <w:p w14:paraId="769FEC71" w14:textId="77777777" w:rsidR="002B284C" w:rsidRPr="009C2DF0" w:rsidRDefault="002B284C" w:rsidP="002B284C">
      <w:pPr>
        <w:spacing w:before="120"/>
        <w:rPr>
          <w:b/>
          <w:bCs/>
          <w:i/>
          <w:lang w:val="en-GB" w:eastAsia="x-none"/>
        </w:rPr>
      </w:pPr>
      <w:r w:rsidRPr="009C2DF0">
        <w:rPr>
          <w:b/>
          <w:bCs/>
          <w:i/>
          <w:lang w:val="en-GB" w:eastAsia="x-none"/>
        </w:rPr>
        <w:t xml:space="preserve">Proposal 1: It is necessary to limit the number of the BDs/CCEs in two adjacent/consecutive slots belonging to different multi-slot spans.  </w:t>
      </w:r>
    </w:p>
    <w:p w14:paraId="703EA601" w14:textId="77777777" w:rsidR="002B284C" w:rsidRPr="00AE17A3" w:rsidRDefault="002B284C" w:rsidP="002B284C">
      <w:pPr>
        <w:spacing w:beforeLines="100" w:before="240" w:afterLines="100" w:after="240"/>
        <w:rPr>
          <w:rFonts w:eastAsia="等线" w:hint="eastAsia"/>
          <w:b/>
          <w:bCs/>
          <w:i/>
          <w:lang w:val="en-GB" w:eastAsia="zh-CN"/>
        </w:rPr>
      </w:pPr>
      <w:r w:rsidRPr="009C2DF0">
        <w:rPr>
          <w:b/>
          <w:bCs/>
          <w:i/>
          <w:lang w:val="en-GB" w:eastAsia="x-none"/>
        </w:rPr>
        <w:t xml:space="preserve">Proposal </w:t>
      </w:r>
      <w:r>
        <w:rPr>
          <w:b/>
          <w:bCs/>
          <w:i/>
          <w:lang w:val="en-GB" w:eastAsia="x-none"/>
        </w:rPr>
        <w:t>2</w:t>
      </w:r>
      <w:r w:rsidRPr="009C2DF0">
        <w:rPr>
          <w:b/>
          <w:bCs/>
          <w:i/>
          <w:lang w:val="en-GB" w:eastAsia="x-none"/>
        </w:rPr>
        <w:t>: P</w:t>
      </w:r>
      <w:r>
        <w:rPr>
          <w:b/>
          <w:bCs/>
          <w:i/>
          <w:lang w:val="en-GB" w:eastAsia="x-none"/>
        </w:rPr>
        <w:t>DCCH overbooking per-slot in NR</w:t>
      </w:r>
      <w:r w:rsidRPr="009C2DF0">
        <w:rPr>
          <w:b/>
          <w:bCs/>
          <w:i/>
          <w:lang w:val="en-GB" w:eastAsia="x-none"/>
        </w:rPr>
        <w:t xml:space="preserve"> </w:t>
      </w:r>
      <w:r w:rsidRPr="009C2DF0">
        <w:rPr>
          <w:b/>
          <w:i/>
          <w:lang w:val="en-GB" w:eastAsia="x-none"/>
        </w:rPr>
        <w:t>Rel-15</w:t>
      </w:r>
      <w:r w:rsidRPr="009C2DF0">
        <w:rPr>
          <w:i/>
          <w:lang w:val="en-GB" w:eastAsia="x-none"/>
        </w:rPr>
        <w:t xml:space="preserve"> </w:t>
      </w:r>
      <w:r w:rsidRPr="009C2DF0">
        <w:rPr>
          <w:b/>
          <w:bCs/>
          <w:i/>
          <w:lang w:val="en-GB" w:eastAsia="x-none"/>
        </w:rPr>
        <w:t>can reused in multi-slot span for beyond 52.6GHz</w:t>
      </w:r>
      <w:r w:rsidRPr="00AE17A3">
        <w:rPr>
          <w:rFonts w:eastAsia="等线" w:hint="eastAsia"/>
          <w:b/>
          <w:bCs/>
          <w:i/>
          <w:lang w:val="en-GB" w:eastAsia="zh-CN"/>
        </w:rPr>
        <w:t>.</w:t>
      </w:r>
    </w:p>
    <w:p w14:paraId="2E73776A" w14:textId="77777777" w:rsidR="002B284C" w:rsidRPr="009C2DF0" w:rsidRDefault="002B284C" w:rsidP="002B284C">
      <w:pPr>
        <w:spacing w:before="120"/>
        <w:rPr>
          <w:b/>
          <w:bCs/>
          <w:i/>
          <w:lang w:val="en-GB" w:eastAsia="x-none"/>
        </w:rPr>
      </w:pPr>
      <w:r>
        <w:rPr>
          <w:b/>
          <w:bCs/>
          <w:i/>
          <w:lang w:val="en-GB" w:eastAsia="x-none"/>
        </w:rPr>
        <w:t>Proposal 3</w:t>
      </w:r>
      <w:r w:rsidRPr="009C2DF0">
        <w:rPr>
          <w:b/>
          <w:bCs/>
          <w:i/>
          <w:lang w:val="en-GB" w:eastAsia="x-none"/>
        </w:rPr>
        <w:t>: It is expected there is no dropping for CSS sets for PCell/PSCell in PDCCH overbooking</w:t>
      </w:r>
      <w:r>
        <w:rPr>
          <w:b/>
          <w:bCs/>
          <w:i/>
          <w:lang w:val="en-GB" w:eastAsia="x-none"/>
        </w:rPr>
        <w:t>.</w:t>
      </w:r>
    </w:p>
    <w:p w14:paraId="1EB8EB83" w14:textId="77777777" w:rsidR="002B284C" w:rsidRPr="00C3310E" w:rsidRDefault="002B284C" w:rsidP="002B284C">
      <w:pPr>
        <w:rPr>
          <w:b/>
          <w:bCs/>
          <w:i/>
          <w:lang w:val="en-GB" w:eastAsia="x-none"/>
        </w:rPr>
      </w:pPr>
      <w:r w:rsidRPr="00C3310E">
        <w:rPr>
          <w:b/>
          <w:bCs/>
          <w:i/>
          <w:lang w:val="en-GB" w:eastAsia="x-none"/>
        </w:rPr>
        <w:lastRenderedPageBreak/>
        <w:t>Proposal 4: To handling USS dropping in PDCCH overbooking in the multi-slot span</w:t>
      </w:r>
    </w:p>
    <w:p w14:paraId="372FB770" w14:textId="77777777" w:rsidR="002B284C" w:rsidRPr="00C3310E" w:rsidRDefault="002B284C" w:rsidP="002B284C">
      <w:pPr>
        <w:numPr>
          <w:ilvl w:val="0"/>
          <w:numId w:val="22"/>
        </w:numPr>
        <w:autoSpaceDE/>
        <w:autoSpaceDN/>
        <w:adjustRightInd/>
        <w:snapToGrid/>
        <w:spacing w:after="0"/>
        <w:rPr>
          <w:b/>
          <w:bCs/>
          <w:i/>
          <w:lang w:val="en-GB" w:eastAsia="x-none"/>
        </w:rPr>
      </w:pPr>
      <w:r w:rsidRPr="00C3310E">
        <w:rPr>
          <w:b/>
          <w:bCs/>
          <w:i/>
          <w:lang w:val="en-GB" w:eastAsia="x-none"/>
        </w:rPr>
        <w:t>If the PDCCH MOs of a USS set are configured in multiple slots in the multi-slot span, the USS set in all the multiple slots is dropped  based on the</w:t>
      </w:r>
      <w:r>
        <w:rPr>
          <w:b/>
          <w:bCs/>
          <w:i/>
          <w:lang w:val="en-GB" w:eastAsia="x-none"/>
        </w:rPr>
        <w:t xml:space="preserve"> certain </w:t>
      </w:r>
      <w:r w:rsidRPr="00C3310E">
        <w:rPr>
          <w:b/>
          <w:bCs/>
          <w:i/>
          <w:lang w:val="en-GB" w:eastAsia="x-none"/>
        </w:rPr>
        <w:t xml:space="preserve"> index of slot</w:t>
      </w:r>
      <w:r>
        <w:rPr>
          <w:b/>
          <w:bCs/>
          <w:i/>
          <w:lang w:val="en-GB" w:eastAsia="x-none"/>
        </w:rPr>
        <w:t>.</w:t>
      </w:r>
    </w:p>
    <w:p w14:paraId="3C9D1C07" w14:textId="77777777" w:rsidR="002B284C" w:rsidRPr="009C2DF0" w:rsidRDefault="002B284C" w:rsidP="002B284C">
      <w:pPr>
        <w:spacing w:before="120"/>
        <w:rPr>
          <w:b/>
          <w:bCs/>
          <w:i/>
          <w:lang w:val="en-GB" w:eastAsia="x-none"/>
        </w:rPr>
      </w:pPr>
      <w:r w:rsidRPr="009C2DF0">
        <w:rPr>
          <w:b/>
          <w:bCs/>
          <w:i/>
          <w:lang w:val="en-GB" w:eastAsia="x-none"/>
        </w:rPr>
        <w:t xml:space="preserve">Proposal </w:t>
      </w:r>
      <w:r>
        <w:rPr>
          <w:b/>
          <w:bCs/>
          <w:i/>
          <w:lang w:val="en-GB" w:eastAsia="x-none"/>
        </w:rPr>
        <w:t>5</w:t>
      </w:r>
      <w:r w:rsidRPr="009C2DF0">
        <w:rPr>
          <w:b/>
          <w:bCs/>
          <w:i/>
          <w:lang w:val="en-GB" w:eastAsia="x-none"/>
        </w:rPr>
        <w:t>: For the high SCSs, support both single-slot and multi-slot based PDCCH monitoring capabilities.</w:t>
      </w:r>
    </w:p>
    <w:p w14:paraId="7249184C" w14:textId="77777777" w:rsidR="002B284C" w:rsidRDefault="002B284C" w:rsidP="002B284C">
      <w:pPr>
        <w:spacing w:before="120"/>
        <w:rPr>
          <w:b/>
          <w:bCs/>
          <w:i/>
          <w:lang w:eastAsia="x-none"/>
        </w:rPr>
      </w:pPr>
      <w:r w:rsidRPr="00FB3C84">
        <w:rPr>
          <w:b/>
          <w:bCs/>
          <w:i/>
          <w:lang w:eastAsia="x-none"/>
        </w:rPr>
        <w:t>Propo</w:t>
      </w:r>
      <w:r w:rsidRPr="00E67848">
        <w:rPr>
          <w:b/>
          <w:bCs/>
          <w:i/>
          <w:lang w:val="en-GB" w:eastAsia="x-none"/>
        </w:rPr>
        <w:t xml:space="preserve">sal </w:t>
      </w:r>
      <w:r>
        <w:rPr>
          <w:b/>
          <w:bCs/>
          <w:i/>
          <w:lang w:val="en-GB" w:eastAsia="x-none"/>
        </w:rPr>
        <w:t>6</w:t>
      </w:r>
      <w:r w:rsidRPr="00E67848">
        <w:rPr>
          <w:b/>
          <w:bCs/>
          <w:i/>
          <w:lang w:val="en-GB" w:eastAsia="x-none"/>
        </w:rPr>
        <w:t>: S</w:t>
      </w:r>
      <w:r w:rsidRPr="00FB3C84">
        <w:rPr>
          <w:b/>
          <w:bCs/>
          <w:i/>
          <w:lang w:eastAsia="x-none"/>
        </w:rPr>
        <w:t>upport a dynamic switching between single</w:t>
      </w:r>
      <w:r w:rsidRPr="008476C1">
        <w:rPr>
          <w:rFonts w:hint="eastAsia"/>
          <w:b/>
          <w:bCs/>
          <w:i/>
          <w:lang w:eastAsia="x-none"/>
        </w:rPr>
        <w:t>-</w:t>
      </w:r>
      <w:r w:rsidRPr="008476C1">
        <w:rPr>
          <w:b/>
          <w:bCs/>
          <w:i/>
          <w:lang w:eastAsia="x-none"/>
        </w:rPr>
        <w:t>slot</w:t>
      </w:r>
      <w:r w:rsidRPr="00FB3C84">
        <w:rPr>
          <w:b/>
          <w:bCs/>
          <w:i/>
          <w:lang w:eastAsia="x-none"/>
        </w:rPr>
        <w:t xml:space="preserve"> and multi-slot based PDCCH monitoring capabilities</w:t>
      </w:r>
      <w:r>
        <w:rPr>
          <w:b/>
          <w:bCs/>
          <w:i/>
          <w:lang w:eastAsia="x-none"/>
        </w:rPr>
        <w:t xml:space="preserve"> f</w:t>
      </w:r>
      <w:r w:rsidRPr="00FB3C84">
        <w:rPr>
          <w:b/>
          <w:bCs/>
          <w:i/>
          <w:lang w:eastAsia="x-none"/>
        </w:rPr>
        <w:t>or the high SCSs.</w:t>
      </w:r>
    </w:p>
    <w:p w14:paraId="7936210E" w14:textId="77777777" w:rsidR="002B284C" w:rsidRPr="004A4D58" w:rsidRDefault="002B284C" w:rsidP="002B284C">
      <w:pPr>
        <w:spacing w:before="120"/>
        <w:rPr>
          <w:b/>
          <w:bCs/>
          <w:i/>
          <w:lang w:eastAsia="x-none"/>
        </w:rPr>
      </w:pPr>
      <w:r w:rsidRPr="004A4D58">
        <w:rPr>
          <w:b/>
          <w:bCs/>
          <w:i/>
          <w:lang w:eastAsia="x-none"/>
        </w:rPr>
        <w:t>Proposal 7: The allocation of BDs/CCEs need further study in different cells for CA case.</w:t>
      </w:r>
    </w:p>
    <w:p w14:paraId="2C9F0342" w14:textId="77777777" w:rsidR="002B284C" w:rsidRPr="008476C1" w:rsidRDefault="002B284C" w:rsidP="002B284C">
      <w:pPr>
        <w:rPr>
          <w:b/>
          <w:bCs/>
          <w:i/>
          <w:lang w:eastAsia="x-none"/>
        </w:rPr>
      </w:pPr>
      <w:r w:rsidRPr="004A4D58">
        <w:rPr>
          <w:b/>
          <w:bCs/>
          <w:i/>
          <w:lang w:eastAsia="x-none"/>
        </w:rPr>
        <w:t>Proposal 8:</w:t>
      </w:r>
      <w:r w:rsidRPr="00D93B0B">
        <w:rPr>
          <w:b/>
          <w:bCs/>
          <w:i/>
          <w:lang w:eastAsia="x-none"/>
        </w:rPr>
        <w:t xml:space="preserve"> </w:t>
      </w:r>
      <w:r>
        <w:rPr>
          <w:b/>
          <w:bCs/>
          <w:i/>
          <w:lang w:eastAsia="x-none"/>
        </w:rPr>
        <w:t>C</w:t>
      </w:r>
      <w:r w:rsidRPr="00971C89">
        <w:rPr>
          <w:b/>
          <w:bCs/>
          <w:i/>
          <w:lang w:eastAsia="x-none"/>
        </w:rPr>
        <w:t>arrier aggregation between a cell with</w:t>
      </w:r>
      <w:r>
        <w:rPr>
          <w:b/>
          <w:bCs/>
          <w:i/>
          <w:lang w:eastAsia="x-none"/>
        </w:rPr>
        <w:t xml:space="preserve"> a</w:t>
      </w:r>
      <w:r w:rsidRPr="00971C89">
        <w:rPr>
          <w:b/>
          <w:bCs/>
          <w:i/>
          <w:lang w:eastAsia="x-none"/>
        </w:rPr>
        <w:t xml:space="preserve"> frequency</w:t>
      </w:r>
      <w:r>
        <w:rPr>
          <w:b/>
          <w:bCs/>
          <w:i/>
          <w:lang w:eastAsia="x-none"/>
        </w:rPr>
        <w:t xml:space="preserve"> of </w:t>
      </w:r>
      <w:r w:rsidRPr="00971C89">
        <w:rPr>
          <w:b/>
          <w:bCs/>
          <w:i/>
          <w:lang w:eastAsia="x-none"/>
        </w:rPr>
        <w:t>52.6-71GHz and a cell in FR2 or even FR1</w:t>
      </w:r>
      <w:r>
        <w:rPr>
          <w:b/>
          <w:bCs/>
          <w:i/>
          <w:lang w:eastAsia="x-none"/>
        </w:rPr>
        <w:t xml:space="preserve"> </w:t>
      </w:r>
      <w:r w:rsidRPr="00E67848">
        <w:rPr>
          <w:b/>
          <w:bCs/>
          <w:i/>
          <w:lang w:eastAsia="x-none"/>
        </w:rPr>
        <w:t xml:space="preserve">could be </w:t>
      </w:r>
      <w:r>
        <w:rPr>
          <w:b/>
          <w:bCs/>
          <w:i/>
          <w:lang w:eastAsia="x-none"/>
        </w:rPr>
        <w:t>supported</w:t>
      </w:r>
      <w:r w:rsidRPr="00E67848">
        <w:rPr>
          <w:b/>
          <w:bCs/>
          <w:i/>
          <w:lang w:eastAsia="x-none"/>
        </w:rPr>
        <w:t>.</w:t>
      </w:r>
    </w:p>
    <w:p w14:paraId="0FFD2DD5" w14:textId="77777777" w:rsidR="000C1D4B" w:rsidRPr="002B284C" w:rsidRDefault="000C1D4B" w:rsidP="00BB2258">
      <w:pPr>
        <w:rPr>
          <w:b/>
          <w:i/>
          <w:szCs w:val="20"/>
          <w:lang w:eastAsia="zh-CN"/>
        </w:rPr>
      </w:pPr>
    </w:p>
    <w:bookmarkEnd w:id="15"/>
    <w:bookmarkEnd w:id="16"/>
    <w:bookmarkEnd w:id="17"/>
    <w:bookmarkEnd w:id="18"/>
    <w:bookmarkEnd w:id="19"/>
    <w:bookmarkEnd w:id="20"/>
    <w:p w14:paraId="73A87FA4" w14:textId="77777777" w:rsidR="00847CD5" w:rsidRDefault="00847CD5" w:rsidP="00847CD5">
      <w:pPr>
        <w:pStyle w:val="1"/>
      </w:pPr>
      <w:r w:rsidRPr="00847CD5">
        <w:t>Reference</w:t>
      </w:r>
    </w:p>
    <w:bookmarkEnd w:id="2"/>
    <w:p w14:paraId="670825FF" w14:textId="77777777" w:rsidR="002B284C" w:rsidRPr="00E67848" w:rsidRDefault="002B284C" w:rsidP="002B284C">
      <w:pPr>
        <w:pStyle w:val="af3"/>
        <w:numPr>
          <w:ilvl w:val="0"/>
          <w:numId w:val="6"/>
        </w:numPr>
        <w:ind w:firstLineChars="0"/>
        <w:rPr>
          <w:rFonts w:eastAsia="等线"/>
          <w:szCs w:val="20"/>
          <w:lang w:eastAsia="zh-CN"/>
        </w:rPr>
      </w:pPr>
      <w:r w:rsidRPr="00E67848">
        <w:rPr>
          <w:rFonts w:eastAsia="等线"/>
          <w:szCs w:val="20"/>
          <w:lang w:eastAsia="zh-CN"/>
        </w:rPr>
        <w:t>RP-202925 Revised WID: Extending current NR operation to 71GHz, 2020-12</w:t>
      </w:r>
    </w:p>
    <w:p w14:paraId="3EA6970E" w14:textId="77777777" w:rsidR="002B284C" w:rsidRPr="00E67848" w:rsidRDefault="002B284C" w:rsidP="002B284C">
      <w:pPr>
        <w:pStyle w:val="af3"/>
        <w:numPr>
          <w:ilvl w:val="0"/>
          <w:numId w:val="6"/>
        </w:numPr>
        <w:ind w:firstLineChars="0"/>
        <w:rPr>
          <w:rFonts w:eastAsia="等线"/>
          <w:szCs w:val="20"/>
        </w:rPr>
      </w:pPr>
      <w:r w:rsidRPr="00E67848">
        <w:rPr>
          <w:rFonts w:eastAsia="等线"/>
          <w:szCs w:val="20"/>
        </w:rPr>
        <w:t>RAN1#10</w:t>
      </w:r>
      <w:r w:rsidRPr="00E67848">
        <w:rPr>
          <w:rFonts w:eastAsia="等线" w:hint="eastAsia"/>
          <w:szCs w:val="20"/>
          <w:lang w:eastAsia="zh-CN"/>
        </w:rPr>
        <w:t>4</w:t>
      </w:r>
      <w:r w:rsidRPr="00E67848">
        <w:rPr>
          <w:rFonts w:eastAsia="等线"/>
          <w:szCs w:val="20"/>
        </w:rPr>
        <w:t>-e, Chairman Minutes.</w:t>
      </w:r>
    </w:p>
    <w:p w14:paraId="17FDD1C0" w14:textId="77777777" w:rsidR="002B284C" w:rsidRPr="00E67848" w:rsidRDefault="002B284C" w:rsidP="002B284C">
      <w:pPr>
        <w:widowControl w:val="0"/>
        <w:numPr>
          <w:ilvl w:val="0"/>
          <w:numId w:val="6"/>
        </w:numPr>
        <w:autoSpaceDE/>
        <w:adjustRightInd/>
        <w:snapToGrid/>
        <w:rPr>
          <w:szCs w:val="20"/>
          <w:lang w:eastAsia="zh-CN"/>
        </w:rPr>
      </w:pPr>
      <w:r w:rsidRPr="00E67848">
        <w:rPr>
          <w:szCs w:val="20"/>
          <w:lang w:eastAsia="zh-CN"/>
        </w:rPr>
        <w:t>R1-</w:t>
      </w:r>
      <w:r w:rsidRPr="00D90BF8">
        <w:rPr>
          <w:szCs w:val="20"/>
          <w:lang w:eastAsia="zh-CN"/>
        </w:rPr>
        <w:t>2100644</w:t>
      </w:r>
      <w:r w:rsidRPr="00E67848">
        <w:rPr>
          <w:szCs w:val="20"/>
          <w:lang w:eastAsia="zh-CN"/>
        </w:rPr>
        <w:t>, “</w:t>
      </w:r>
      <w:r w:rsidRPr="00E67848">
        <w:rPr>
          <w:rFonts w:eastAsia="等线"/>
          <w:szCs w:val="20"/>
        </w:rPr>
        <w:t>Discussion on PDCCH monitoring enhancements for extending NR up to 71 GHz</w:t>
      </w:r>
      <w:r w:rsidRPr="00E67848">
        <w:rPr>
          <w:szCs w:val="20"/>
          <w:lang w:eastAsia="zh-CN"/>
        </w:rPr>
        <w:t>,” Intel</w:t>
      </w:r>
    </w:p>
    <w:p w14:paraId="7B08A9D1" w14:textId="1CFEFAF1" w:rsidR="005323B3" w:rsidRPr="002B284C" w:rsidRDefault="002B284C" w:rsidP="002B284C">
      <w:pPr>
        <w:pStyle w:val="af3"/>
        <w:numPr>
          <w:ilvl w:val="0"/>
          <w:numId w:val="6"/>
        </w:numPr>
        <w:ind w:firstLineChars="0"/>
        <w:rPr>
          <w:rFonts w:eastAsia="宋体" w:hint="eastAsia"/>
          <w:szCs w:val="20"/>
          <w:lang w:eastAsia="zh-CN"/>
        </w:rPr>
      </w:pPr>
      <w:r w:rsidRPr="00E67848">
        <w:rPr>
          <w:rFonts w:eastAsia="等线"/>
          <w:szCs w:val="20"/>
        </w:rPr>
        <w:t>3GPP TS 38.213 V16.3.0, “NR; Physical layer procedures for control”.</w:t>
      </w:r>
      <w:r w:rsidRPr="00E67848" w:rsidDel="00AC4962">
        <w:rPr>
          <w:highlight w:val="yellow"/>
        </w:rPr>
        <w:t xml:space="preserve"> </w:t>
      </w:r>
    </w:p>
    <w:sectPr w:rsidR="005323B3" w:rsidRPr="002B284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5D2EB" w14:textId="77777777" w:rsidR="00722BE7" w:rsidRDefault="00722BE7">
      <w:r>
        <w:separator/>
      </w:r>
    </w:p>
  </w:endnote>
  <w:endnote w:type="continuationSeparator" w:id="0">
    <w:p w14:paraId="3EC8018B" w14:textId="77777777" w:rsidR="00722BE7" w:rsidRDefault="00722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04699" w14:textId="77777777" w:rsidR="00722BE7" w:rsidRDefault="00722BE7">
      <w:r>
        <w:separator/>
      </w:r>
    </w:p>
  </w:footnote>
  <w:footnote w:type="continuationSeparator" w:id="0">
    <w:p w14:paraId="4EE39F74" w14:textId="77777777" w:rsidR="00722BE7" w:rsidRDefault="00722B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5664A4"/>
    <w:multiLevelType w:val="hybridMultilevel"/>
    <w:tmpl w:val="675231B8"/>
    <w:lvl w:ilvl="0" w:tplc="B890FF46">
      <w:start w:val="1"/>
      <w:numFmt w:val="bullet"/>
      <w:lvlText w:val=""/>
      <w:lvlJc w:val="left"/>
      <w:pPr>
        <w:tabs>
          <w:tab w:val="num" w:pos="720"/>
        </w:tabs>
        <w:ind w:left="720" w:hanging="360"/>
      </w:pPr>
      <w:rPr>
        <w:rFonts w:ascii="Symbol" w:hAnsi="Symbol" w:hint="default"/>
      </w:rPr>
    </w:lvl>
    <w:lvl w:ilvl="1" w:tplc="CAA6B756">
      <w:start w:val="174"/>
      <w:numFmt w:val="bullet"/>
      <w:lvlText w:val="o"/>
      <w:lvlJc w:val="left"/>
      <w:pPr>
        <w:tabs>
          <w:tab w:val="num" w:pos="1440"/>
        </w:tabs>
        <w:ind w:left="1440" w:hanging="360"/>
      </w:pPr>
      <w:rPr>
        <w:rFonts w:ascii="Courier New" w:hAnsi="Courier New" w:hint="default"/>
      </w:rPr>
    </w:lvl>
    <w:lvl w:ilvl="2" w:tplc="FC3C5062">
      <w:start w:val="174"/>
      <w:numFmt w:val="bullet"/>
      <w:lvlText w:val=""/>
      <w:lvlJc w:val="left"/>
      <w:pPr>
        <w:tabs>
          <w:tab w:val="num" w:pos="2160"/>
        </w:tabs>
        <w:ind w:left="2160" w:hanging="360"/>
      </w:pPr>
      <w:rPr>
        <w:rFonts w:ascii="Wingdings" w:hAnsi="Wingdings" w:hint="default"/>
      </w:rPr>
    </w:lvl>
    <w:lvl w:ilvl="3" w:tplc="51E67926" w:tentative="1">
      <w:start w:val="1"/>
      <w:numFmt w:val="bullet"/>
      <w:lvlText w:val=""/>
      <w:lvlJc w:val="left"/>
      <w:pPr>
        <w:tabs>
          <w:tab w:val="num" w:pos="2880"/>
        </w:tabs>
        <w:ind w:left="2880" w:hanging="360"/>
      </w:pPr>
      <w:rPr>
        <w:rFonts w:ascii="Symbol" w:hAnsi="Symbol" w:hint="default"/>
      </w:rPr>
    </w:lvl>
    <w:lvl w:ilvl="4" w:tplc="17B4C42A" w:tentative="1">
      <w:start w:val="1"/>
      <w:numFmt w:val="bullet"/>
      <w:lvlText w:val=""/>
      <w:lvlJc w:val="left"/>
      <w:pPr>
        <w:tabs>
          <w:tab w:val="num" w:pos="3600"/>
        </w:tabs>
        <w:ind w:left="3600" w:hanging="360"/>
      </w:pPr>
      <w:rPr>
        <w:rFonts w:ascii="Symbol" w:hAnsi="Symbol" w:hint="default"/>
      </w:rPr>
    </w:lvl>
    <w:lvl w:ilvl="5" w:tplc="002288A0" w:tentative="1">
      <w:start w:val="1"/>
      <w:numFmt w:val="bullet"/>
      <w:lvlText w:val=""/>
      <w:lvlJc w:val="left"/>
      <w:pPr>
        <w:tabs>
          <w:tab w:val="num" w:pos="4320"/>
        </w:tabs>
        <w:ind w:left="4320" w:hanging="360"/>
      </w:pPr>
      <w:rPr>
        <w:rFonts w:ascii="Symbol" w:hAnsi="Symbol" w:hint="default"/>
      </w:rPr>
    </w:lvl>
    <w:lvl w:ilvl="6" w:tplc="E9006D98" w:tentative="1">
      <w:start w:val="1"/>
      <w:numFmt w:val="bullet"/>
      <w:lvlText w:val=""/>
      <w:lvlJc w:val="left"/>
      <w:pPr>
        <w:tabs>
          <w:tab w:val="num" w:pos="5040"/>
        </w:tabs>
        <w:ind w:left="5040" w:hanging="360"/>
      </w:pPr>
      <w:rPr>
        <w:rFonts w:ascii="Symbol" w:hAnsi="Symbol" w:hint="default"/>
      </w:rPr>
    </w:lvl>
    <w:lvl w:ilvl="7" w:tplc="FA7024FA" w:tentative="1">
      <w:start w:val="1"/>
      <w:numFmt w:val="bullet"/>
      <w:lvlText w:val=""/>
      <w:lvlJc w:val="left"/>
      <w:pPr>
        <w:tabs>
          <w:tab w:val="num" w:pos="5760"/>
        </w:tabs>
        <w:ind w:left="5760" w:hanging="360"/>
      </w:pPr>
      <w:rPr>
        <w:rFonts w:ascii="Symbol" w:hAnsi="Symbol" w:hint="default"/>
      </w:rPr>
    </w:lvl>
    <w:lvl w:ilvl="8" w:tplc="1476784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ED1737F"/>
    <w:multiLevelType w:val="hybridMultilevel"/>
    <w:tmpl w:val="4EE4D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C833CC"/>
    <w:multiLevelType w:val="multilevel"/>
    <w:tmpl w:val="5DB44570"/>
    <w:lvl w:ilvl="0">
      <w:start w:val="2"/>
      <w:numFmt w:val="decimal"/>
      <w:lvlText w:val="%1"/>
      <w:lvlJc w:val="left"/>
      <w:pPr>
        <w:ind w:left="360" w:hanging="360"/>
      </w:pPr>
      <w:rPr>
        <w:rFonts w:hint="default"/>
      </w:rPr>
    </w:lvl>
    <w:lvl w:ilvl="1">
      <w:start w:val="1"/>
      <w:numFmt w:val="decimal"/>
      <w:lvlText w:val="%1.%2"/>
      <w:lvlJc w:val="left"/>
      <w:pPr>
        <w:ind w:left="2340" w:hanging="360"/>
      </w:pPr>
      <w:rPr>
        <w:rFonts w:hint="default"/>
        <w:i w:val="0"/>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1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734713E"/>
    <w:multiLevelType w:val="hybridMultilevel"/>
    <w:tmpl w:val="7108D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17"/>
  </w:num>
  <w:num w:numId="4">
    <w:abstractNumId w:val="18"/>
  </w:num>
  <w:num w:numId="5">
    <w:abstractNumId w:val="11"/>
  </w:num>
  <w:num w:numId="6">
    <w:abstractNumId w:val="3"/>
  </w:num>
  <w:num w:numId="7">
    <w:abstractNumId w:val="8"/>
  </w:num>
  <w:num w:numId="8">
    <w:abstractNumId w:val="19"/>
  </w:num>
  <w:num w:numId="9">
    <w:abstractNumId w:val="5"/>
  </w:num>
  <w:num w:numId="10">
    <w:abstractNumId w:val="0"/>
  </w:num>
  <w:num w:numId="11">
    <w:abstractNumId w:val="6"/>
  </w:num>
  <w:num w:numId="12">
    <w:abstractNumId w:val="20"/>
  </w:num>
  <w:num w:numId="13">
    <w:abstractNumId w:val="11"/>
  </w:num>
  <w:num w:numId="14">
    <w:abstractNumId w:val="12"/>
  </w:num>
  <w:num w:numId="15">
    <w:abstractNumId w:val="2"/>
  </w:num>
  <w:num w:numId="16">
    <w:abstractNumId w:val="1"/>
  </w:num>
  <w:num w:numId="17">
    <w:abstractNumId w:val="13"/>
  </w:num>
  <w:num w:numId="18">
    <w:abstractNumId w:val="16"/>
  </w:num>
  <w:num w:numId="19">
    <w:abstractNumId w:val="14"/>
  </w:num>
  <w:num w:numId="20">
    <w:abstractNumId w:val="15"/>
  </w:num>
  <w:num w:numId="21">
    <w:abstractNumId w:val="4"/>
  </w:num>
  <w:num w:numId="22">
    <w:abstractNumId w:val="9"/>
  </w:num>
  <w:num w:numId="2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C"/>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BE7"/>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BCB"/>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3A6BB016-7F39-4BF9-BA46-488C7C6D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列,列出段落2,列表段落11"/>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a4">
    <w:name w:val="正文文本 字符"/>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 w:type="paragraph" w:customStyle="1" w:styleId="b110">
    <w:name w:val="b110"/>
    <w:basedOn w:val="a"/>
    <w:rsid w:val="00BF46AE"/>
    <w:pPr>
      <w:autoSpaceDE/>
      <w:autoSpaceDN/>
      <w:adjustRightInd/>
      <w:snapToGrid/>
      <w:spacing w:before="75" w:after="75"/>
      <w:jc w:val="left"/>
    </w:pPr>
    <w:rPr>
      <w:rFonts w:eastAsia="Times New Roman"/>
      <w:sz w:val="24"/>
      <w:szCs w:val="24"/>
      <w:lang w:eastAsia="zh-CN"/>
    </w:rPr>
  </w:style>
  <w:style w:type="character" w:customStyle="1" w:styleId="Char0">
    <w:name w:val="列出段落 Char"/>
    <w:aliases w:val="- Bullets Char1,목록 단락 Char1,リスト段落 Char1,?? ?? Char,????? Char,???? Char,Lista1 Char,列出段落1 Char,中等深浅网格 1 - 着色 21 Char,列表段落 Char,¥¡¡¡¡ì¬º¥¹¥È¶ÎÂä Char,ÁÐ³ö¶ÎÂä Char,列表段落1 Char,—ño’i—Ž Char,¥ê¥¹¥È¶ÎÂä Char,1st level - Bullet List Paragraph Char"/>
    <w:uiPriority w:val="34"/>
    <w:qFormat/>
    <w:locked/>
    <w:rsid w:val="002B284C"/>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67642200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508137293">
          <w:marLeft w:val="547"/>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2386246">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1A7F6-B28C-415D-A60B-9C3D2D79D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1701</Words>
  <Characters>9698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贺阳 (Lily He)</cp:lastModifiedBy>
  <cp:revision>3</cp:revision>
  <cp:lastPrinted>2015-03-27T14:25:00Z</cp:lastPrinted>
  <dcterms:created xsi:type="dcterms:W3CDTF">2021-04-07T03:15:00Z</dcterms:created>
  <dcterms:modified xsi:type="dcterms:W3CDTF">2021-04-07T03:17:00Z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