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0477" w14:textId="77777777"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0DF939C7" w14:textId="77777777"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2D2A342D" w14:textId="77777777" w:rsidR="00076871" w:rsidRDefault="00076871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720749E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4326BC2C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400DB79B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[103-e-NR-IAB-02] Issue with IAB-DU “serving” cell terminology</w:t>
      </w:r>
    </w:p>
    <w:p w14:paraId="6949840E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445C099E" w14:textId="77777777" w:rsidR="00076871" w:rsidRDefault="004D04F0">
      <w:pPr>
        <w:pStyle w:val="Heading1"/>
      </w:pPr>
      <w:r>
        <w:t>Introduction</w:t>
      </w:r>
    </w:p>
    <w:p w14:paraId="19E9C7E5" w14:textId="77777777" w:rsidR="00076871" w:rsidRDefault="004D04F0">
      <w:pPr>
        <w:pStyle w:val="BodyText"/>
      </w:pPr>
      <w:r>
        <w:t>This contribution provides a summary of the following email discussion:</w:t>
      </w:r>
    </w:p>
    <w:p w14:paraId="38A65955" w14:textId="77777777" w:rsidR="00076871" w:rsidRDefault="004D04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60BDF41C" w14:textId="77777777"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724AB507" w14:textId="77777777"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370FCC19" w14:textId="77777777" w:rsidR="00076871" w:rsidRDefault="00076871">
      <w:pPr>
        <w:pStyle w:val="BodyText"/>
      </w:pPr>
    </w:p>
    <w:p w14:paraId="7415ACFA" w14:textId="77777777" w:rsidR="00076871" w:rsidRDefault="004D04F0">
      <w:pPr>
        <w:pStyle w:val="Heading1"/>
      </w:pPr>
      <w:r>
        <w:rPr>
          <w:lang w:val="en-GB"/>
        </w:rPr>
        <w:t>Issue with IAB-DU “serving” cell terminology</w:t>
      </w:r>
    </w:p>
    <w:p w14:paraId="7E99E11C" w14:textId="77777777" w:rsidR="00076871" w:rsidRDefault="004D04F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>: R1-2008742</w:t>
      </w:r>
    </w:p>
    <w:p w14:paraId="705DFDC2" w14:textId="77777777" w:rsidR="00076871" w:rsidRDefault="0007687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0DCEECA" w14:textId="77777777" w:rsidR="00076871" w:rsidRDefault="004D04F0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 xml:space="preserve">In 38.213 Section 14, multiple references to a “serving cell” in relation to an IAB-DU are made, which are consistent with the terminology used for UEs and IAB-MTs. However, this is inconsistent with other specifications where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 xml:space="preserve">-DUs do not use the term “serving” for associated cells, including for IAB-DUs (see 38.331 and 38.401 for examples from RAN2 and RAN3 respectively). Unless a clear motivation is made for keeping the term “serving cells,” since the IAB-DU hosts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>-DU functionality, it seems more appropriate to remove the instances of “IAB-DU serving cell(s)” or “serving cell(s) of an IAB-DU.” Since there does not appear to be any functional impact, an editorial correction of the specification could be used to make the update instead of a CR.</w:t>
      </w:r>
    </w:p>
    <w:p w14:paraId="16C1AA34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1EAB592C" w14:textId="77777777"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Remove all references to “serving” in relation of IAB-DU cell(s) in TS 38.213 Section 14. </w:t>
      </w:r>
    </w:p>
    <w:p w14:paraId="2E889D04" w14:textId="77777777"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 xml:space="preserve">Note: This will be done via editorial update of the alignment CR </w:t>
      </w:r>
    </w:p>
    <w:p w14:paraId="49FC667D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72F4A08D" w14:textId="77777777" w:rsidR="00076871" w:rsidRDefault="004D04F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076871" w14:paraId="5DAAE072" w14:textId="77777777">
        <w:tc>
          <w:tcPr>
            <w:tcW w:w="1696" w:type="dxa"/>
          </w:tcPr>
          <w:p w14:paraId="2DC02494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F481636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4B88E44B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076871" w14:paraId="2DFF7F22" w14:textId="77777777">
        <w:tc>
          <w:tcPr>
            <w:tcW w:w="1696" w:type="dxa"/>
          </w:tcPr>
          <w:p w14:paraId="7F714F06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38F1A2AD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28FA8650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076871" w14:paraId="3667F8E0" w14:textId="77777777">
        <w:tc>
          <w:tcPr>
            <w:tcW w:w="1696" w:type="dxa"/>
          </w:tcPr>
          <w:p w14:paraId="3DBD0D8C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18BD97AB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3C702C80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076871" w14:paraId="4D3E2345" w14:textId="77777777">
        <w:tc>
          <w:tcPr>
            <w:tcW w:w="1696" w:type="dxa"/>
          </w:tcPr>
          <w:p w14:paraId="4DC38310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6087E6E9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58B25A46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 w14:paraId="64D89012" w14:textId="77777777">
        <w:tc>
          <w:tcPr>
            <w:tcW w:w="1696" w:type="dxa"/>
          </w:tcPr>
          <w:p w14:paraId="63DBE0DC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 w14:paraId="054E4D1D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 w14:paraId="27F1084F" w14:textId="77777777"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 w:rsidR="00076871" w14:paraId="73C94CAA" w14:textId="77777777">
        <w:tc>
          <w:tcPr>
            <w:tcW w:w="1696" w:type="dxa"/>
          </w:tcPr>
          <w:p w14:paraId="631BE66B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40637595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42A29F62" w14:textId="77777777" w:rsidR="00076871" w:rsidRDefault="004D04F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 w14:paraId="06361DF4" w14:textId="77777777">
        <w:tc>
          <w:tcPr>
            <w:tcW w:w="1696" w:type="dxa"/>
          </w:tcPr>
          <w:p w14:paraId="0C8EFC5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64733C5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33DED24A" w14:textId="77777777"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None</w:t>
            </w:r>
          </w:p>
        </w:tc>
      </w:tr>
      <w:tr w:rsidR="00076871" w14:paraId="580048B6" w14:textId="77777777">
        <w:tc>
          <w:tcPr>
            <w:tcW w:w="1696" w:type="dxa"/>
          </w:tcPr>
          <w:p w14:paraId="6527CE8A" w14:textId="77777777" w:rsidR="00076871" w:rsidRDefault="004D04F0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432B671D" w14:textId="77777777" w:rsidR="00076871" w:rsidRDefault="00076871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31F9B59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After checking 38.331, the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is also used for a IAB DU related cell in the following text:</w:t>
            </w:r>
          </w:p>
          <w:p w14:paraId="1E97A10A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----------------------------------------------------</w:t>
            </w:r>
          </w:p>
          <w:p w14:paraId="3A09D247" w14:textId="77777777" w:rsidR="00076871" w:rsidRDefault="004D04F0">
            <w:pPr>
              <w:rPr>
                <w:rFonts w:ascii="Arial" w:hAnsi="Arial"/>
                <w:i/>
                <w:iCs/>
                <w:lang w:val="en-GB" w:eastAsia="ja-JP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 -  </w:t>
            </w:r>
            <w:proofErr w:type="spellStart"/>
            <w:r>
              <w:rPr>
                <w:rFonts w:ascii="Arial" w:hAnsi="Arial"/>
                <w:i/>
                <w:iCs/>
                <w:lang w:val="en-GB" w:eastAsia="ja-JP"/>
              </w:rPr>
              <w:t>AvailabilityCombinationsPerCell</w:t>
            </w:r>
            <w:proofErr w:type="spellEnd"/>
          </w:p>
          <w:p w14:paraId="25D4B8DF" w14:textId="77777777" w:rsidR="00076871" w:rsidRDefault="00076871">
            <w:pPr>
              <w:rPr>
                <w:rFonts w:ascii="Arial" w:hAnsi="Arial"/>
                <w:i/>
                <w:iCs/>
                <w:lang w:eastAsia="zh-CN"/>
              </w:rPr>
            </w:pPr>
          </w:p>
          <w:p w14:paraId="6CC51D00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The IE </w:t>
            </w:r>
            <w:proofErr w:type="spellStart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AvailabiltyCombinationsPerCell</w:t>
            </w:r>
            <w:proofErr w:type="spellEnd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is used to configure the </w:t>
            </w:r>
            <w:proofErr w:type="spellStart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</w:t>
            </w:r>
            <w:proofErr w:type="spellEnd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applicable for a</w:t>
            </w:r>
            <w:r>
              <w:rPr>
                <w:rStyle w:val="apple-converted-space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mphasis"/>
                <w:rFonts w:ascii="Arial" w:eastAsia="SimSun" w:hAnsi="Arial" w:cs="Arial"/>
                <w:color w:val="FF0000"/>
                <w:sz w:val="22"/>
                <w:szCs w:val="22"/>
                <w:shd w:val="clear" w:color="auto" w:fill="FFFFFF"/>
              </w:rPr>
              <w:t>serving cell of the IAB-node DU</w:t>
            </w:r>
            <w:r>
              <w:rPr>
                <w:rStyle w:val="apple-converted-space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mphasis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(see TS 38.213 [13], clause 14).</w:t>
            </w:r>
          </w:p>
          <w:p w14:paraId="60F6689B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lastRenderedPageBreak/>
              <w:t>-----------------------------------------------------</w:t>
            </w:r>
          </w:p>
          <w:p w14:paraId="6817F9D1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The inconsistent issue may still there if just RAN1 chooses to remove </w:t>
            </w:r>
            <w:r>
              <w:rPr>
                <w:rFonts w:ascii="Calibri" w:eastAsia="Calibri" w:hAnsi="Calibri"/>
                <w:sz w:val="22"/>
                <w:szCs w:val="22"/>
              </w:rPr>
              <w:t>all references to “serving” in relation of IAB-DU cell(s) in TS 38.213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Given 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both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RAN1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and RAN2 spec have used 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 for IAB DU, the following either way is OK for us:</w:t>
            </w:r>
          </w:p>
          <w:p w14:paraId="7AD7BC43" w14:textId="77777777" w:rsidR="00076871" w:rsidRDefault="004D04F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>Option 1: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Remove all references to “serving” in relation of IAB-DU cell(s) in TS 38.213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, also inform RAN2 to update its spec accordingly.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</w:p>
          <w:p w14:paraId="415E416A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 xml:space="preserve">Option 2: 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Do nothing, since current text does not cause any misunderstanding.</w:t>
            </w:r>
          </w:p>
        </w:tc>
      </w:tr>
      <w:tr w:rsidR="00076871" w14:paraId="0CB54B98" w14:textId="77777777">
        <w:tc>
          <w:tcPr>
            <w:tcW w:w="1696" w:type="dxa"/>
          </w:tcPr>
          <w:p w14:paraId="1DF259B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lastRenderedPageBreak/>
              <w:t>Vivo</w:t>
            </w:r>
          </w:p>
        </w:tc>
        <w:tc>
          <w:tcPr>
            <w:tcW w:w="2265" w:type="dxa"/>
          </w:tcPr>
          <w:p w14:paraId="75689506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4829F553" w14:textId="77777777" w:rsidR="00076871" w:rsidRDefault="004D04F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As commented by ZTE, RAN1 and RAN2 should align the name.</w:t>
            </w:r>
          </w:p>
        </w:tc>
      </w:tr>
      <w:tr w:rsidR="00076871" w14:paraId="55497504" w14:textId="77777777">
        <w:tc>
          <w:tcPr>
            <w:tcW w:w="1696" w:type="dxa"/>
          </w:tcPr>
          <w:p w14:paraId="2221C2EA" w14:textId="07050A18" w:rsidR="00076871" w:rsidRDefault="0047635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043F436F" w14:textId="77777777"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A0AA430" w14:textId="35755B30" w:rsidR="00076871" w:rsidRDefault="0047635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ZTE’s comments. Either Option 1 or Option 2 is Ok. </w:t>
            </w:r>
          </w:p>
        </w:tc>
      </w:tr>
      <w:tr w:rsidR="00076871" w14:paraId="7A8D4C7E" w14:textId="77777777">
        <w:tc>
          <w:tcPr>
            <w:tcW w:w="1696" w:type="dxa"/>
          </w:tcPr>
          <w:p w14:paraId="7E1B0167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6D11BC49" w14:textId="77777777"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C711DB3" w14:textId="77777777"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076871" w14:paraId="4AC7AC87" w14:textId="77777777">
        <w:tc>
          <w:tcPr>
            <w:tcW w:w="1696" w:type="dxa"/>
          </w:tcPr>
          <w:p w14:paraId="19BC7044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6D2BA928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3F05562C" w14:textId="77777777"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69328903" w14:textId="694FE660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4A8F05D3" w14:textId="73D4A499" w:rsidR="00993E14" w:rsidRDefault="00993E14" w:rsidP="00993E14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Pr="00993E14">
        <w:rPr>
          <w:rFonts w:ascii="Calibri" w:eastAsia="Calibri" w:hAnsi="Calibri"/>
          <w:b/>
          <w:bCs/>
          <w:sz w:val="22"/>
          <w:szCs w:val="22"/>
          <w:highlight w:val="yellow"/>
        </w:rPr>
        <w:t>Proposal 2.2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5604E6" w:rsidRPr="005604E6">
        <w:rPr>
          <w:rFonts w:ascii="Calibri" w:eastAsia="Calibri" w:hAnsi="Calibri"/>
          <w:b/>
          <w:bCs/>
          <w:sz w:val="22"/>
          <w:szCs w:val="22"/>
        </w:rPr>
        <w:t xml:space="preserve">Adopt the following TP to </w:t>
      </w:r>
      <w:r w:rsidR="005604E6">
        <w:rPr>
          <w:rFonts w:ascii="Calibri" w:eastAsia="Calibri" w:hAnsi="Calibri"/>
          <w:b/>
          <w:bCs/>
          <w:sz w:val="22"/>
          <w:szCs w:val="22"/>
        </w:rPr>
        <w:t>r</w:t>
      </w:r>
      <w:r w:rsidRPr="00993E14">
        <w:rPr>
          <w:rFonts w:ascii="Calibri" w:eastAsia="Calibri" w:hAnsi="Calibri"/>
          <w:b/>
          <w:bCs/>
          <w:sz w:val="22"/>
          <w:szCs w:val="22"/>
        </w:rPr>
        <w:t>emove all references to “serving” in relation of IAB-DU cell(s) in TS 38.213 Section 14</w:t>
      </w:r>
      <w:r w:rsidR="005604E6">
        <w:rPr>
          <w:rFonts w:ascii="Calibri" w:eastAsia="Calibri" w:hAnsi="Calibri"/>
          <w:b/>
          <w:bCs/>
          <w:sz w:val="22"/>
          <w:szCs w:val="22"/>
        </w:rPr>
        <w:t>:</w:t>
      </w:r>
    </w:p>
    <w:p w14:paraId="13EB1653" w14:textId="77777777" w:rsidR="005604E6" w:rsidRPr="00993E14" w:rsidRDefault="005604E6" w:rsidP="005604E6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 xml:space="preserve">Note 1: This will be done via editorial update of the alignment CR </w:t>
      </w:r>
    </w:p>
    <w:p w14:paraId="4B2590D7" w14:textId="591A991C" w:rsidR="005604E6" w:rsidRPr="00993E14" w:rsidRDefault="005604E6" w:rsidP="005604E6">
      <w:pPr>
        <w:ind w:left="720"/>
        <w:rPr>
          <w:rFonts w:ascii="Calibri" w:eastAsia="Calibri" w:hAnsi="Calibri"/>
          <w:b/>
          <w:bCs/>
          <w:sz w:val="22"/>
          <w:szCs w:val="22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 xml:space="preserve">Note 2: It is RAN1’s understanding that the description of </w:t>
      </w:r>
      <w:proofErr w:type="spellStart"/>
      <w:r w:rsidRPr="00993E14">
        <w:rPr>
          <w:rFonts w:ascii="Calibri" w:eastAsia="Calibri" w:hAnsi="Calibri"/>
          <w:b/>
          <w:bCs/>
          <w:i/>
          <w:iCs/>
          <w:sz w:val="22"/>
          <w:szCs w:val="22"/>
        </w:rPr>
        <w:t>AvailabilityCombinationsPerCell</w:t>
      </w:r>
      <w:proofErr w:type="spellEnd"/>
      <w:r w:rsidRPr="00993E14">
        <w:rPr>
          <w:rFonts w:ascii="Calibri" w:eastAsia="Calibri" w:hAnsi="Calibri"/>
          <w:b/>
          <w:bCs/>
          <w:sz w:val="22"/>
          <w:szCs w:val="22"/>
        </w:rPr>
        <w:t xml:space="preserve">  in 38.331 should also remove a reference to a “serving” cell of the IAB-node DU and recommends the following update: </w:t>
      </w:r>
    </w:p>
    <w:p w14:paraId="7B3270B4" w14:textId="77777777" w:rsidR="005604E6" w:rsidRPr="00993E14" w:rsidRDefault="005604E6" w:rsidP="005604E6">
      <w:pPr>
        <w:ind w:left="1440"/>
        <w:rPr>
          <w:rFonts w:ascii="Calibri" w:eastAsia="SimSun" w:hAnsi="Calibri"/>
          <w:b/>
          <w:bCs/>
          <w:sz w:val="22"/>
          <w:szCs w:val="22"/>
          <w:lang w:eastAsia="zh-CN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>“</w:t>
      </w:r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The IE </w:t>
      </w:r>
      <w:proofErr w:type="spellStart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>AvailabiltyCombinationsPerCell</w:t>
      </w:r>
      <w:proofErr w:type="spellEnd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is used to configure the </w:t>
      </w:r>
      <w:proofErr w:type="spellStart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>AvailabiltyCombinations</w:t>
      </w:r>
      <w:proofErr w:type="spellEnd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applicable for a</w:t>
      </w:r>
      <w:r w:rsidRPr="00993E14">
        <w:rPr>
          <w:rStyle w:val="apple-converted-space"/>
          <w:rFonts w:ascii="Arial" w:eastAsia="SimSun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993E14">
        <w:rPr>
          <w:rStyle w:val="Emphasis"/>
          <w:rFonts w:ascii="Arial" w:eastAsia="SimSun" w:hAnsi="Arial" w:cs="Arial"/>
          <w:b/>
          <w:bCs/>
          <w:strike/>
          <w:color w:val="FF0000"/>
          <w:sz w:val="22"/>
          <w:szCs w:val="22"/>
          <w:shd w:val="clear" w:color="auto" w:fill="FFFFFF"/>
        </w:rPr>
        <w:t>serving</w:t>
      </w:r>
      <w:r w:rsidRPr="00993E14">
        <w:rPr>
          <w:rStyle w:val="Emphasis"/>
          <w:rFonts w:ascii="Arial" w:eastAsia="SimSun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cell of the IAB-</w:t>
      </w:r>
      <w:r w:rsidRPr="00993E14">
        <w:rPr>
          <w:rStyle w:val="Emphasis"/>
          <w:rFonts w:ascii="Arial" w:eastAsia="SimSun" w:hAnsi="Arial" w:cs="Arial"/>
          <w:b/>
          <w:bCs/>
          <w:strike/>
          <w:color w:val="FF0000"/>
          <w:sz w:val="22"/>
          <w:szCs w:val="22"/>
          <w:shd w:val="clear" w:color="auto" w:fill="FFFFFF"/>
        </w:rPr>
        <w:t xml:space="preserve">node </w:t>
      </w:r>
      <w:r w:rsidRPr="00993E14">
        <w:rPr>
          <w:rStyle w:val="Emphasis"/>
          <w:rFonts w:ascii="Arial" w:eastAsia="SimSun" w:hAnsi="Arial" w:cs="Arial"/>
          <w:b/>
          <w:bCs/>
          <w:color w:val="FF0000"/>
          <w:sz w:val="22"/>
          <w:szCs w:val="22"/>
          <w:shd w:val="clear" w:color="auto" w:fill="FFFFFF"/>
        </w:rPr>
        <w:t>DU</w:t>
      </w:r>
      <w:r w:rsidRPr="00993E14">
        <w:rPr>
          <w:rStyle w:val="apple-converted-space"/>
          <w:rFonts w:ascii="Arial" w:eastAsia="SimSun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993E14">
        <w:rPr>
          <w:rStyle w:val="Emphasis"/>
          <w:rFonts w:ascii="Arial" w:eastAsia="SimSun" w:hAnsi="Arial" w:cs="Arial"/>
          <w:b/>
          <w:bCs/>
          <w:color w:val="000000"/>
          <w:sz w:val="22"/>
          <w:szCs w:val="22"/>
          <w:shd w:val="clear" w:color="auto" w:fill="FFFFFF"/>
        </w:rPr>
        <w:t>(see TS 38.213 [13], clause 14).</w:t>
      </w:r>
      <w:r w:rsidRPr="00993E14">
        <w:rPr>
          <w:rFonts w:ascii="Calibri" w:eastAsia="SimSun" w:hAnsi="Calibri"/>
          <w:b/>
          <w:bCs/>
          <w:sz w:val="22"/>
          <w:szCs w:val="22"/>
          <w:lang w:eastAsia="zh-CN"/>
        </w:rPr>
        <w:t>”</w:t>
      </w:r>
    </w:p>
    <w:p w14:paraId="0485A859" w14:textId="6C709A6A" w:rsidR="005604E6" w:rsidRDefault="005604E6" w:rsidP="005604E6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</w:p>
    <w:p w14:paraId="36E0CD25" w14:textId="204348FE" w:rsidR="005604E6" w:rsidRPr="005604E6" w:rsidRDefault="005604E6" w:rsidP="005604E6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5604E6">
        <w:rPr>
          <w:rFonts w:ascii="Calibri" w:eastAsia="Calibri" w:hAnsi="Calibri"/>
          <w:b/>
          <w:bCs/>
          <w:sz w:val="22"/>
          <w:szCs w:val="22"/>
        </w:rPr>
        <w:t>TP for 38.213 Section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04E6" w14:paraId="3DFE29F0" w14:textId="77777777" w:rsidTr="0030620A">
        <w:tc>
          <w:tcPr>
            <w:tcW w:w="9629" w:type="dxa"/>
          </w:tcPr>
          <w:p w14:paraId="1697FF01" w14:textId="77777777" w:rsidR="005604E6" w:rsidRPr="00043D08" w:rsidRDefault="005604E6" w:rsidP="0030620A">
            <w:pPr>
              <w:jc w:val="both"/>
              <w:rPr>
                <w:b/>
                <w:bCs/>
                <w:sz w:val="28"/>
                <w:szCs w:val="28"/>
              </w:rPr>
            </w:pPr>
            <w:r w:rsidRPr="00043D08"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43D08">
              <w:rPr>
                <w:b/>
                <w:bCs/>
                <w:sz w:val="28"/>
                <w:szCs w:val="28"/>
              </w:rPr>
              <w:tab/>
              <w:t>Integrated access-backhaul operation</w:t>
            </w:r>
          </w:p>
          <w:p w14:paraId="601E8455" w14:textId="77777777" w:rsidR="005604E6" w:rsidRPr="00043D08" w:rsidRDefault="005604E6" w:rsidP="0030620A">
            <w:pPr>
              <w:jc w:val="center"/>
              <w:rPr>
                <w:sz w:val="22"/>
                <w:szCs w:val="22"/>
              </w:rPr>
            </w:pPr>
            <w:r w:rsidRPr="00043D08">
              <w:rPr>
                <w:color w:val="4472C4" w:themeColor="accent1"/>
                <w:sz w:val="22"/>
                <w:szCs w:val="22"/>
              </w:rPr>
              <w:t>&lt;text omitted&gt;</w:t>
            </w:r>
          </w:p>
          <w:p w14:paraId="0DC788D9" w14:textId="77777777" w:rsidR="005604E6" w:rsidRPr="00287EB0" w:rsidRDefault="005604E6" w:rsidP="0030620A">
            <w:pPr>
              <w:spacing w:before="180"/>
              <w:jc w:val="both"/>
            </w:pPr>
            <w:r w:rsidRPr="00287EB0">
              <w:rPr>
                <w:lang w:eastAsia="zh-CN"/>
              </w:rPr>
              <w:t>If an IAB-node</w:t>
            </w:r>
            <w:r w:rsidRPr="00287EB0">
              <w:rPr>
                <w:rFonts w:eastAsia="DengXian"/>
                <w:lang w:eastAsia="zh-CN"/>
              </w:rPr>
              <w:t xml:space="preserve"> is provided an index</w:t>
            </w:r>
            <w:r w:rsidRPr="00287EB0" w:rsidDel="005F1798">
              <w:rPr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delta</m:t>
                  </m:r>
                </m:sub>
              </m:sSub>
            </m:oMath>
            <w:r w:rsidRPr="00287EB0">
              <w:t xml:space="preserve"> in a Timing Delta MAC CE [11, TS 38.321] from a serving cell, the IAB-node</w:t>
            </w:r>
            <w:r w:rsidRPr="00287EB0" w:rsidDel="005F1798">
              <w:rPr>
                <w:lang w:eastAsia="zh-CN"/>
              </w:rPr>
              <w:t xml:space="preserve"> </w:t>
            </w:r>
            <w:r w:rsidRPr="00287EB0">
              <w:rPr>
                <w:lang w:eastAsia="zh-CN"/>
              </w:rPr>
              <w:t xml:space="preserve">may assume that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DengXian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/2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DengXian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</w:rPr>
                        <m:t>delta</m:t>
                      </m:r>
                    </m:sub>
                  </m:sSub>
                  <m:r>
                    <w:rPr>
                      <w:rFonts w:ascii="Cambria Math" w:eastAsia="DengXian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DengXian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</w:rPr>
                        <m:t>delta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DengXian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</w:rPr>
                        <m:t>G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</w:rPr>
                        <m:t>step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c</m:t>
                  </m:r>
                </m:sub>
              </m:sSub>
            </m:oMath>
            <w:r w:rsidRPr="00287EB0">
              <w:t xml:space="preserve"> </w:t>
            </w:r>
            <w:r w:rsidRPr="00287EB0">
              <w:rPr>
                <w:iCs/>
                <w:lang w:eastAsia="zh-CN"/>
              </w:rPr>
              <w:t>is a time difference between a DU transmission of a signal from the serving cell and a reception of the signal by the IAB-MT</w:t>
            </w:r>
            <w:r w:rsidRPr="00287EB0">
              <w:t xml:space="preserve"> when </w:t>
            </w:r>
            <m:oMath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eastAsia="DengXian" w:hAnsi="Cambria Math"/>
                </w:rPr>
                <m:t>/2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delta</m:t>
                  </m:r>
                </m:sub>
              </m:sSub>
              <m:r>
                <w:rPr>
                  <w:rFonts w:ascii="Cambria Math" w:eastAsia="DengXian" w:hAnsi="Cambria Math"/>
                </w:rPr>
                <m:t>+</m:t>
              </m:r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delta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G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step</m:t>
                  </m:r>
                </m:sub>
              </m:sSub>
              <m:r>
                <m:rPr>
                  <m:sty m:val="p"/>
                </m:rPr>
                <w:rPr>
                  <w:rFonts w:ascii="Cambria Math" w:eastAsia="DengXian" w:hAnsi="Cambria Math"/>
                </w:rPr>
                <m:t>&gt;0</m:t>
              </m:r>
            </m:oMath>
            <w:r w:rsidRPr="00287EB0">
              <w:t xml:space="preserve">, where </w:t>
            </w:r>
            <m:oMath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TA</m:t>
                  </m:r>
                </m:sub>
              </m:sSub>
            </m:oMath>
            <w:r w:rsidRPr="00287EB0">
              <w:t xml:space="preserve"> is obtained as for a "UE" in Clause 4.2</w:t>
            </w:r>
            <w:r w:rsidRPr="00287EB0">
              <w:rPr>
                <w:bCs/>
                <w:iCs/>
              </w:rPr>
              <w:t xml:space="preserve"> for the TAG containing the serving cell 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delta</m:t>
                  </m:r>
                </m:sub>
              </m:sSub>
            </m:oMath>
            <w:r w:rsidRPr="00287EB0">
              <w:t xml:space="preserve"> 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</w:rPr>
                    <m:t>G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</w:rPr>
                    <m:t>step</m:t>
                  </m:r>
                </m:sub>
              </m:sSub>
            </m:oMath>
            <w:r w:rsidRPr="00287EB0">
              <w:t xml:space="preserve"> are determined as</w:t>
            </w:r>
          </w:p>
          <w:p w14:paraId="3AD9A9C0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  <w:i/>
                      <w:lang w:val="x-none"/>
                    </w:rPr>
                    <m:t>delta</m:t>
                  </m:r>
                </m:sub>
              </m:sSub>
              <m:r>
                <m:rPr>
                  <m:sty m:val="p"/>
                </m:rPr>
                <w:rPr>
                  <w:rFonts w:ascii="Cambria Math" w:eastAsia="DengXian" w:hAnsi="Cambria Math"/>
                  <w:lang w:val="x-none"/>
                </w:rPr>
                <m:t>=-70528</m:t>
              </m:r>
            </m:oMath>
            <w:r w:rsidRPr="00287EB0">
              <w:rPr>
                <w:lang w:val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lang w:val="x-none"/>
                    </w:rPr>
                    <m:t>step</m:t>
                  </m:r>
                </m:sub>
              </m:sSub>
              <m:r>
                <w:rPr>
                  <w:rFonts w:ascii="Cambria Math" w:hAnsi="Cambria Math"/>
                  <w:lang w:val="x-none"/>
                </w:rPr>
                <m:t>=64</m:t>
              </m:r>
            </m:oMath>
            <w:r w:rsidRPr="00287EB0">
              <w:t>, if</w:t>
            </w:r>
            <w:r w:rsidRPr="00287EB0">
              <w:rPr>
                <w:lang w:val="x-none"/>
              </w:rPr>
              <w:t xml:space="preserve"> the serving cell providing the Timing Delta MAC CE operates in FR1, </w:t>
            </w:r>
          </w:p>
          <w:p w14:paraId="4B51F813" w14:textId="77777777" w:rsidR="005604E6" w:rsidRPr="00287EB0" w:rsidRDefault="005604E6" w:rsidP="0030620A">
            <w:pPr>
              <w:ind w:left="568" w:hanging="284"/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  <w:i/>
                      <w:lang w:val="x-none"/>
                    </w:rPr>
                    <m:t>delta</m:t>
                  </m:r>
                </m:sub>
              </m:sSub>
              <m:r>
                <m:rPr>
                  <m:sty m:val="p"/>
                </m:rPr>
                <w:rPr>
                  <w:rFonts w:ascii="Cambria Math" w:eastAsia="DengXian" w:hAnsi="Cambria Math"/>
                  <w:lang w:val="x-none"/>
                </w:rPr>
                <m:t>=-17664</m:t>
              </m:r>
            </m:oMath>
            <w:r w:rsidRPr="00287EB0">
              <w:rPr>
                <w:lang w:val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lang w:val="x-none"/>
                    </w:rPr>
                    <m:t>step</m:t>
                  </m:r>
                </m:sub>
              </m:sSub>
              <m:r>
                <w:rPr>
                  <w:rFonts w:ascii="Cambria Math" w:hAnsi="Cambria Math"/>
                  <w:lang w:val="x-none"/>
                </w:rPr>
                <m:t>=32</m:t>
              </m:r>
            </m:oMath>
            <w:r w:rsidRPr="00287EB0">
              <w:t>, if</w:t>
            </w:r>
            <w:r w:rsidRPr="00287EB0">
              <w:rPr>
                <w:lang w:val="x-none"/>
              </w:rPr>
              <w:t xml:space="preserve"> the serving cell providing the Timing Delta MAC CE operates in FR</w:t>
            </w:r>
            <w:r w:rsidRPr="00287EB0">
              <w:t>2</w:t>
            </w:r>
          </w:p>
          <w:p w14:paraId="22A6DC20" w14:textId="77777777" w:rsidR="005604E6" w:rsidRPr="00287EB0" w:rsidRDefault="005604E6" w:rsidP="0030620A">
            <w:pPr>
              <w:spacing w:before="180"/>
              <w:jc w:val="both"/>
            </w:pPr>
            <w:r w:rsidRPr="00287EB0">
              <w:rPr>
                <w:color w:val="000000"/>
                <w:lang w:eastAsia="zh-CN"/>
              </w:rPr>
              <w:t>The IAB-node may use the time difference to determine a DU transmission time.</w:t>
            </w:r>
          </w:p>
          <w:p w14:paraId="76578EB0" w14:textId="77777777" w:rsidR="005604E6" w:rsidRPr="00287EB0" w:rsidRDefault="005604E6" w:rsidP="0030620A">
            <w:pPr>
              <w:rPr>
                <w:lang w:eastAsia="zh-CN"/>
              </w:rPr>
            </w:pPr>
            <w:r w:rsidRPr="00287EB0">
              <w:rPr>
                <w:lang w:eastAsia="zh-CN"/>
              </w:rPr>
              <w:t xml:space="preserve">A slot format for an IAB-DU or an IAB-MT includes downlink symbols, uplink symbols, and flexible symbols. </w:t>
            </w:r>
          </w:p>
          <w:p w14:paraId="1809F8B1" w14:textId="77777777" w:rsidR="005604E6" w:rsidRPr="00287EB0" w:rsidRDefault="005604E6" w:rsidP="0030620A">
            <w:pPr>
              <w:rPr>
                <w:lang w:eastAsia="zh-CN"/>
              </w:rPr>
            </w:pPr>
            <w:r w:rsidRPr="00287EB0">
              <w:rPr>
                <w:lang w:eastAsia="zh-CN"/>
              </w:rPr>
              <w:t xml:space="preserve">For each </w:t>
            </w:r>
            <w:r w:rsidRPr="00287EB0">
              <w:rPr>
                <w:strike/>
                <w:color w:val="FF0000"/>
                <w:lang w:eastAsia="zh-CN"/>
              </w:rPr>
              <w:t>serving</w:t>
            </w:r>
            <w:r w:rsidRPr="00287EB0">
              <w:rPr>
                <w:color w:val="FF0000"/>
                <w:lang w:eastAsia="zh-CN"/>
              </w:rPr>
              <w:t xml:space="preserve"> </w:t>
            </w:r>
            <w:r w:rsidRPr="00287EB0">
              <w:rPr>
                <w:lang w:eastAsia="zh-CN"/>
              </w:rPr>
              <w:t xml:space="preserve">cell of an IAB-DU, the IAB-DU can be provided an indication for a slot format over a number of slots by </w:t>
            </w:r>
            <w:r w:rsidRPr="00287EB0">
              <w:rPr>
                <w:i/>
                <w:iCs/>
                <w:lang w:eastAsia="zh-CN"/>
              </w:rPr>
              <w:t>IAB-DU-Resource-Configuration</w:t>
            </w:r>
            <w:r w:rsidRPr="00287EB0">
              <w:rPr>
                <w:lang w:eastAsia="zh-CN"/>
              </w:rPr>
              <w:t xml:space="preserve">. </w:t>
            </w:r>
          </w:p>
          <w:p w14:paraId="5196506D" w14:textId="77777777" w:rsidR="005604E6" w:rsidRPr="00043D08" w:rsidRDefault="005604E6" w:rsidP="0030620A">
            <w:pPr>
              <w:jc w:val="center"/>
              <w:rPr>
                <w:sz w:val="22"/>
                <w:szCs w:val="22"/>
              </w:rPr>
            </w:pPr>
            <w:r w:rsidRPr="00043D08">
              <w:rPr>
                <w:color w:val="4472C4" w:themeColor="accent1"/>
                <w:sz w:val="22"/>
                <w:szCs w:val="22"/>
              </w:rPr>
              <w:t>&lt;text omitted&gt;</w:t>
            </w:r>
          </w:p>
          <w:p w14:paraId="0E98534C" w14:textId="77777777" w:rsidR="005604E6" w:rsidRPr="00287EB0" w:rsidRDefault="005604E6" w:rsidP="0030620A">
            <w:r w:rsidRPr="00287EB0">
              <w:rPr>
                <w:lang w:eastAsia="zh-CN"/>
              </w:rPr>
              <w:t xml:space="preserve">With reference to slots of an IAB-DU </w:t>
            </w:r>
            <w:r w:rsidRPr="00287EB0">
              <w:rPr>
                <w:strike/>
                <w:color w:val="FF0000"/>
                <w:lang w:eastAsia="zh-CN"/>
              </w:rPr>
              <w:t>serving</w:t>
            </w:r>
            <w:r w:rsidRPr="00287EB0">
              <w:rPr>
                <w:color w:val="FF0000"/>
                <w:lang w:eastAsia="zh-CN"/>
              </w:rPr>
              <w:t xml:space="preserve"> </w:t>
            </w:r>
            <w:r w:rsidRPr="00287EB0">
              <w:rPr>
                <w:lang w:eastAsia="zh-CN"/>
              </w:rPr>
              <w:t xml:space="preserve">cell, a symbol in a slot of an IAB-DU </w:t>
            </w:r>
            <w:r w:rsidRPr="00287EB0">
              <w:rPr>
                <w:strike/>
                <w:color w:val="FF0000"/>
                <w:lang w:eastAsia="zh-CN"/>
              </w:rPr>
              <w:t>serving</w:t>
            </w:r>
            <w:r w:rsidRPr="00287EB0">
              <w:rPr>
                <w:color w:val="FF0000"/>
                <w:lang w:eastAsia="zh-CN"/>
              </w:rPr>
              <w:t xml:space="preserve"> </w:t>
            </w:r>
            <w:r w:rsidRPr="00287EB0">
              <w:rPr>
                <w:lang w:eastAsia="zh-CN"/>
              </w:rPr>
              <w:t xml:space="preserve">cell can be configured to be of hard, soft, or unavailable type. </w:t>
            </w:r>
            <w:r w:rsidRPr="00287EB0">
              <w:t xml:space="preserve">When a downlink, uplink, or flexible symbol is configured as hard, the IAB-DU </w:t>
            </w:r>
            <w:r w:rsidRPr="00287EB0">
              <w:rPr>
                <w:strike/>
                <w:color w:val="FF0000"/>
              </w:rPr>
              <w:t>serving</w:t>
            </w:r>
            <w:r w:rsidRPr="00287EB0">
              <w:rPr>
                <w:color w:val="FF0000"/>
              </w:rPr>
              <w:t xml:space="preserve"> </w:t>
            </w:r>
            <w:r w:rsidRPr="00287EB0">
              <w:t xml:space="preserve">cell can respectively transmit, receive, or either transmit or receive in the symbol. </w:t>
            </w:r>
          </w:p>
          <w:p w14:paraId="04C03B18" w14:textId="77777777" w:rsidR="005604E6" w:rsidRPr="00287EB0" w:rsidRDefault="005604E6" w:rsidP="0030620A">
            <w:pPr>
              <w:rPr>
                <w:iCs/>
              </w:rPr>
            </w:pPr>
            <w:r w:rsidRPr="00287EB0">
              <w:lastRenderedPageBreak/>
              <w:t>When a downlink, uplink, or flexible symbol is configured as soft, the IAB-DU can respectively transmit, receive or either transmit or receive in the symbol only if</w:t>
            </w:r>
          </w:p>
          <w:p w14:paraId="5DA7A8D6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>the IAB-MT does not transmit or receive in the symbol, or</w:t>
            </w:r>
          </w:p>
          <w:p w14:paraId="0404FE86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>the IAB-MT would transmit or receive in the symbol, and the transmission or reception in the symbol is not changed due to a use of the symbol by the IAB-DU, or</w:t>
            </w:r>
          </w:p>
          <w:p w14:paraId="4EA519EB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>the IAB-</w:t>
            </w:r>
            <w:r w:rsidRPr="00287EB0">
              <w:t>MT</w:t>
            </w:r>
            <w:r w:rsidRPr="00287EB0">
              <w:rPr>
                <w:lang w:val="x-none"/>
              </w:rPr>
              <w:t xml:space="preserve"> detects a DCI format 2_5 with an </w:t>
            </w:r>
            <w:r w:rsidRPr="00287EB0">
              <w:rPr>
                <w:lang w:val="x-none" w:eastAsia="zh-CN"/>
              </w:rPr>
              <w:t xml:space="preserve">AI index field value </w:t>
            </w:r>
            <w:r w:rsidRPr="00287EB0">
              <w:rPr>
                <w:lang w:val="x-none"/>
              </w:rPr>
              <w:t>indicating the soft symbol as available</w:t>
            </w:r>
          </w:p>
          <w:p w14:paraId="2EE031E6" w14:textId="77777777" w:rsidR="005604E6" w:rsidRPr="00287EB0" w:rsidRDefault="005604E6" w:rsidP="0030620A">
            <w:r w:rsidRPr="00287EB0">
              <w:t xml:space="preserve">When a symbol is configured as unavailable, the IAB-DU neither transmits nor receives in the symbol. </w:t>
            </w:r>
          </w:p>
          <w:p w14:paraId="69E7231D" w14:textId="77777777" w:rsidR="005604E6" w:rsidRPr="00287EB0" w:rsidRDefault="005604E6" w:rsidP="0030620A">
            <w:r w:rsidRPr="00287EB0">
              <w:rPr>
                <w:lang w:eastAsia="zh-CN"/>
              </w:rPr>
              <w:t>A symbol of a slot is equivalent to being configured as hard if an IAB-DU would transmit a SS/</w:t>
            </w:r>
            <w:r w:rsidRPr="00287EB0">
              <w:t>PBCH block, PDCCH for Type0-PDCCH CSS sets configured by</w:t>
            </w:r>
            <w:r w:rsidRPr="00287EB0">
              <w:rPr>
                <w:i/>
                <w:iCs/>
              </w:rPr>
              <w:t xml:space="preserve"> pdcchConfigSIB1</w:t>
            </w:r>
            <w:r w:rsidRPr="00287EB0">
              <w:rPr>
                <w:iCs/>
              </w:rPr>
              <w:t>,</w:t>
            </w:r>
            <w:r w:rsidRPr="00287EB0">
              <w:t xml:space="preserve"> or a periodic CSI-RS in the symbol of the </w:t>
            </w:r>
            <w:proofErr w:type="gramStart"/>
            <w:r w:rsidRPr="00287EB0">
              <w:t>slot, or</w:t>
            </w:r>
            <w:proofErr w:type="gramEnd"/>
            <w:r w:rsidRPr="00287EB0">
              <w:t xml:space="preserve"> </w:t>
            </w:r>
            <w:r w:rsidRPr="00287EB0">
              <w:rPr>
                <w:lang w:eastAsia="zh-CN"/>
              </w:rPr>
              <w:t>would receive a PRACH or a SR in the symbol of the slot</w:t>
            </w:r>
            <w:r w:rsidRPr="00287EB0">
              <w:t>.</w:t>
            </w:r>
          </w:p>
          <w:p w14:paraId="633AF237" w14:textId="77777777" w:rsidR="005604E6" w:rsidRPr="00287EB0" w:rsidRDefault="005604E6" w:rsidP="0030620A">
            <w:r w:rsidRPr="00287EB0">
              <w:rPr>
                <w:lang w:eastAsia="zh-CN"/>
              </w:rPr>
              <w:t xml:space="preserve">If an IAB-node is provided an </w:t>
            </w:r>
            <w:proofErr w:type="spellStart"/>
            <w:r w:rsidRPr="00287EB0">
              <w:rPr>
                <w:i/>
                <w:iCs/>
                <w:color w:val="000000"/>
                <w:lang w:eastAsia="zh-CN"/>
              </w:rPr>
              <w:t>AvailabilityIndicator</w:t>
            </w:r>
            <w:proofErr w:type="spellEnd"/>
            <w:r w:rsidRPr="00287EB0">
              <w:t xml:space="preserve">, the IAB-node is provided an AI-RNTI by </w:t>
            </w:r>
            <w:r w:rsidRPr="00287EB0">
              <w:rPr>
                <w:i/>
              </w:rPr>
              <w:t>ai-RNTI</w:t>
            </w:r>
            <w:r w:rsidRPr="00287EB0">
              <w:t xml:space="preserve"> and a payload size of a DCI format 2_5 by </w:t>
            </w:r>
            <w:r w:rsidRPr="00287EB0">
              <w:rPr>
                <w:i/>
              </w:rPr>
              <w:t>dci-</w:t>
            </w:r>
            <w:proofErr w:type="spellStart"/>
            <w:r w:rsidRPr="00287EB0">
              <w:rPr>
                <w:i/>
              </w:rPr>
              <w:t>PayloadSize</w:t>
            </w:r>
            <w:proofErr w:type="spellEnd"/>
            <w:r w:rsidRPr="00287EB0">
              <w:rPr>
                <w:i/>
              </w:rPr>
              <w:t>-AI</w:t>
            </w:r>
            <w:r w:rsidRPr="00287EB0">
              <w:t xml:space="preserve">. The IAB-node is also provided a search space set configuration, by </w:t>
            </w:r>
            <w:proofErr w:type="spellStart"/>
            <w:r w:rsidRPr="00287EB0">
              <w:rPr>
                <w:bCs/>
                <w:i/>
                <w:iCs/>
                <w:lang w:eastAsia="zh-CN"/>
              </w:rPr>
              <w:t>SearchSpace</w:t>
            </w:r>
            <w:proofErr w:type="spellEnd"/>
            <w:r w:rsidRPr="00287EB0">
              <w:rPr>
                <w:bCs/>
                <w:iCs/>
                <w:lang w:eastAsia="zh-CN"/>
              </w:rPr>
              <w:t>, for monitoring PDCCH.</w:t>
            </w:r>
          </w:p>
          <w:p w14:paraId="676B0A49" w14:textId="77777777" w:rsidR="005604E6" w:rsidRPr="00287EB0" w:rsidRDefault="005604E6" w:rsidP="0030620A">
            <w:r w:rsidRPr="00287EB0">
              <w:t xml:space="preserve">For each </w:t>
            </w:r>
            <w:r w:rsidRPr="00287EB0">
              <w:rPr>
                <w:strike/>
                <w:color w:val="FF0000"/>
              </w:rPr>
              <w:t xml:space="preserve">serving </w:t>
            </w:r>
            <w:r w:rsidRPr="00287EB0">
              <w:t xml:space="preserve">cell of an IAB-DU in a set of </w:t>
            </w:r>
            <w:r w:rsidRPr="00287EB0">
              <w:rPr>
                <w:strike/>
                <w:color w:val="FF0000"/>
              </w:rPr>
              <w:t xml:space="preserve">serving </w:t>
            </w:r>
            <w:r w:rsidRPr="00287EB0">
              <w:t xml:space="preserve">cells of the IAB-DU, the IAB-DU can be provided: </w:t>
            </w:r>
          </w:p>
          <w:p w14:paraId="1076785A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 xml:space="preserve">an identity of the IAB-DU </w:t>
            </w:r>
            <w:r w:rsidRPr="00287EB0">
              <w:rPr>
                <w:strike/>
                <w:color w:val="FF0000"/>
                <w:lang w:val="x-none"/>
              </w:rPr>
              <w:t xml:space="preserve">serving </w:t>
            </w:r>
            <w:r w:rsidRPr="00287EB0">
              <w:rPr>
                <w:lang w:val="x-none"/>
              </w:rPr>
              <w:t xml:space="preserve">cell by </w:t>
            </w:r>
            <w:proofErr w:type="spellStart"/>
            <w:r w:rsidRPr="00287EB0">
              <w:rPr>
                <w:i/>
                <w:iCs/>
                <w:color w:val="000000"/>
                <w:szCs w:val="16"/>
                <w:lang w:val="x-none" w:eastAsia="zh-CN"/>
              </w:rPr>
              <w:t>iabDuCellId</w:t>
            </w:r>
            <w:proofErr w:type="spellEnd"/>
            <w:r w:rsidRPr="00287EB0">
              <w:rPr>
                <w:i/>
                <w:iCs/>
                <w:color w:val="000000"/>
                <w:szCs w:val="16"/>
                <w:lang w:val="x-none" w:eastAsia="zh-CN"/>
              </w:rPr>
              <w:t>-AI</w:t>
            </w:r>
          </w:p>
          <w:p w14:paraId="2BF3C267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 xml:space="preserve">a location of an availability indicator (AI) index field in DCI format 2_5 by </w:t>
            </w:r>
            <w:proofErr w:type="spellStart"/>
            <w:r w:rsidRPr="00287EB0">
              <w:rPr>
                <w:i/>
                <w:iCs/>
                <w:color w:val="000000"/>
                <w:lang w:val="x-none" w:eastAsia="zh-CN"/>
              </w:rPr>
              <w:t>positionInDCI</w:t>
            </w:r>
            <w:proofErr w:type="spellEnd"/>
            <w:r w:rsidRPr="00287EB0">
              <w:rPr>
                <w:i/>
                <w:iCs/>
                <w:color w:val="000000"/>
                <w:lang w:val="x-none" w:eastAsia="zh-CN"/>
              </w:rPr>
              <w:t>-AI</w:t>
            </w:r>
          </w:p>
          <w:p w14:paraId="4175BB9D" w14:textId="77777777" w:rsidR="005604E6" w:rsidRPr="00287EB0" w:rsidRDefault="005604E6" w:rsidP="0030620A">
            <w:pPr>
              <w:ind w:left="568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 xml:space="preserve">a set of availability combinations by </w:t>
            </w:r>
            <w:proofErr w:type="spellStart"/>
            <w:r w:rsidRPr="00287EB0">
              <w:rPr>
                <w:i/>
                <w:iCs/>
                <w:color w:val="000000"/>
                <w:lang w:val="x-none" w:eastAsia="zh-CN"/>
              </w:rPr>
              <w:t>availabilityCombinations</w:t>
            </w:r>
            <w:proofErr w:type="spellEnd"/>
            <w:r w:rsidRPr="00287EB0">
              <w:rPr>
                <w:lang w:val="x-none"/>
              </w:rPr>
              <w:t>, where each availability combination in the set of availability combinations includes</w:t>
            </w:r>
          </w:p>
          <w:p w14:paraId="5CAB59D7" w14:textId="77777777" w:rsidR="005604E6" w:rsidRPr="00287EB0" w:rsidRDefault="005604E6" w:rsidP="0030620A">
            <w:pPr>
              <w:ind w:left="851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</w:r>
            <w:proofErr w:type="spellStart"/>
            <w:r w:rsidRPr="00287EB0">
              <w:rPr>
                <w:i/>
                <w:iCs/>
                <w:color w:val="000000"/>
                <w:szCs w:val="16"/>
                <w:lang w:val="x-none" w:eastAsia="zh-CN"/>
              </w:rPr>
              <w:t>resourceAvailability</w:t>
            </w:r>
            <w:proofErr w:type="spellEnd"/>
            <w:r w:rsidRPr="00287EB0">
              <w:rPr>
                <w:lang w:val="x-none"/>
              </w:rPr>
              <w:t xml:space="preserve"> indicating availability of soft symbols in one or more slots for the IAB-DU </w:t>
            </w:r>
            <w:r w:rsidRPr="00287EB0">
              <w:rPr>
                <w:strike/>
                <w:color w:val="FF0000"/>
                <w:lang w:val="x-none"/>
              </w:rPr>
              <w:t>serving</w:t>
            </w:r>
            <w:r w:rsidRPr="00287EB0">
              <w:rPr>
                <w:lang w:val="x-none"/>
              </w:rPr>
              <w:t xml:space="preserve"> cell, and </w:t>
            </w:r>
          </w:p>
          <w:p w14:paraId="34A264D9" w14:textId="77777777" w:rsidR="005604E6" w:rsidRPr="00287EB0" w:rsidRDefault="005604E6" w:rsidP="0030620A">
            <w:pPr>
              <w:ind w:left="851" w:hanging="284"/>
              <w:rPr>
                <w:lang w:val="x-none"/>
              </w:rPr>
            </w:pPr>
            <w:r w:rsidRPr="00287EB0">
              <w:rPr>
                <w:lang w:val="x-none"/>
              </w:rPr>
              <w:t>-</w:t>
            </w:r>
            <w:r w:rsidRPr="00287EB0">
              <w:rPr>
                <w:lang w:val="x-none"/>
              </w:rPr>
              <w:tab/>
              <w:t xml:space="preserve">a mapping for the soft symbol availability combinations provided by </w:t>
            </w:r>
            <w:r w:rsidRPr="00287EB0">
              <w:rPr>
                <w:i/>
                <w:iCs/>
              </w:rPr>
              <w:t>resource</w:t>
            </w:r>
            <w:r w:rsidRPr="00287EB0">
              <w:rPr>
                <w:i/>
                <w:iCs/>
                <w:color w:val="000000"/>
                <w:szCs w:val="16"/>
                <w:lang w:val="x-none" w:eastAsia="zh-CN"/>
              </w:rPr>
              <w:t>Availability</w:t>
            </w:r>
            <w:r w:rsidRPr="00287EB0">
              <w:rPr>
                <w:lang w:val="x-none"/>
              </w:rPr>
              <w:t xml:space="preserve"> to a corresponding AI index field value in DCI format 2_5 provided by </w:t>
            </w:r>
            <w:proofErr w:type="spellStart"/>
            <w:r w:rsidRPr="00287EB0">
              <w:rPr>
                <w:i/>
                <w:iCs/>
                <w:color w:val="000000"/>
                <w:szCs w:val="16"/>
                <w:lang w:val="x-none" w:eastAsia="zh-CN"/>
              </w:rPr>
              <w:t>availabilityCombinationId</w:t>
            </w:r>
            <w:proofErr w:type="spellEnd"/>
          </w:p>
          <w:p w14:paraId="5503A735" w14:textId="77777777" w:rsidR="005604E6" w:rsidRPr="00287EB0" w:rsidRDefault="005604E6" w:rsidP="0030620A">
            <w:r w:rsidRPr="00287EB0">
              <w:t xml:space="preserve">The IAB-DU can assume a same SCS configuration for </w:t>
            </w:r>
            <w:proofErr w:type="spellStart"/>
            <w:r w:rsidRPr="00287EB0">
              <w:rPr>
                <w:i/>
              </w:rPr>
              <w:t>availabilityCombinations</w:t>
            </w:r>
            <w:proofErr w:type="spellEnd"/>
            <w:r w:rsidRPr="00287EB0">
              <w:t xml:space="preserve"> for a </w:t>
            </w:r>
            <w:r w:rsidRPr="00287EB0">
              <w:rPr>
                <w:strike/>
                <w:color w:val="FF0000"/>
              </w:rPr>
              <w:t xml:space="preserve">serving </w:t>
            </w:r>
            <w:r w:rsidRPr="00287EB0">
              <w:t xml:space="preserve">cell as an SCS configuration provided by </w:t>
            </w:r>
            <w:r w:rsidRPr="00287EB0">
              <w:rPr>
                <w:i/>
                <w:iCs/>
                <w:lang w:eastAsia="zh-CN"/>
              </w:rPr>
              <w:t>IAB-DU-Resource-Configuration</w:t>
            </w:r>
            <w:r w:rsidRPr="00287EB0">
              <w:rPr>
                <w:i/>
              </w:rPr>
              <w:t>-TDD-Config</w:t>
            </w:r>
            <w:r w:rsidRPr="00287EB0">
              <w:t xml:space="preserve"> for the </w:t>
            </w:r>
            <w:r w:rsidRPr="00287EB0">
              <w:rPr>
                <w:strike/>
                <w:color w:val="FF0000"/>
              </w:rPr>
              <w:t xml:space="preserve">serving </w:t>
            </w:r>
            <w:r w:rsidRPr="00287EB0">
              <w:t>cell.</w:t>
            </w:r>
          </w:p>
          <w:p w14:paraId="083275F2" w14:textId="77777777" w:rsidR="005604E6" w:rsidRDefault="005604E6" w:rsidP="0030620A">
            <w:r w:rsidRPr="00287EB0">
              <w:rPr>
                <w:lang w:eastAsia="zh-CN"/>
              </w:rPr>
              <w:t xml:space="preserve">An AI </w:t>
            </w:r>
            <w:r w:rsidRPr="00287EB0">
              <w:t xml:space="preserve">index field value in a </w:t>
            </w:r>
            <w:r w:rsidRPr="00287EB0">
              <w:rPr>
                <w:lang w:eastAsia="zh-CN"/>
              </w:rPr>
              <w:t xml:space="preserve">DCI format 2_5 indicates to an IAB-DU a soft symbol availability in each slot for a number of slots starting from the earliest slot of the IAB-DU which overlaps in time with the slot of the IAB-MT where the IAB-MT detects the DCI format 2_5. The number of slots is equal to or larger than </w:t>
            </w:r>
            <w:r w:rsidRPr="00287EB0">
              <w:t xml:space="preserve">a PDCCH monitoring periodicity for DCI format 2_5 as provided by </w:t>
            </w:r>
            <w:proofErr w:type="spellStart"/>
            <w:r w:rsidRPr="00287EB0">
              <w:rPr>
                <w:bCs/>
                <w:i/>
                <w:iCs/>
                <w:lang w:eastAsia="zh-CN"/>
              </w:rPr>
              <w:t>SearchSpace</w:t>
            </w:r>
            <w:proofErr w:type="spellEnd"/>
            <w:r w:rsidRPr="00287EB0">
              <w:t xml:space="preserve">. </w:t>
            </w:r>
            <w:r w:rsidRPr="00287EB0">
              <w:rPr>
                <w:lang w:eastAsia="zh-CN"/>
              </w:rPr>
              <w:t xml:space="preserve">The AI index field includes </w:t>
            </w:r>
            <w:r w:rsidRPr="00287EB0">
              <w:rPr>
                <w:noProof/>
                <w:position w:val="-10"/>
              </w:rPr>
              <w:drawing>
                <wp:inline distT="0" distB="0" distL="0" distR="0" wp14:anchorId="5A9BA9A9" wp14:editId="20C8B18E">
                  <wp:extent cx="1645920" cy="182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B0">
              <w:t xml:space="preserve"> bits where </w:t>
            </w:r>
            <w:proofErr w:type="spellStart"/>
            <w:r w:rsidRPr="00287EB0">
              <w:t>maxAIindex</w:t>
            </w:r>
            <w:proofErr w:type="spellEnd"/>
            <w:r w:rsidRPr="00287EB0">
              <w:t xml:space="preserve"> is the maximum of the values provided by corresponding </w:t>
            </w:r>
            <w:proofErr w:type="spellStart"/>
            <w:r w:rsidRPr="00287EB0">
              <w:rPr>
                <w:i/>
                <w:iCs/>
                <w:color w:val="000000"/>
                <w:szCs w:val="16"/>
                <w:lang w:eastAsia="zh-CN"/>
              </w:rPr>
              <w:t>availabilityCombinationId</w:t>
            </w:r>
            <w:proofErr w:type="spellEnd"/>
            <w:r w:rsidRPr="00287EB0">
              <w:rPr>
                <w:lang w:eastAsia="zh-CN"/>
              </w:rPr>
              <w:t xml:space="preserve">. An availability for a soft symbol in a slot is identified by a corresponding value </w:t>
            </w:r>
            <w:proofErr w:type="spellStart"/>
            <w:r w:rsidRPr="00287EB0">
              <w:rPr>
                <w:i/>
                <w:iCs/>
                <w:color w:val="000000"/>
                <w:szCs w:val="16"/>
                <w:lang w:eastAsia="zh-CN"/>
              </w:rPr>
              <w:t>resourceAvailability</w:t>
            </w:r>
            <w:proofErr w:type="spellEnd"/>
            <w:r w:rsidRPr="00287EB0">
              <w:t xml:space="preserve"> as provided in Table 14-3.</w:t>
            </w:r>
            <w:r>
              <w:t xml:space="preserve"> </w:t>
            </w:r>
          </w:p>
          <w:p w14:paraId="12E388A7" w14:textId="77777777" w:rsidR="005604E6" w:rsidRPr="00287EB0" w:rsidRDefault="005604E6" w:rsidP="0030620A">
            <w:pPr>
              <w:jc w:val="center"/>
              <w:rPr>
                <w:sz w:val="22"/>
                <w:szCs w:val="22"/>
              </w:rPr>
            </w:pPr>
            <w:r w:rsidRPr="00043D08">
              <w:rPr>
                <w:color w:val="4472C4" w:themeColor="accent1"/>
                <w:sz w:val="22"/>
                <w:szCs w:val="22"/>
              </w:rPr>
              <w:t>&lt;text omitted&gt;</w:t>
            </w:r>
          </w:p>
        </w:tc>
      </w:tr>
    </w:tbl>
    <w:p w14:paraId="0C0059E7" w14:textId="77777777" w:rsidR="005604E6" w:rsidRPr="00993E14" w:rsidRDefault="005604E6" w:rsidP="00993E14">
      <w:pPr>
        <w:rPr>
          <w:rFonts w:ascii="Calibri" w:eastAsia="Calibri" w:hAnsi="Calibri"/>
          <w:b/>
          <w:bCs/>
          <w:sz w:val="22"/>
          <w:szCs w:val="22"/>
        </w:rPr>
      </w:pPr>
    </w:p>
    <w:p w14:paraId="007F06F7" w14:textId="5A36652F" w:rsidR="00993E14" w:rsidRPr="00993E14" w:rsidRDefault="00993E14" w:rsidP="005604E6">
      <w:pPr>
        <w:rPr>
          <w:rFonts w:ascii="Calibri" w:eastAsia="SimSun" w:hAnsi="Calibri"/>
          <w:b/>
          <w:bCs/>
          <w:sz w:val="22"/>
          <w:szCs w:val="22"/>
          <w:lang w:eastAsia="zh-CN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ab/>
      </w:r>
    </w:p>
    <w:p w14:paraId="3945EC82" w14:textId="77777777" w:rsidR="00993E14" w:rsidRDefault="00993E14">
      <w:pPr>
        <w:rPr>
          <w:rFonts w:ascii="Calibri" w:eastAsia="Calibri" w:hAnsi="Calibri"/>
          <w:sz w:val="22"/>
          <w:szCs w:val="22"/>
        </w:rPr>
      </w:pPr>
    </w:p>
    <w:p w14:paraId="52BF2D5A" w14:textId="77777777" w:rsidR="00076871" w:rsidRDefault="00076871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0B3BB9CE" w14:textId="77777777" w:rsidR="00076871" w:rsidRDefault="004D04F0">
      <w:pPr>
        <w:pStyle w:val="Heading1"/>
      </w:pPr>
      <w:r>
        <w:t>Summary</w:t>
      </w:r>
    </w:p>
    <w:p w14:paraId="0D53BABA" w14:textId="77777777" w:rsidR="00076871" w:rsidRDefault="004D04F0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02F2F76" w14:textId="77777777" w:rsidR="00076871" w:rsidRDefault="00076871">
      <w:pPr>
        <w:rPr>
          <w:rFonts w:ascii="Calibri" w:hAnsi="Calibri" w:cs="Calibri"/>
          <w:color w:val="000000"/>
          <w:sz w:val="22"/>
          <w:szCs w:val="22"/>
        </w:rPr>
      </w:pPr>
    </w:p>
    <w:p w14:paraId="0D3C9D0F" w14:textId="77777777" w:rsidR="00076871" w:rsidRDefault="00076871">
      <w:pPr>
        <w:rPr>
          <w:rFonts w:ascii="Arial" w:hAnsi="Arial"/>
          <w:b/>
          <w:sz w:val="32"/>
          <w:szCs w:val="20"/>
        </w:rPr>
      </w:pPr>
    </w:p>
    <w:sectPr w:rsidR="000768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AB445" w14:textId="77777777" w:rsidR="00855925" w:rsidRDefault="00855925" w:rsidP="0047635B">
      <w:r>
        <w:separator/>
      </w:r>
    </w:p>
  </w:endnote>
  <w:endnote w:type="continuationSeparator" w:id="0">
    <w:p w14:paraId="0ACB9856" w14:textId="77777777" w:rsidR="00855925" w:rsidRDefault="00855925" w:rsidP="004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1A057" w14:textId="77777777" w:rsidR="00855925" w:rsidRDefault="00855925" w:rsidP="0047635B">
      <w:r>
        <w:separator/>
      </w:r>
    </w:p>
  </w:footnote>
  <w:footnote w:type="continuationSeparator" w:id="0">
    <w:p w14:paraId="260F17F4" w14:textId="77777777" w:rsidR="00855925" w:rsidRDefault="00855925" w:rsidP="0047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7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687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61E9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35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04F0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04E6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2F87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5925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14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233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097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0D28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  <w:rsid w:val="79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E104"/>
  <w15:docId w15:val="{CD3D9651-211D-4E05-9EDD-D22B9C9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qFormat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qFormat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  <w:style w:type="paragraph" w:customStyle="1" w:styleId="bullet">
    <w:name w:val="bullet"/>
    <w:basedOn w:val="Normal"/>
    <w:qFormat/>
    <w:rsid w:val="005604E6"/>
    <w:pPr>
      <w:numPr>
        <w:numId w:val="17"/>
      </w:numPr>
      <w:spacing w:after="120"/>
      <w:jc w:val="both"/>
    </w:pPr>
    <w:rPr>
      <w:rFonts w:eastAsia="SimSu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FC8337-D076-4448-B3CE-829CAD105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6597</Characters>
  <Application>Microsoft Office Word</Application>
  <DocSecurity>0</DocSecurity>
  <Lines>54</Lines>
  <Paragraphs>15</Paragraphs>
  <ScaleCrop>false</ScaleCrop>
  <Company>AT&amp;T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Thomas Novlan (AT&amp;T Labs)</cp:lastModifiedBy>
  <cp:revision>2</cp:revision>
  <cp:lastPrinted>2016-02-23T10:51:00Z</cp:lastPrinted>
  <dcterms:created xsi:type="dcterms:W3CDTF">2020-10-28T16:40:00Z</dcterms:created>
  <dcterms:modified xsi:type="dcterms:W3CDTF">2020-10-28T16:40:00Z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