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BAC80" w14:textId="3E305952" w:rsidR="00F706B2" w:rsidRPr="0052548E" w:rsidRDefault="00F706B2" w:rsidP="00F706B2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12</w:t>
      </w:r>
    </w:p>
    <w:p w14:paraId="6DB563D1" w14:textId="77777777" w:rsidR="00F706B2" w:rsidRPr="009513AC" w:rsidRDefault="00F706B2" w:rsidP="00F706B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5B773CBB" w14:textId="77777777" w:rsidR="00F706B2" w:rsidRDefault="00F706B2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bookmarkStart w:id="0" w:name="_GoBack"/>
      <w:bookmarkEnd w:id="0"/>
    </w:p>
    <w:p w14:paraId="033F7FF3" w14:textId="5A71D14C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WG2 Meeting #1</w:t>
      </w:r>
      <w:r w:rsidR="0053400E">
        <w:rPr>
          <w:rFonts w:cs="Arial"/>
          <w:b w:val="0"/>
          <w:bCs/>
          <w:sz w:val="22"/>
          <w:szCs w:val="28"/>
        </w:rPr>
        <w:t>10-e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04B53" w:rsidRPr="006A77A2">
        <w:rPr>
          <w:rFonts w:cs="Arial"/>
          <w:sz w:val="22"/>
          <w:szCs w:val="28"/>
        </w:rPr>
        <w:t>R2-</w:t>
      </w:r>
      <w:r w:rsidR="00A1614B" w:rsidRPr="006A77A2">
        <w:rPr>
          <w:rFonts w:cs="Arial"/>
          <w:sz w:val="22"/>
          <w:szCs w:val="28"/>
        </w:rPr>
        <w:t>20</w:t>
      </w:r>
      <w:r w:rsidR="00F3119E" w:rsidRPr="006A77A2">
        <w:rPr>
          <w:rFonts w:cs="Arial"/>
          <w:sz w:val="22"/>
          <w:szCs w:val="28"/>
        </w:rPr>
        <w:t>0</w:t>
      </w:r>
      <w:r w:rsidR="006D23A6" w:rsidRPr="006A77A2">
        <w:rPr>
          <w:rFonts w:cs="Arial"/>
          <w:sz w:val="22"/>
          <w:szCs w:val="28"/>
        </w:rPr>
        <w:t>6</w:t>
      </w:r>
      <w:r w:rsidR="009175A8">
        <w:rPr>
          <w:rFonts w:cs="Arial"/>
          <w:sz w:val="22"/>
          <w:szCs w:val="28"/>
        </w:rPr>
        <w:t>448</w:t>
      </w:r>
    </w:p>
    <w:p w14:paraId="361C4566" w14:textId="77777777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>Electronic, June 1 – 12,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0D40D3FE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r w:rsidR="0053400E" w:rsidRPr="0053400E">
        <w:rPr>
          <w:rFonts w:ascii="Arial" w:hAnsi="Arial" w:cs="Arial"/>
          <w:bCs/>
          <w:sz w:val="22"/>
          <w:szCs w:val="22"/>
        </w:rPr>
        <w:t>Reply LS on XDD-FRX Differentiatio</w:t>
      </w:r>
      <w:bookmarkEnd w:id="1"/>
      <w:r w:rsidR="0053400E" w:rsidRPr="0053400E">
        <w:rPr>
          <w:rFonts w:ascii="Arial" w:hAnsi="Arial" w:cs="Arial"/>
          <w:bCs/>
          <w:sz w:val="22"/>
          <w:szCs w:val="22"/>
        </w:rPr>
        <w:t>n</w:t>
      </w:r>
    </w:p>
    <w:p w14:paraId="32522C64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R2-2000013</w:t>
      </w:r>
      <w:r w:rsidR="0053400E">
        <w:rPr>
          <w:rFonts w:ascii="Arial" w:hAnsi="Arial" w:cs="Arial"/>
          <w:sz w:val="22"/>
          <w:szCs w:val="22"/>
        </w:rPr>
        <w:t xml:space="preserve"> </w:t>
      </w:r>
      <w:r w:rsidR="00A1614B" w:rsidRPr="00A1614B">
        <w:rPr>
          <w:rFonts w:ascii="Arial" w:hAnsi="Arial" w:cs="Arial"/>
          <w:sz w:val="22"/>
          <w:szCs w:val="22"/>
        </w:rPr>
        <w:t>/</w:t>
      </w:r>
      <w:r w:rsidR="0053400E" w:rsidRPr="0053400E">
        <w:t xml:space="preserve"> </w:t>
      </w:r>
      <w:r w:rsidR="0053400E" w:rsidRPr="0053400E">
        <w:rPr>
          <w:rFonts w:ascii="Arial" w:hAnsi="Arial" w:cs="Arial"/>
          <w:sz w:val="22"/>
          <w:szCs w:val="22"/>
        </w:rPr>
        <w:t>R1-1913579</w:t>
      </w:r>
    </w:p>
    <w:p w14:paraId="157DB865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53400E">
        <w:rPr>
          <w:rFonts w:ascii="Arial" w:hAnsi="Arial" w:cs="Arial"/>
          <w:bCs/>
          <w:sz w:val="22"/>
          <w:szCs w:val="22"/>
        </w:rPr>
        <w:t>5</w:t>
      </w:r>
    </w:p>
    <w:bookmarkEnd w:id="4"/>
    <w:bookmarkEnd w:id="5"/>
    <w:bookmarkEnd w:id="6"/>
    <w:p w14:paraId="1317B9C9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043DEA">
        <w:rPr>
          <w:rFonts w:ascii="Arial" w:hAnsi="Arial" w:cs="Arial"/>
          <w:bCs/>
        </w:rPr>
        <w:t>NR_newRAT-Core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7E112CD6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834DD8">
        <w:rPr>
          <w:rFonts w:ascii="Arial" w:hAnsi="Arial" w:cs="Arial"/>
          <w:sz w:val="22"/>
          <w:szCs w:val="22"/>
        </w:rPr>
        <w:t>RAN2</w:t>
      </w:r>
    </w:p>
    <w:p w14:paraId="465AC9DE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RAN1</w:t>
      </w:r>
    </w:p>
    <w:p w14:paraId="23FF3300" w14:textId="77777777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RAN4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Masato Kitazoe</w:t>
      </w:r>
    </w:p>
    <w:p w14:paraId="249E6F0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 xml:space="preserve">mkitazoe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25EFBF39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466DAF">
        <w:rPr>
          <w:rFonts w:ascii="Arial" w:hAnsi="Arial" w:cs="Arial"/>
          <w:bCs/>
          <w:sz w:val="22"/>
          <w:szCs w:val="22"/>
        </w:rPr>
        <w:t>R2-20</w:t>
      </w:r>
      <w:r w:rsidR="00834DD8">
        <w:rPr>
          <w:rFonts w:ascii="Arial" w:hAnsi="Arial" w:cs="Arial"/>
          <w:bCs/>
          <w:sz w:val="22"/>
          <w:szCs w:val="22"/>
        </w:rPr>
        <w:t>6278.zip</w:t>
      </w:r>
      <w:r w:rsidR="00466DAF">
        <w:rPr>
          <w:rFonts w:ascii="Arial" w:hAnsi="Arial" w:cs="Arial"/>
          <w:bCs/>
          <w:sz w:val="22"/>
          <w:szCs w:val="22"/>
        </w:rPr>
        <w:t>, R2-20</w:t>
      </w:r>
      <w:r w:rsidR="00834DD8">
        <w:rPr>
          <w:rFonts w:ascii="Arial" w:hAnsi="Arial" w:cs="Arial"/>
          <w:bCs/>
          <w:sz w:val="22"/>
          <w:szCs w:val="22"/>
        </w:rPr>
        <w:t>6279.zip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30F137" w14:textId="77777777" w:rsidR="00506C98" w:rsidRDefault="00AE1CAB" w:rsidP="00C4450F">
      <w:pPr>
        <w:spacing w:after="0"/>
        <w:rPr>
          <w:sz w:val="22"/>
          <w:szCs w:val="22"/>
        </w:rPr>
      </w:pPr>
      <w:bookmarkStart w:id="9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53400E">
        <w:rPr>
          <w:sz w:val="22"/>
          <w:szCs w:val="22"/>
        </w:rPr>
        <w:t>RAN1</w:t>
      </w:r>
      <w:r w:rsidR="00A1614B">
        <w:rPr>
          <w:sz w:val="22"/>
          <w:szCs w:val="22"/>
        </w:rPr>
        <w:t xml:space="preserve"> for their LS on </w:t>
      </w:r>
      <w:r w:rsidR="0053400E" w:rsidRPr="0053400E">
        <w:rPr>
          <w:sz w:val="22"/>
          <w:szCs w:val="22"/>
        </w:rPr>
        <w:t>XDD-FRX Differentiation</w:t>
      </w:r>
      <w:r w:rsidR="0053400E">
        <w:rPr>
          <w:sz w:val="22"/>
          <w:szCs w:val="22"/>
        </w:rPr>
        <w:t>.</w:t>
      </w:r>
    </w:p>
    <w:p w14:paraId="78A2A005" w14:textId="77777777" w:rsidR="0053400E" w:rsidRDefault="0053400E" w:rsidP="00C4450F">
      <w:pPr>
        <w:spacing w:after="0"/>
        <w:rPr>
          <w:rFonts w:eastAsia="Malgun Gothic"/>
          <w:sz w:val="22"/>
          <w:szCs w:val="22"/>
        </w:rPr>
      </w:pPr>
    </w:p>
    <w:p w14:paraId="11E1E63E" w14:textId="77777777" w:rsidR="0053400E" w:rsidRPr="00297AC0" w:rsidRDefault="0053400E" w:rsidP="00C4450F">
      <w:pPr>
        <w:spacing w:after="0"/>
        <w:rPr>
          <w:rFonts w:eastAsia="Yu Mincho"/>
          <w:sz w:val="22"/>
          <w:szCs w:val="22"/>
        </w:rPr>
      </w:pPr>
      <w:r w:rsidRPr="00297AC0">
        <w:rPr>
          <w:rFonts w:eastAsia="Yu Mincho" w:hint="eastAsia"/>
          <w:sz w:val="22"/>
          <w:szCs w:val="22"/>
        </w:rPr>
        <w:t>R</w:t>
      </w:r>
      <w:r w:rsidRPr="00297AC0">
        <w:rPr>
          <w:rFonts w:eastAsia="Yu Mincho"/>
          <w:sz w:val="22"/>
          <w:szCs w:val="22"/>
        </w:rPr>
        <w:t xml:space="preserve">AN2 agreed that UE support for a feature in the following combination </w:t>
      </w:r>
      <w:r w:rsidR="00466DAF">
        <w:rPr>
          <w:rFonts w:eastAsia="Yu Mincho"/>
          <w:sz w:val="22"/>
          <w:szCs w:val="22"/>
        </w:rPr>
        <w:t xml:space="preserve">as </w:t>
      </w:r>
      <w:r w:rsidRPr="00297AC0">
        <w:rPr>
          <w:rFonts w:eastAsia="Yu Mincho"/>
          <w:sz w:val="22"/>
          <w:szCs w:val="22"/>
        </w:rPr>
        <w:t>identified by RAN1 cannot be signalled via the current UE capability signalling.</w:t>
      </w:r>
    </w:p>
    <w:p w14:paraId="224A86E8" w14:textId="77777777" w:rsidR="0053400E" w:rsidRPr="00297AC0" w:rsidRDefault="0053400E" w:rsidP="00C4450F">
      <w:pPr>
        <w:spacing w:after="0"/>
        <w:rPr>
          <w:rFonts w:eastAsia="Yu Mincho"/>
          <w:sz w:val="22"/>
          <w:szCs w:val="22"/>
        </w:rPr>
      </w:pPr>
    </w:p>
    <w:p w14:paraId="20263678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FDD: ‘supported’</w:t>
      </w:r>
    </w:p>
    <w:p w14:paraId="7504584E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TDD: ‘not supported’</w:t>
      </w:r>
    </w:p>
    <w:p w14:paraId="42BCA9D0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TDD: ‘supported’</w:t>
      </w:r>
    </w:p>
    <w:p w14:paraId="5ACB659B" w14:textId="77777777" w:rsidR="001E11BD" w:rsidRPr="00297AC0" w:rsidRDefault="0053400E" w:rsidP="001E11BD">
      <w:pPr>
        <w:spacing w:after="0"/>
        <w:rPr>
          <w:rFonts w:eastAsia="Yu Mincho"/>
          <w:sz w:val="22"/>
          <w:szCs w:val="22"/>
        </w:rPr>
      </w:pPr>
      <w:r w:rsidRPr="00297AC0">
        <w:rPr>
          <w:rFonts w:eastAsia="Yu Mincho" w:hint="eastAsia"/>
          <w:sz w:val="22"/>
          <w:szCs w:val="22"/>
        </w:rPr>
        <w:t>R</w:t>
      </w:r>
      <w:r w:rsidRPr="00297AC0">
        <w:rPr>
          <w:rFonts w:eastAsia="Yu Mincho"/>
          <w:sz w:val="22"/>
          <w:szCs w:val="22"/>
        </w:rPr>
        <w:t>AN2 agreed</w:t>
      </w:r>
      <w:r w:rsidR="001E11BD" w:rsidRPr="00297AC0">
        <w:rPr>
          <w:rFonts w:eastAsia="Yu Mincho"/>
          <w:sz w:val="22"/>
          <w:szCs w:val="22"/>
        </w:rPr>
        <w:t xml:space="preserve"> n</w:t>
      </w:r>
      <w:r w:rsidRPr="00297AC0">
        <w:rPr>
          <w:rFonts w:eastAsia="Yu Mincho"/>
          <w:sz w:val="22"/>
          <w:szCs w:val="22"/>
        </w:rPr>
        <w:t xml:space="preserve">ot to change RAN2 specifications to make it possible to indicate support for </w:t>
      </w:r>
      <w:r w:rsidR="001E11BD" w:rsidRPr="00297AC0">
        <w:rPr>
          <w:rFonts w:eastAsia="Yu Mincho"/>
          <w:sz w:val="22"/>
          <w:szCs w:val="22"/>
        </w:rPr>
        <w:t xml:space="preserve">release-15 </w:t>
      </w:r>
      <w:r w:rsidRPr="00297AC0">
        <w:rPr>
          <w:rFonts w:eastAsia="Yu Mincho"/>
          <w:sz w:val="22"/>
          <w:szCs w:val="22"/>
        </w:rPr>
        <w:t>features in the above</w:t>
      </w:r>
      <w:r w:rsidR="00466DAF">
        <w:rPr>
          <w:rFonts w:eastAsia="Yu Mincho"/>
          <w:sz w:val="22"/>
          <w:szCs w:val="22"/>
        </w:rPr>
        <w:t xml:space="preserve"> </w:t>
      </w:r>
      <w:r w:rsidRPr="00297AC0">
        <w:rPr>
          <w:rFonts w:eastAsia="Yu Mincho"/>
          <w:sz w:val="22"/>
          <w:szCs w:val="22"/>
        </w:rPr>
        <w:t>combination</w:t>
      </w:r>
      <w:r w:rsidR="001E11BD" w:rsidRPr="00297AC0">
        <w:rPr>
          <w:rFonts w:eastAsia="Yu Mincho"/>
          <w:sz w:val="22"/>
          <w:szCs w:val="22"/>
        </w:rPr>
        <w:t>.</w:t>
      </w:r>
    </w:p>
    <w:p w14:paraId="4805CB5E" w14:textId="77777777" w:rsidR="00466DAF" w:rsidRPr="00466DAF" w:rsidRDefault="00466DAF" w:rsidP="00466DAF">
      <w:pPr>
        <w:spacing w:after="0"/>
        <w:rPr>
          <w:rFonts w:eastAsia="Yu Mincho"/>
          <w:sz w:val="22"/>
          <w:szCs w:val="22"/>
        </w:rPr>
      </w:pPr>
      <w:r>
        <w:rPr>
          <w:rFonts w:eastAsia="Yu Mincho" w:hint="eastAsia"/>
          <w:sz w:val="22"/>
          <w:szCs w:val="22"/>
        </w:rPr>
        <w:t>I</w:t>
      </w:r>
      <w:r>
        <w:rPr>
          <w:rFonts w:eastAsia="Yu Mincho"/>
          <w:sz w:val="22"/>
          <w:szCs w:val="22"/>
        </w:rPr>
        <w:t xml:space="preserve">n addition, </w:t>
      </w:r>
      <w:r w:rsidRPr="00466DAF">
        <w:rPr>
          <w:rFonts w:eastAsia="Yu Mincho" w:hint="eastAsia"/>
          <w:sz w:val="22"/>
          <w:szCs w:val="22"/>
        </w:rPr>
        <w:t>R</w:t>
      </w:r>
      <w:r w:rsidRPr="00466DAF">
        <w:rPr>
          <w:rFonts w:eastAsia="Yu Mincho"/>
          <w:sz w:val="22"/>
          <w:szCs w:val="22"/>
        </w:rPr>
        <w:t xml:space="preserve">AN2 clarified the UE capability setting for </w:t>
      </w:r>
      <w:r>
        <w:rPr>
          <w:rFonts w:eastAsia="Yu Mincho"/>
          <w:sz w:val="22"/>
          <w:szCs w:val="22"/>
        </w:rPr>
        <w:t>all</w:t>
      </w:r>
      <w:r w:rsidRPr="00466DAF">
        <w:rPr>
          <w:rFonts w:eastAsia="Yu Mincho"/>
          <w:sz w:val="22"/>
          <w:szCs w:val="22"/>
        </w:rPr>
        <w:t xml:space="preserve"> 8 combinations of </w:t>
      </w:r>
      <w:r>
        <w:rPr>
          <w:rFonts w:eastAsia="Yu Mincho"/>
          <w:sz w:val="22"/>
          <w:szCs w:val="22"/>
        </w:rPr>
        <w:t xml:space="preserve">UE </w:t>
      </w:r>
      <w:r w:rsidRPr="00466DAF">
        <w:rPr>
          <w:rFonts w:eastAsia="Yu Mincho"/>
          <w:sz w:val="22"/>
          <w:szCs w:val="22"/>
        </w:rPr>
        <w:t>capability in FR1 FDD, FR1 TDD and FR2 TDD</w:t>
      </w:r>
      <w:r>
        <w:rPr>
          <w:rFonts w:eastAsia="Yu Mincho"/>
          <w:sz w:val="22"/>
          <w:szCs w:val="22"/>
        </w:rPr>
        <w:t>, as in the attached CRs.</w:t>
      </w:r>
    </w:p>
    <w:p w14:paraId="2157A9BF" w14:textId="77777777" w:rsidR="00466DAF" w:rsidRPr="00466DAF" w:rsidRDefault="00466DAF" w:rsidP="001E11BD">
      <w:pPr>
        <w:spacing w:after="0"/>
        <w:rPr>
          <w:rFonts w:eastAsia="Yu Mincho"/>
          <w:sz w:val="22"/>
          <w:szCs w:val="22"/>
        </w:rPr>
      </w:pPr>
    </w:p>
    <w:p w14:paraId="3B17BAA3" w14:textId="77777777" w:rsidR="0053400E" w:rsidRPr="00297AC0" w:rsidRDefault="00466DAF" w:rsidP="001E11BD">
      <w:pPr>
        <w:spacing w:after="0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 xml:space="preserve">For </w:t>
      </w:r>
      <w:r w:rsidR="0053400E" w:rsidRPr="001E11BD">
        <w:rPr>
          <w:rFonts w:eastAsia="Yu Mincho"/>
          <w:sz w:val="22"/>
          <w:szCs w:val="22"/>
        </w:rPr>
        <w:t xml:space="preserve">release-16 UE capabilities </w:t>
      </w:r>
      <w:r w:rsidR="001E11BD">
        <w:rPr>
          <w:rFonts w:eastAsia="Yu Mincho"/>
          <w:sz w:val="22"/>
          <w:szCs w:val="22"/>
        </w:rPr>
        <w:t xml:space="preserve">for which </w:t>
      </w:r>
      <w:r w:rsidR="0053400E" w:rsidRPr="001E11BD">
        <w:rPr>
          <w:rFonts w:eastAsia="Yu Mincho"/>
          <w:sz w:val="22"/>
          <w:szCs w:val="22"/>
        </w:rPr>
        <w:t>both xDD and FRx differentiation</w:t>
      </w:r>
      <w:r w:rsidR="001E11BD">
        <w:rPr>
          <w:rFonts w:eastAsia="Yu Mincho"/>
          <w:sz w:val="22"/>
          <w:szCs w:val="22"/>
        </w:rPr>
        <w:t>s are allowed</w:t>
      </w:r>
      <w:r>
        <w:rPr>
          <w:rFonts w:eastAsia="Yu Mincho"/>
          <w:sz w:val="22"/>
          <w:szCs w:val="22"/>
        </w:rPr>
        <w:t xml:space="preserve">, </w:t>
      </w:r>
      <w:r w:rsidRPr="001E11BD">
        <w:rPr>
          <w:rFonts w:eastAsia="Yu Mincho"/>
          <w:sz w:val="22"/>
          <w:szCs w:val="22"/>
        </w:rPr>
        <w:t xml:space="preserve">RAN2 intends to use </w:t>
      </w:r>
      <w:r>
        <w:rPr>
          <w:rFonts w:eastAsia="Yu Mincho"/>
          <w:sz w:val="22"/>
          <w:szCs w:val="22"/>
        </w:rPr>
        <w:t>“</w:t>
      </w:r>
      <w:r w:rsidRPr="001E11BD">
        <w:rPr>
          <w:rFonts w:eastAsia="Yu Mincho"/>
          <w:sz w:val="22"/>
          <w:szCs w:val="22"/>
        </w:rPr>
        <w:t>per band</w:t>
      </w:r>
      <w:r>
        <w:rPr>
          <w:rFonts w:eastAsia="Yu Mincho"/>
          <w:sz w:val="22"/>
          <w:szCs w:val="22"/>
        </w:rPr>
        <w:t>”</w:t>
      </w:r>
      <w:r w:rsidRPr="001E11BD">
        <w:rPr>
          <w:rFonts w:eastAsia="Yu Mincho"/>
          <w:sz w:val="22"/>
          <w:szCs w:val="22"/>
        </w:rPr>
        <w:t xml:space="preserve"> capability signalling</w:t>
      </w:r>
      <w:r>
        <w:rPr>
          <w:rFonts w:eastAsia="Yu Mincho"/>
          <w:sz w:val="22"/>
          <w:szCs w:val="22"/>
        </w:rPr>
        <w:t>.</w:t>
      </w:r>
      <w:r w:rsidR="0053400E" w:rsidRPr="001E11BD">
        <w:rPr>
          <w:rFonts w:eastAsia="Yu Mincho"/>
          <w:sz w:val="22"/>
          <w:szCs w:val="22"/>
        </w:rPr>
        <w:t xml:space="preserve"> This way, the problem</w:t>
      </w:r>
      <w:r w:rsidR="001E11BD">
        <w:rPr>
          <w:rFonts w:eastAsia="Yu Mincho"/>
          <w:sz w:val="22"/>
          <w:szCs w:val="22"/>
        </w:rPr>
        <w:t xml:space="preserve"> above </w:t>
      </w:r>
      <w:r w:rsidR="0053400E" w:rsidRPr="001E11BD">
        <w:rPr>
          <w:rFonts w:eastAsia="Yu Mincho"/>
          <w:sz w:val="22"/>
          <w:szCs w:val="22"/>
        </w:rPr>
        <w:t>no longer exists for release-16 capabilities.</w:t>
      </w:r>
    </w:p>
    <w:p w14:paraId="185FC62D" w14:textId="77777777" w:rsidR="0073504B" w:rsidRPr="001E11BD" w:rsidRDefault="0073504B" w:rsidP="00C4450F">
      <w:pPr>
        <w:spacing w:after="0"/>
        <w:rPr>
          <w:rFonts w:eastAsia="Malgun Gothic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RAN1</w:t>
      </w:r>
    </w:p>
    <w:p w14:paraId="010A75C8" w14:textId="682C28F9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E11BD">
        <w:rPr>
          <w:sz w:val="22"/>
          <w:szCs w:val="22"/>
        </w:rPr>
        <w:t xml:space="preserve">RAN1 </w:t>
      </w:r>
      <w:r w:rsidR="004B2FDC">
        <w:rPr>
          <w:sz w:val="22"/>
          <w:szCs w:val="22"/>
        </w:rPr>
        <w:t xml:space="preserve">to </w:t>
      </w:r>
      <w:r w:rsidR="00A974CB">
        <w:rPr>
          <w:sz w:val="22"/>
          <w:szCs w:val="22"/>
        </w:rPr>
        <w:t xml:space="preserve">take into </w:t>
      </w:r>
      <w:r w:rsidR="004B2FDC">
        <w:rPr>
          <w:sz w:val="22"/>
          <w:szCs w:val="22"/>
        </w:rPr>
        <w:t>consider</w:t>
      </w:r>
      <w:r w:rsidR="00A974CB">
        <w:rPr>
          <w:sz w:val="22"/>
          <w:szCs w:val="22"/>
        </w:rPr>
        <w:t>ation</w:t>
      </w:r>
      <w:r w:rsidR="004B2FDC">
        <w:rPr>
          <w:sz w:val="22"/>
          <w:szCs w:val="22"/>
        </w:rPr>
        <w:t xml:space="preserve"> the above </w:t>
      </w:r>
      <w:r w:rsidR="00A974CB">
        <w:rPr>
          <w:sz w:val="22"/>
          <w:szCs w:val="22"/>
        </w:rPr>
        <w:t>response</w:t>
      </w:r>
      <w:r w:rsidR="004B2FDC">
        <w:rPr>
          <w:sz w:val="22"/>
          <w:szCs w:val="22"/>
        </w:rPr>
        <w:t>.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77777777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1E11BD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D28C3" w14:textId="77777777" w:rsidR="00E17D8D" w:rsidRDefault="00E17D8D">
      <w:pPr>
        <w:spacing w:after="0"/>
      </w:pPr>
      <w:r>
        <w:separator/>
      </w:r>
    </w:p>
  </w:endnote>
  <w:endnote w:type="continuationSeparator" w:id="0">
    <w:p w14:paraId="60912EF0" w14:textId="77777777" w:rsidR="00E17D8D" w:rsidRDefault="00E17D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9307A" w14:textId="77777777" w:rsidR="00E17D8D" w:rsidRDefault="00E17D8D">
      <w:pPr>
        <w:spacing w:after="0"/>
      </w:pPr>
      <w:r>
        <w:separator/>
      </w:r>
    </w:p>
  </w:footnote>
  <w:footnote w:type="continuationSeparator" w:id="0">
    <w:p w14:paraId="0D26D0FA" w14:textId="77777777" w:rsidR="00E17D8D" w:rsidRDefault="00E17D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6"/>
  </w:num>
  <w:num w:numId="4">
    <w:abstractNumId w:val="6"/>
  </w:num>
  <w:num w:numId="5">
    <w:abstractNumId w:val="25"/>
  </w:num>
  <w:num w:numId="6">
    <w:abstractNumId w:val="3"/>
  </w:num>
  <w:num w:numId="7">
    <w:abstractNumId w:val="21"/>
  </w:num>
  <w:num w:numId="8">
    <w:abstractNumId w:val="11"/>
  </w:num>
  <w:num w:numId="9">
    <w:abstractNumId w:val="14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4"/>
  </w:num>
  <w:num w:numId="15">
    <w:abstractNumId w:val="26"/>
  </w:num>
  <w:num w:numId="16">
    <w:abstractNumId w:val="2"/>
  </w:num>
  <w:num w:numId="17">
    <w:abstractNumId w:val="17"/>
  </w:num>
  <w:num w:numId="18">
    <w:abstractNumId w:val="15"/>
  </w:num>
  <w:num w:numId="19">
    <w:abstractNumId w:val="4"/>
  </w:num>
  <w:num w:numId="20">
    <w:abstractNumId w:val="13"/>
  </w:num>
  <w:num w:numId="21">
    <w:abstractNumId w:val="10"/>
  </w:num>
  <w:num w:numId="22">
    <w:abstractNumId w:val="8"/>
  </w:num>
  <w:num w:numId="23">
    <w:abstractNumId w:val="1"/>
  </w:num>
  <w:num w:numId="24">
    <w:abstractNumId w:val="12"/>
  </w:num>
  <w:num w:numId="25">
    <w:abstractNumId w:val="23"/>
  </w:num>
  <w:num w:numId="26">
    <w:abstractNumId w:val="19"/>
  </w:num>
  <w:num w:numId="2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96BC7"/>
    <w:rsid w:val="005970ED"/>
    <w:rsid w:val="005B20C7"/>
    <w:rsid w:val="005B5AE4"/>
    <w:rsid w:val="005B7576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17D8D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06B2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6B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706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706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06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06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06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06B2"/>
    <w:pPr>
      <w:outlineLvl w:val="5"/>
    </w:pPr>
  </w:style>
  <w:style w:type="paragraph" w:styleId="Heading7">
    <w:name w:val="heading 7"/>
    <w:basedOn w:val="H6"/>
    <w:next w:val="Normal"/>
    <w:qFormat/>
    <w:rsid w:val="00F706B2"/>
    <w:pPr>
      <w:outlineLvl w:val="6"/>
    </w:pPr>
  </w:style>
  <w:style w:type="paragraph" w:styleId="Heading8">
    <w:name w:val="heading 8"/>
    <w:basedOn w:val="Heading1"/>
    <w:next w:val="Normal"/>
    <w:qFormat/>
    <w:rsid w:val="00F706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06B2"/>
    <w:pPr>
      <w:outlineLvl w:val="8"/>
    </w:pPr>
  </w:style>
  <w:style w:type="character" w:default="1" w:styleId="DefaultParagraphFont">
    <w:name w:val="Default Paragraph Font"/>
    <w:semiHidden/>
    <w:rsid w:val="00F706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06B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F706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706B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706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706B2"/>
    <w:pPr>
      <w:spacing w:before="180"/>
      <w:ind w:left="2693" w:hanging="2693"/>
    </w:pPr>
    <w:rPr>
      <w:b/>
    </w:rPr>
  </w:style>
  <w:style w:type="paragraph" w:styleId="TOC1">
    <w:name w:val="toc 1"/>
    <w:semiHidden/>
    <w:rsid w:val="00F706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06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06B2"/>
    <w:pPr>
      <w:ind w:left="1701" w:hanging="1701"/>
    </w:pPr>
  </w:style>
  <w:style w:type="paragraph" w:styleId="TOC4">
    <w:name w:val="toc 4"/>
    <w:basedOn w:val="TOC3"/>
    <w:semiHidden/>
    <w:rsid w:val="00F706B2"/>
    <w:pPr>
      <w:ind w:left="1418" w:hanging="1418"/>
    </w:pPr>
  </w:style>
  <w:style w:type="paragraph" w:styleId="TOC3">
    <w:name w:val="toc 3"/>
    <w:basedOn w:val="TOC2"/>
    <w:semiHidden/>
    <w:rsid w:val="00F706B2"/>
    <w:pPr>
      <w:ind w:left="1134" w:hanging="1134"/>
    </w:pPr>
  </w:style>
  <w:style w:type="paragraph" w:styleId="TOC2">
    <w:name w:val="toc 2"/>
    <w:basedOn w:val="TOC1"/>
    <w:semiHidden/>
    <w:rsid w:val="00F706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6B2"/>
    <w:pPr>
      <w:ind w:left="284"/>
    </w:pPr>
  </w:style>
  <w:style w:type="paragraph" w:styleId="Index1">
    <w:name w:val="index 1"/>
    <w:basedOn w:val="Normal"/>
    <w:semiHidden/>
    <w:rsid w:val="00F706B2"/>
    <w:pPr>
      <w:keepLines/>
      <w:spacing w:after="0"/>
    </w:pPr>
  </w:style>
  <w:style w:type="paragraph" w:customStyle="1" w:styleId="ZH">
    <w:name w:val="ZH"/>
    <w:rsid w:val="00F706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06B2"/>
    <w:pPr>
      <w:outlineLvl w:val="9"/>
    </w:pPr>
  </w:style>
  <w:style w:type="paragraph" w:styleId="ListNumber2">
    <w:name w:val="List Number 2"/>
    <w:basedOn w:val="ListNumber"/>
    <w:semiHidden/>
    <w:rsid w:val="00F706B2"/>
    <w:pPr>
      <w:ind w:left="851"/>
    </w:pPr>
  </w:style>
  <w:style w:type="character" w:styleId="FootnoteReference">
    <w:name w:val="footnote reference"/>
    <w:semiHidden/>
    <w:rsid w:val="00F706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06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706B2"/>
    <w:rPr>
      <w:b/>
    </w:rPr>
  </w:style>
  <w:style w:type="paragraph" w:customStyle="1" w:styleId="TAC">
    <w:name w:val="TAC"/>
    <w:basedOn w:val="TAL"/>
    <w:rsid w:val="00F706B2"/>
    <w:pPr>
      <w:jc w:val="center"/>
    </w:pPr>
  </w:style>
  <w:style w:type="paragraph" w:customStyle="1" w:styleId="TF">
    <w:name w:val="TF"/>
    <w:basedOn w:val="TH"/>
    <w:rsid w:val="00F706B2"/>
    <w:pPr>
      <w:keepNext w:val="0"/>
      <w:spacing w:before="0" w:after="240"/>
    </w:pPr>
  </w:style>
  <w:style w:type="paragraph" w:customStyle="1" w:styleId="NO">
    <w:name w:val="NO"/>
    <w:basedOn w:val="Normal"/>
    <w:rsid w:val="00F706B2"/>
    <w:pPr>
      <w:keepLines/>
      <w:ind w:left="1135" w:hanging="851"/>
    </w:pPr>
  </w:style>
  <w:style w:type="paragraph" w:styleId="TOC9">
    <w:name w:val="toc 9"/>
    <w:basedOn w:val="TOC8"/>
    <w:semiHidden/>
    <w:rsid w:val="00F706B2"/>
    <w:pPr>
      <w:ind w:left="1418" w:hanging="1418"/>
    </w:pPr>
  </w:style>
  <w:style w:type="paragraph" w:customStyle="1" w:styleId="EX">
    <w:name w:val="EX"/>
    <w:basedOn w:val="Normal"/>
    <w:rsid w:val="00F706B2"/>
    <w:pPr>
      <w:keepLines/>
      <w:ind w:left="1702" w:hanging="1418"/>
    </w:pPr>
  </w:style>
  <w:style w:type="paragraph" w:customStyle="1" w:styleId="FP">
    <w:name w:val="FP"/>
    <w:basedOn w:val="Normal"/>
    <w:rsid w:val="00F706B2"/>
    <w:pPr>
      <w:spacing w:after="0"/>
    </w:pPr>
  </w:style>
  <w:style w:type="paragraph" w:customStyle="1" w:styleId="LD">
    <w:name w:val="LD"/>
    <w:rsid w:val="00F706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06B2"/>
    <w:pPr>
      <w:spacing w:after="0"/>
    </w:pPr>
  </w:style>
  <w:style w:type="paragraph" w:customStyle="1" w:styleId="EW">
    <w:name w:val="EW"/>
    <w:basedOn w:val="EX"/>
    <w:rsid w:val="00F706B2"/>
    <w:pPr>
      <w:spacing w:after="0"/>
    </w:pPr>
  </w:style>
  <w:style w:type="paragraph" w:styleId="TOC6">
    <w:name w:val="toc 6"/>
    <w:basedOn w:val="TOC5"/>
    <w:next w:val="Normal"/>
    <w:semiHidden/>
    <w:rsid w:val="00F706B2"/>
    <w:pPr>
      <w:ind w:left="1985" w:hanging="1985"/>
    </w:pPr>
  </w:style>
  <w:style w:type="paragraph" w:styleId="TOC7">
    <w:name w:val="toc 7"/>
    <w:basedOn w:val="TOC6"/>
    <w:next w:val="Normal"/>
    <w:semiHidden/>
    <w:rsid w:val="00F706B2"/>
    <w:pPr>
      <w:ind w:left="2268" w:hanging="2268"/>
    </w:pPr>
  </w:style>
  <w:style w:type="paragraph" w:styleId="ListBullet2">
    <w:name w:val="List Bullet 2"/>
    <w:basedOn w:val="ListBullet"/>
    <w:semiHidden/>
    <w:rsid w:val="00F706B2"/>
    <w:pPr>
      <w:ind w:left="851"/>
    </w:pPr>
  </w:style>
  <w:style w:type="paragraph" w:styleId="ListBullet3">
    <w:name w:val="List Bullet 3"/>
    <w:basedOn w:val="ListBullet2"/>
    <w:semiHidden/>
    <w:rsid w:val="00F706B2"/>
    <w:pPr>
      <w:ind w:left="1135"/>
    </w:pPr>
  </w:style>
  <w:style w:type="paragraph" w:styleId="ListNumber">
    <w:name w:val="List Number"/>
    <w:basedOn w:val="List"/>
    <w:semiHidden/>
    <w:rsid w:val="00F706B2"/>
  </w:style>
  <w:style w:type="paragraph" w:customStyle="1" w:styleId="EQ">
    <w:name w:val="EQ"/>
    <w:basedOn w:val="Normal"/>
    <w:next w:val="Normal"/>
    <w:rsid w:val="00F706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06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6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6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06B2"/>
    <w:pPr>
      <w:jc w:val="right"/>
    </w:pPr>
  </w:style>
  <w:style w:type="paragraph" w:customStyle="1" w:styleId="H6">
    <w:name w:val="H6"/>
    <w:basedOn w:val="Heading5"/>
    <w:next w:val="Normal"/>
    <w:rsid w:val="00F706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6B2"/>
    <w:pPr>
      <w:ind w:left="851" w:hanging="851"/>
    </w:pPr>
  </w:style>
  <w:style w:type="paragraph" w:customStyle="1" w:styleId="TAL">
    <w:name w:val="TAL"/>
    <w:basedOn w:val="Normal"/>
    <w:rsid w:val="00F706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06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06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06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06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06B2"/>
    <w:pPr>
      <w:framePr w:wrap="notBeside" w:y="16161"/>
    </w:pPr>
  </w:style>
  <w:style w:type="character" w:customStyle="1" w:styleId="ZGSM">
    <w:name w:val="ZGSM"/>
    <w:rsid w:val="00F706B2"/>
  </w:style>
  <w:style w:type="paragraph" w:styleId="List2">
    <w:name w:val="List 2"/>
    <w:basedOn w:val="List"/>
    <w:semiHidden/>
    <w:rsid w:val="00F706B2"/>
    <w:pPr>
      <w:ind w:left="851"/>
    </w:pPr>
  </w:style>
  <w:style w:type="paragraph" w:customStyle="1" w:styleId="ZG">
    <w:name w:val="ZG"/>
    <w:rsid w:val="00F706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706B2"/>
    <w:pPr>
      <w:ind w:left="1135"/>
    </w:pPr>
  </w:style>
  <w:style w:type="paragraph" w:styleId="List4">
    <w:name w:val="List 4"/>
    <w:basedOn w:val="List3"/>
    <w:semiHidden/>
    <w:rsid w:val="00F706B2"/>
    <w:pPr>
      <w:ind w:left="1418"/>
    </w:pPr>
  </w:style>
  <w:style w:type="paragraph" w:styleId="List5">
    <w:name w:val="List 5"/>
    <w:basedOn w:val="List4"/>
    <w:semiHidden/>
    <w:rsid w:val="00F706B2"/>
    <w:pPr>
      <w:ind w:left="1702"/>
    </w:pPr>
  </w:style>
  <w:style w:type="paragraph" w:customStyle="1" w:styleId="EditorsNote">
    <w:name w:val="Editor's Note"/>
    <w:basedOn w:val="NO"/>
    <w:rsid w:val="00F706B2"/>
    <w:rPr>
      <w:color w:val="FF0000"/>
    </w:rPr>
  </w:style>
  <w:style w:type="paragraph" w:styleId="List">
    <w:name w:val="List"/>
    <w:basedOn w:val="Normal"/>
    <w:semiHidden/>
    <w:rsid w:val="00F706B2"/>
    <w:pPr>
      <w:ind w:left="568" w:hanging="284"/>
    </w:pPr>
  </w:style>
  <w:style w:type="paragraph" w:styleId="ListBullet">
    <w:name w:val="List Bullet"/>
    <w:basedOn w:val="List"/>
    <w:semiHidden/>
    <w:rsid w:val="00F706B2"/>
  </w:style>
  <w:style w:type="paragraph" w:styleId="ListBullet4">
    <w:name w:val="List Bullet 4"/>
    <w:basedOn w:val="ListBullet3"/>
    <w:semiHidden/>
    <w:rsid w:val="00F706B2"/>
    <w:pPr>
      <w:ind w:left="1418"/>
    </w:pPr>
  </w:style>
  <w:style w:type="paragraph" w:styleId="ListBullet5">
    <w:name w:val="List Bullet 5"/>
    <w:basedOn w:val="ListBullet4"/>
    <w:semiHidden/>
    <w:rsid w:val="00F706B2"/>
    <w:pPr>
      <w:ind w:left="1702"/>
    </w:pPr>
  </w:style>
  <w:style w:type="paragraph" w:customStyle="1" w:styleId="B2">
    <w:name w:val="B2"/>
    <w:basedOn w:val="List2"/>
    <w:rsid w:val="00F706B2"/>
  </w:style>
  <w:style w:type="paragraph" w:customStyle="1" w:styleId="B3">
    <w:name w:val="B3"/>
    <w:basedOn w:val="List3"/>
    <w:rsid w:val="00F706B2"/>
  </w:style>
  <w:style w:type="paragraph" w:customStyle="1" w:styleId="B4">
    <w:name w:val="B4"/>
    <w:basedOn w:val="List4"/>
    <w:rsid w:val="00F706B2"/>
  </w:style>
  <w:style w:type="paragraph" w:customStyle="1" w:styleId="B5">
    <w:name w:val="B5"/>
    <w:basedOn w:val="List5"/>
    <w:rsid w:val="00F706B2"/>
  </w:style>
  <w:style w:type="paragraph" w:customStyle="1" w:styleId="ZTD">
    <w:name w:val="ZTD"/>
    <w:basedOn w:val="ZB"/>
    <w:rsid w:val="00F706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53400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D996A-56C6-44D0-BFAC-D178C09A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MCC:CR0092r1</cp:lastModifiedBy>
  <cp:revision>4</cp:revision>
  <cp:lastPrinted>2002-04-23T00:10:00Z</cp:lastPrinted>
  <dcterms:created xsi:type="dcterms:W3CDTF">2020-06-27T10:58:00Z</dcterms:created>
  <dcterms:modified xsi:type="dcterms:W3CDTF">2020-07-30T21:12:00Z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