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60968B78"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7"/>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7"/>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7"/>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7"/>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7"/>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7"/>
        <w:numPr>
          <w:ilvl w:val="1"/>
          <w:numId w:val="2"/>
        </w:numPr>
        <w:rPr>
          <w:sz w:val="20"/>
          <w:szCs w:val="22"/>
        </w:rPr>
      </w:pPr>
      <w:r>
        <w:rPr>
          <w:sz w:val="20"/>
          <w:szCs w:val="22"/>
        </w:rPr>
        <w:t>Proposals 16, 17, 18, 19, 20</w:t>
      </w:r>
    </w:p>
    <w:p w14:paraId="110BD4D9" w14:textId="4B9336C0" w:rsidR="0081075A" w:rsidRDefault="0081075A" w:rsidP="00387C8E">
      <w:pPr>
        <w:pStyle w:val="a7"/>
        <w:numPr>
          <w:ilvl w:val="0"/>
          <w:numId w:val="2"/>
        </w:numPr>
        <w:rPr>
          <w:sz w:val="20"/>
          <w:szCs w:val="22"/>
        </w:rPr>
      </w:pPr>
      <w:r>
        <w:rPr>
          <w:sz w:val="20"/>
          <w:szCs w:val="22"/>
        </w:rPr>
        <w:t>Low priority:</w:t>
      </w:r>
    </w:p>
    <w:p w14:paraId="62FCA768" w14:textId="69C9378A" w:rsidR="0081075A" w:rsidRDefault="00504A9F" w:rsidP="00387C8E">
      <w:pPr>
        <w:pStyle w:val="a7"/>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Access: Direct DL/UL access between UE and gNB</w:t>
      </w:r>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af6"/>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a7"/>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a7"/>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r>
              <w:rPr>
                <w:lang w:val="en-US"/>
              </w:rPr>
              <w:t>ZTE,Sanechips</w:t>
            </w:r>
          </w:p>
        </w:tc>
        <w:tc>
          <w:tcPr>
            <w:tcW w:w="1350" w:type="dxa"/>
          </w:tcPr>
          <w:p w14:paraId="125C2B60" w14:textId="332A60CA" w:rsidR="00535344" w:rsidRDefault="00535344" w:rsidP="00535344">
            <w:pPr>
              <w:rPr>
                <w:lang w:val="en-US"/>
              </w:rPr>
            </w:pPr>
            <w:r>
              <w:rPr>
                <w:lang w:val="en-US"/>
              </w:rPr>
              <w:t xml:space="preserve"> Y with wording change for the note</w:t>
            </w:r>
          </w:p>
        </w:tc>
        <w:tc>
          <w:tcPr>
            <w:tcW w:w="6801" w:type="dxa"/>
          </w:tcPr>
          <w:p w14:paraId="74F8C48F" w14:textId="7BCFE1E2" w:rsidR="00535344" w:rsidRDefault="00535344" w:rsidP="00535344">
            <w:pPr>
              <w:rPr>
                <w:lang w:val="en-US"/>
              </w:rPr>
            </w:pPr>
            <w:r>
              <w:rPr>
                <w:lang w:val="en-US"/>
              </w:rPr>
              <w:t>Prefer to change the note to :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lastRenderedPageBreak/>
              <w:t>For FR2, “2Rx antennas” means 2 Rx branches, without saying anything 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等线" w:hint="eastAsia"/>
                <w:lang w:val="en-US" w:eastAsia="zh-CN"/>
              </w:rPr>
              <w:lastRenderedPageBreak/>
              <w:t>C</w:t>
            </w:r>
            <w:r>
              <w:rPr>
                <w:rFonts w:eastAsia="等线"/>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等线"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等线"/>
                <w:lang w:val="en-US" w:eastAsia="zh-CN"/>
              </w:rPr>
            </w:pPr>
            <w:r>
              <w:rPr>
                <w:lang w:val="en-US" w:eastAsia="ko-KR"/>
              </w:rPr>
              <w:t>DOCOMO</w:t>
            </w:r>
          </w:p>
        </w:tc>
        <w:tc>
          <w:tcPr>
            <w:tcW w:w="1350" w:type="dxa"/>
          </w:tcPr>
          <w:p w14:paraId="4BF354B3" w14:textId="1D427170" w:rsidR="00306623" w:rsidRDefault="00306623" w:rsidP="00306623">
            <w:pPr>
              <w:rPr>
                <w:rFonts w:eastAsia="等线"/>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hint="eastAsia"/>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bl>
    <w:p w14:paraId="4896B249" w14:textId="1123DBEB" w:rsidR="001941AA" w:rsidRDefault="001941AA" w:rsidP="001941AA"/>
    <w:p w14:paraId="469703CA" w14:textId="77777777" w:rsidR="000103E3" w:rsidRPr="00083E08" w:rsidRDefault="000103E3" w:rsidP="000103E3">
      <w:pPr>
        <w:pStyle w:val="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af6"/>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one comment proposed to encourage study of periodicities in the range 50 ms to 500 ms.</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7" w:author="Johan Bergman" w:date="2020-06-14T22:43:00Z">
        <w:r w:rsidRPr="008E2A2D" w:rsidDel="00AB38C3">
          <w:delText>[</w:delText>
        </w:r>
      </w:del>
      <w:r w:rsidRPr="008E2A2D">
        <w:t>100 ms</w:t>
      </w:r>
      <w:del w:id="28" w:author="Johan Bergman" w:date="2020-06-14T22:43:00Z">
        <w:r w:rsidRPr="008E2A2D" w:rsidDel="00AB38C3">
          <w:delText>]</w:delText>
        </w:r>
      </w:del>
      <w:r w:rsidRPr="008E2A2D">
        <w:t xml:space="preserve"> should be considered (other values </w:t>
      </w:r>
      <w:ins w:id="29" w:author="Johan Bergman" w:date="2020-06-14T22:44:00Z">
        <w:r w:rsidRPr="008E2A2D">
          <w:t>between 50</w:t>
        </w:r>
      </w:ins>
      <w:ins w:id="30" w:author="Johan Bergman" w:date="2020-06-15T00:21:00Z">
        <w:r>
          <w:t xml:space="preserve"> </w:t>
        </w:r>
      </w:ins>
      <w:ins w:id="31" w:author="Johan Bergman" w:date="2020-06-14T22:44:00Z">
        <w:r w:rsidRPr="008E2A2D">
          <w:t>ms and 500</w:t>
        </w:r>
      </w:ins>
      <w:ins w:id="32" w:author="Johan Bergman" w:date="2020-06-15T00:21:00Z">
        <w:r>
          <w:t xml:space="preserve"> </w:t>
        </w:r>
      </w:ins>
      <w:ins w:id="33" w:author="Johan Bergman" w:date="2020-06-14T22:44:00Z">
        <w:r w:rsidRPr="008E2A2D">
          <w:t xml:space="preserve">ms </w:t>
        </w:r>
      </w:ins>
      <w:r w:rsidRPr="008E2A2D">
        <w:t xml:space="preserve">are </w:t>
      </w:r>
      <w:del w:id="34" w:author="Johan Bergman" w:date="2020-06-14T22:44:00Z">
        <w:r w:rsidRPr="008E2A2D" w:rsidDel="00AB38C3">
          <w:delText>not precluded</w:delText>
        </w:r>
      </w:del>
      <w:ins w:id="35" w:author="Johan Bergman" w:date="2020-06-14T22:44:00Z">
        <w:r w:rsidRPr="008E2A2D">
          <w:t>encouraged</w:t>
        </w:r>
      </w:ins>
      <w:r w:rsidRPr="008E2A2D">
        <w:t>).</w:t>
      </w:r>
    </w:p>
    <w:tbl>
      <w:tblPr>
        <w:tblStyle w:val="af6"/>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69FD3F4E" w:rsidR="00541A5F" w:rsidRDefault="00541A5F" w:rsidP="00541A5F">
            <w:pPr>
              <w:rPr>
                <w:lang w:val="en-US"/>
              </w:rPr>
            </w:pPr>
            <w:r>
              <w:rPr>
                <w:lang w:val="en-US"/>
              </w:rPr>
              <w:t>As an aside, we had understood that proposals 14 and 15 applied just to the evaluation methodology for UE power saving. However the chairman’s notes don’t have a restriction to the UE power saving evaluation methodology and hence proposal 14 and 15 seem to be applicable to the whole RedCap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r>
              <w:rPr>
                <w:lang w:val="en-US"/>
              </w:rPr>
              <w:t>ZTE,Sanechips</w:t>
            </w:r>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ms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lastRenderedPageBreak/>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等线" w:hint="eastAsia"/>
                <w:lang w:val="en-US" w:eastAsia="zh-CN"/>
              </w:rPr>
              <w:lastRenderedPageBreak/>
              <w:t>C</w:t>
            </w:r>
            <w:r>
              <w:rPr>
                <w:rFonts w:eastAsia="等线"/>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等线"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等线"/>
                <w:lang w:val="en-US" w:eastAsia="zh-CN"/>
              </w:rPr>
            </w:pPr>
            <w:r>
              <w:rPr>
                <w:lang w:val="en-US" w:eastAsia="ko-KR"/>
              </w:rPr>
              <w:t>DOCOMO</w:t>
            </w:r>
          </w:p>
        </w:tc>
        <w:tc>
          <w:tcPr>
            <w:tcW w:w="1350" w:type="dxa"/>
          </w:tcPr>
          <w:p w14:paraId="48DC6E4A" w14:textId="4F7534A4" w:rsidR="00306623" w:rsidRDefault="00306623" w:rsidP="00306623">
            <w:pPr>
              <w:rPr>
                <w:rFonts w:eastAsia="等线"/>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hint="eastAsia"/>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bl>
    <w:p w14:paraId="27B87F52" w14:textId="77777777" w:rsidR="000103E3" w:rsidRDefault="000103E3" w:rsidP="001941AA"/>
    <w:p w14:paraId="1B686E57" w14:textId="77777777" w:rsidR="00E240A1" w:rsidRPr="00083E08" w:rsidRDefault="00E240A1" w:rsidP="00E240A1">
      <w:pPr>
        <w:pStyle w:val="2"/>
      </w:pPr>
      <w:bookmarkStart w:id="36" w:name="_Toc42034914"/>
      <w:bookmarkStart w:id="37" w:name="_Toc42476877"/>
      <w:r w:rsidRPr="00083E08">
        <w:t>6.3</w:t>
      </w:r>
      <w:r w:rsidRPr="00083E08">
        <w:tab/>
        <w:t>Evaluation methodology for coverage recovery</w:t>
      </w:r>
      <w:bookmarkEnd w:id="36"/>
      <w:bookmarkEnd w:id="37"/>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RedCap SI adopt CE SI agreements</w:t>
      </w:r>
      <w:r w:rsidR="002E1B29">
        <w:rPr>
          <w:b/>
          <w:bCs/>
        </w:rPr>
        <w:t xml:space="preserve"> CE03 and CE11</w:t>
      </w:r>
      <w:r>
        <w:rPr>
          <w:b/>
          <w:bCs/>
        </w:rPr>
        <w:t xml:space="preserve"> regarding overall coverage evaluation methodology</w:t>
      </w:r>
      <w:r w:rsidR="00700225">
        <w:rPr>
          <w:b/>
          <w:bCs/>
        </w:rPr>
        <w:t>?</w:t>
      </w:r>
    </w:p>
    <w:tbl>
      <w:tblPr>
        <w:tblStyle w:val="af6"/>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cov enh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Agree with Futurewei</w:t>
            </w:r>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RedCap</w:t>
            </w:r>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RedCap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RedCap work. </w:t>
            </w:r>
          </w:p>
          <w:p w14:paraId="73880519" w14:textId="297B62FD" w:rsidR="001A40E1" w:rsidRDefault="00AA3FAE" w:rsidP="00D408A7">
            <w:pPr>
              <w:rPr>
                <w:lang w:val="en-US"/>
              </w:rPr>
            </w:pPr>
            <w:r>
              <w:rPr>
                <w:lang w:val="en-US"/>
              </w:rPr>
              <w:t xml:space="preserve">We are Ok with Futurewei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It is good to align the baseline CE methodology as much as possible so that we can reuse the findings from the CE study when applicable. However, we expect RedCap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The basic CE SI methodology (CE03) to determine coverage is to use a link budget with a required SINR that is determined by LLS. This seems to be a standard way of determining coverage and we don’t see why or how we would deviate from this in RedCap</w:t>
            </w:r>
          </w:p>
        </w:tc>
      </w:tr>
      <w:tr w:rsidR="00535344" w14:paraId="5DF723D2" w14:textId="77777777" w:rsidTr="00740C25">
        <w:tc>
          <w:tcPr>
            <w:tcW w:w="1480" w:type="dxa"/>
          </w:tcPr>
          <w:p w14:paraId="1654A97E" w14:textId="3C4CE400" w:rsidR="00535344" w:rsidRDefault="00535344" w:rsidP="00535344">
            <w:pPr>
              <w:rPr>
                <w:lang w:val="en-US"/>
              </w:rPr>
            </w:pPr>
            <w:r>
              <w:rPr>
                <w:lang w:val="en-US"/>
              </w:rPr>
              <w:t>ZTE,Sanechips</w:t>
            </w:r>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宋体"/>
                <w:lang w:eastAsia="x-none"/>
              </w:rPr>
            </w:pPr>
            <w:r w:rsidRPr="00A176E6">
              <w:rPr>
                <w:rFonts w:eastAsia="宋体"/>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lastRenderedPageBreak/>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宋体"/>
                <w:lang w:eastAsia="zh-CN"/>
              </w:rPr>
            </w:pPr>
            <w:r w:rsidRPr="00A176E6">
              <w:rPr>
                <w:rFonts w:eastAsia="宋体"/>
                <w:lang w:eastAsia="zh-CN"/>
              </w:rPr>
              <w:t>Note: as</w:t>
            </w:r>
            <w:r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宋体"/>
                <w:strike/>
                <w:color w:val="FF0000"/>
                <w:lang w:eastAsia="x-none"/>
              </w:rPr>
            </w:pPr>
            <w:r w:rsidRPr="00F83128">
              <w:rPr>
                <w:rFonts w:eastAsia="宋体"/>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宋体"/>
                <w:strike/>
                <w:color w:val="FF0000"/>
                <w:lang w:eastAsia="zh-CN"/>
              </w:rPr>
            </w:pPr>
            <w:r w:rsidRPr="00F83128">
              <w:rPr>
                <w:rFonts w:eastAsia="宋体"/>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宋体"/>
                <w:lang w:val="en-US" w:eastAsia="zh-CN"/>
              </w:rPr>
            </w:pPr>
            <w:r w:rsidRPr="00A176E6">
              <w:rPr>
                <w:rFonts w:eastAsia="宋体"/>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t>In general we think this very high level of coverage evaluation methodology can be used .  But we don’t think SLS is needed ,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lastRenderedPageBreak/>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9049BCA" w14:textId="7052F95F" w:rsidR="00792180" w:rsidRDefault="00792180" w:rsidP="00792180">
            <w:pPr>
              <w:rPr>
                <w:lang w:val="en-US"/>
              </w:rPr>
            </w:pPr>
            <w:r>
              <w:rPr>
                <w:rFonts w:eastAsia="等线" w:hint="eastAsia"/>
                <w:lang w:val="en-US" w:eastAsia="zh-CN"/>
              </w:rPr>
              <w:t>Y</w:t>
            </w:r>
          </w:p>
        </w:tc>
        <w:tc>
          <w:tcPr>
            <w:tcW w:w="6801" w:type="dxa"/>
          </w:tcPr>
          <w:p w14:paraId="40D98E71" w14:textId="3A35AF2B" w:rsidR="00792180" w:rsidRDefault="00792180" w:rsidP="00792180">
            <w:pPr>
              <w:rPr>
                <w:lang w:val="en-US"/>
              </w:rPr>
            </w:pPr>
            <w:r>
              <w:rPr>
                <w:rFonts w:eastAsia="等线" w:hint="eastAsia"/>
                <w:lang w:val="en-US" w:eastAsia="zh-CN"/>
              </w:rPr>
              <w:t>A</w:t>
            </w:r>
            <w:r>
              <w:rPr>
                <w:rFonts w:eastAsia="等线"/>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等线"/>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等线"/>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with CE SI to use/refer their result for RedCap.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hint="eastAsia"/>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hint="eastAsia"/>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hint="eastAsia"/>
                <w:lang w:val="en-US" w:eastAsia="ja-JP"/>
              </w:rPr>
            </w:pPr>
            <w:r>
              <w:rPr>
                <w:rFonts w:eastAsia="Yu Mincho"/>
                <w:lang w:val="en-US" w:eastAsia="ja-JP"/>
              </w:rPr>
              <w:t>The coverage evaluation methodology is commonly used. Good to be agreed on to make evaluation. Other change can be considered later.</w:t>
            </w:r>
          </w:p>
        </w:tc>
      </w:tr>
    </w:tbl>
    <w:p w14:paraId="3DCFF383" w14:textId="77777777" w:rsidR="005D075C" w:rsidRDefault="005D075C" w:rsidP="001941AA"/>
    <w:p w14:paraId="2035F6E8" w14:textId="09FEF745" w:rsidR="003839F8" w:rsidRDefault="003839F8" w:rsidP="003839F8">
      <w:r>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RedCap SI includes study of techniques such as reduced UE bandwidth, it may be useful to additionally include PDCCH, PBCH, SIB1, Msg2 and Msg4 in the RedCap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RedCap SI </w:t>
      </w:r>
      <w:r w:rsidR="00635894">
        <w:rPr>
          <w:b/>
          <w:bCs/>
        </w:rPr>
        <w:t xml:space="preserve">coverage evaluation </w:t>
      </w:r>
      <w:r w:rsidR="0001020F">
        <w:rPr>
          <w:b/>
          <w:bCs/>
        </w:rPr>
        <w:t>include PDSCH, PUCCH, PUSCH and Msg3 and in addition include PDCCH, PBCH, SIB1, Msg2 and Msg4?</w:t>
      </w:r>
    </w:p>
    <w:tbl>
      <w:tblPr>
        <w:tblStyle w:val="af6"/>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r w:rsidR="00780149">
              <w:rPr>
                <w:lang w:val="en-US"/>
              </w:rPr>
              <w:t xml:space="preserve">RedCap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hannels that RedCap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can minimize RedCap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RedCap considering that reducing number of UE antennas is a cost/complexity reduction technique to be studied. So, we think there is a value in including </w:t>
            </w:r>
            <w:r w:rsidRPr="00A175CD">
              <w:rPr>
                <w:lang w:val="en-US"/>
              </w:rPr>
              <w:t>PDCCH, PBCH, SIB1, Msg2 and Msg4</w:t>
            </w:r>
            <w:r>
              <w:rPr>
                <w:lang w:val="en-US"/>
              </w:rPr>
              <w:t>, in addition to PDSCH, which is already considered in the CE study. In FR2, it is important to assess the performance loss in PBCH and PDCCH when the UE maximum bandwidth is 50 MHz.</w:t>
            </w:r>
          </w:p>
          <w:p w14:paraId="6AFACAF7" w14:textId="73C29ED5" w:rsidR="0000741F" w:rsidRDefault="0000741F" w:rsidP="0000741F">
            <w:pPr>
              <w:rPr>
                <w:lang w:val="en-US"/>
              </w:rPr>
            </w:pPr>
            <w:r>
              <w:rPr>
                <w:lang w:val="en-US"/>
              </w:rPr>
              <w:lastRenderedPageBreak/>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lastRenderedPageBreak/>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RedCap refers to results in the CE SI, we would still consider those results to have been evaluated in RedCap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r>
              <w:rPr>
                <w:lang w:val="en-US"/>
              </w:rPr>
              <w:t>ZTE,Sanechips</w:t>
            </w:r>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RedCap SI the target is to recover the coverage due to cost/complexity reduction. Therefore FFS is needed to see if </w:t>
            </w:r>
            <w:r>
              <w:t>PDCCH, PBCH, SIB1, Msg2 and Msg4  need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Therefore, we support the evaluation planned for PDSCH, PUCCH, PUSCH, msg3, PDCCH, SIB1, msg2 and msg4. We don’t think the evaluation for PBCH is needed, if RedCap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9D863FA" w14:textId="0B46EF30" w:rsidR="00792180" w:rsidRDefault="00792180" w:rsidP="00792180">
            <w:pPr>
              <w:rPr>
                <w:lang w:val="en-US"/>
              </w:rPr>
            </w:pPr>
            <w:r>
              <w:rPr>
                <w:rFonts w:eastAsia="等线" w:hint="eastAsia"/>
                <w:lang w:val="en-US" w:eastAsia="zh-CN"/>
              </w:rPr>
              <w:t>Y</w:t>
            </w:r>
          </w:p>
        </w:tc>
        <w:tc>
          <w:tcPr>
            <w:tcW w:w="6801" w:type="dxa"/>
          </w:tcPr>
          <w:p w14:paraId="4D803454" w14:textId="3B52B5BE" w:rsidR="00792180" w:rsidRDefault="00792180" w:rsidP="00792180">
            <w:pPr>
              <w:rPr>
                <w:lang w:val="en-US"/>
              </w:rPr>
            </w:pPr>
            <w:r>
              <w:rPr>
                <w:rFonts w:eastAsia="等线" w:hint="eastAsia"/>
                <w:lang w:val="en-US" w:eastAsia="zh-CN"/>
              </w:rPr>
              <w:t>A</w:t>
            </w:r>
            <w:r>
              <w:rPr>
                <w:rFonts w:eastAsia="等线"/>
                <w:lang w:val="en-US" w:eastAsia="zh-CN"/>
              </w:rPr>
              <w:t>s ZTE’s comments, the two study have two different targets, due to the cost/complexity reduction, we need to consider more evaluaition.</w:t>
            </w:r>
          </w:p>
        </w:tc>
      </w:tr>
      <w:tr w:rsidR="00306623" w14:paraId="777C878E" w14:textId="77777777" w:rsidTr="00740C25">
        <w:tc>
          <w:tcPr>
            <w:tcW w:w="1480" w:type="dxa"/>
          </w:tcPr>
          <w:p w14:paraId="2D2F0272" w14:textId="16C7844E" w:rsidR="00306623" w:rsidRDefault="00306623" w:rsidP="00306623">
            <w:pPr>
              <w:rPr>
                <w:rFonts w:eastAsia="等线"/>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等线"/>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等线"/>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RedCap as it is not clear which CH is the bottleneck in RedCap</w:t>
            </w:r>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hint="eastAsia"/>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hint="eastAsia"/>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hint="eastAsia"/>
                <w:lang w:val="en-US" w:eastAsia="ja-JP"/>
              </w:rPr>
            </w:pPr>
            <w:r>
              <w:rPr>
                <w:rFonts w:eastAsia="Yu Mincho"/>
                <w:lang w:val="en-US" w:eastAsia="ja-JP"/>
              </w:rPr>
              <w:t xml:space="preserve">We see some independent evaluation is needed for the SI dealing with complexity reduction. </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RedCap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af6"/>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r w:rsidR="001464FD">
              <w:rPr>
                <w:lang w:val="en-US"/>
              </w:rPr>
              <w:t>RedCap</w:t>
            </w:r>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The target data rates are fine for reference UEs. But target data rates should be lower for RedCap UEs. Cell edge data rate is determined by the spectral efficiency achievable at cell edge. We think the same cell-edge spectral efficiency can be assumed for RedCap. However, for cell-edge data rates, adjustments shall be made to account for RedCap UEs having reduced bandwidth. Also if RedCap UEs have reduced number of Rx antennas, it cannot be expected that the RedCap UEs will have the same spectral efficiency as the reference UE.</w:t>
            </w:r>
          </w:p>
          <w:p w14:paraId="416745DE" w14:textId="77777777" w:rsidR="0000741F" w:rsidRDefault="0000741F" w:rsidP="0000741F">
            <w:pPr>
              <w:rPr>
                <w:lang w:val="en-US"/>
              </w:rPr>
            </w:pPr>
            <w:r>
              <w:rPr>
                <w:lang w:val="en-US"/>
              </w:rPr>
              <w:t>Furthermore, the CE agreements include several scenarios. For FR1, the RedCap study can focus on Urban and Rural scenarios. For FR2, the RedCap study can focus on Indoor and Urban scenarios.</w:t>
            </w:r>
          </w:p>
          <w:p w14:paraId="080EA483" w14:textId="31F0375B" w:rsidR="0000741F" w:rsidRDefault="0000741F" w:rsidP="0000741F">
            <w:pPr>
              <w:rPr>
                <w:lang w:val="en-US"/>
              </w:rPr>
            </w:pPr>
            <w:r>
              <w:rPr>
                <w:lang w:val="en-US"/>
              </w:rPr>
              <w:lastRenderedPageBreak/>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lastRenderedPageBreak/>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CE01: Although the CE01 data rates are different to the “reference bits rates” in the Redcap SID, we are OK studying the data rates at CE01 (assuming that the coverage recovery needed at the CE01 data rates is similar to that required at the reference bit rates from the RedCap SID).</w:t>
            </w:r>
          </w:p>
          <w:p w14:paraId="006BA05D" w14:textId="29FB2C23" w:rsidR="00173E8D" w:rsidRDefault="00173E8D" w:rsidP="00173E8D">
            <w:pPr>
              <w:rPr>
                <w:lang w:val="en-US"/>
              </w:rPr>
            </w:pPr>
            <w:r>
              <w:rPr>
                <w:lang w:val="en-US"/>
              </w:rPr>
              <w:t>CE14: We are OK evaluating PUSCH at an iBLER of 10% but think that a higher iBLER could be a more optimal operating point in a coverage limited situation. As long as “before” and “after” coverage recovery are simulated at the same iBLER,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r>
              <w:rPr>
                <w:lang w:val="en-US"/>
              </w:rPr>
              <w:t>ZTE,Sanechips</w:t>
            </w:r>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 xml:space="preserve">This two study items has two different targets, different use case (eMBB+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For CE1 , we think first discuss the scenario for the RedCap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zh-CN"/>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CE14 and CE15 target different scenario and data rate , as compare with RedCap SI. We may adopt some of the parameter in the agreement,  but certain some very important parameter, for example , reference data rates etc , will be different.   FFS if eMBB/VoIP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RedCap, and thus can be different from that assumed in the CE study. </w:t>
            </w:r>
          </w:p>
          <w:p w14:paraId="09C2B0C9" w14:textId="6E76A75F" w:rsidR="006360B9" w:rsidRPr="006360B9" w:rsidRDefault="006360B9" w:rsidP="006360B9">
            <w:pPr>
              <w:tabs>
                <w:tab w:val="left" w:pos="495"/>
              </w:tabs>
              <w:rPr>
                <w:lang w:val="en-US"/>
              </w:rPr>
            </w:pPr>
            <w:r>
              <w:rPr>
                <w:lang w:val="en-US"/>
              </w:rPr>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RedCap.</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4E39A27" w14:textId="3E6BF793" w:rsidR="00792180" w:rsidRDefault="00792180" w:rsidP="00792180">
            <w:pPr>
              <w:rPr>
                <w:lang w:val="en-US"/>
              </w:rPr>
            </w:pPr>
            <w:r>
              <w:rPr>
                <w:rFonts w:eastAsia="等线" w:hint="eastAsia"/>
                <w:lang w:val="en-US" w:eastAsia="zh-CN"/>
              </w:rPr>
              <w:t>Y</w:t>
            </w:r>
          </w:p>
        </w:tc>
        <w:tc>
          <w:tcPr>
            <w:tcW w:w="6801" w:type="dxa"/>
          </w:tcPr>
          <w:p w14:paraId="6A9DB29E" w14:textId="4F05A442" w:rsidR="00792180" w:rsidRDefault="00792180" w:rsidP="00792180">
            <w:pPr>
              <w:rPr>
                <w:lang w:val="en-US"/>
              </w:rPr>
            </w:pPr>
            <w:r w:rsidRPr="00AF5C63">
              <w:rPr>
                <w:rFonts w:eastAsia="等线" w:hint="eastAsia"/>
                <w:lang w:val="en-US" w:eastAsia="zh-CN"/>
              </w:rPr>
              <w:t>B</w:t>
            </w:r>
            <w:r w:rsidRPr="00AF5C63">
              <w:rPr>
                <w:rFonts w:eastAsia="等线"/>
                <w:lang w:val="en-US" w:eastAsia="zh-CN"/>
              </w:rPr>
              <w:t>ut target data rates can not meet all our use case.</w:t>
            </w:r>
            <w:r>
              <w:rPr>
                <w:rFonts w:eastAsia="等线"/>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等线"/>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等线"/>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If the evaluation scenarios are agreed to be same as CE SI, we are fine to adopt CE01 for RedCap.</w:t>
            </w:r>
          </w:p>
          <w:p w14:paraId="171B712B" w14:textId="77777777" w:rsidR="00306623" w:rsidRDefault="00306623" w:rsidP="00306623">
            <w:pPr>
              <w:rPr>
                <w:rFonts w:eastAsia="Yu Mincho"/>
                <w:bCs/>
                <w:iCs/>
                <w:lang w:val="en-US" w:eastAsia="ja-JP"/>
              </w:rPr>
            </w:pPr>
            <w:r>
              <w:rPr>
                <w:rFonts w:eastAsia="Yu Mincho"/>
                <w:bCs/>
                <w:iCs/>
                <w:lang w:val="en-US" w:eastAsia="ja-JP"/>
              </w:rPr>
              <w:lastRenderedPageBreak/>
              <w:t>CE14: If the evaluation scenarios are agreed to be same as CE SI, we are fine to adopt 2% rBLER.</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等线"/>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hint="eastAsia"/>
                <w:lang w:val="en-US" w:eastAsia="ja-JP"/>
              </w:rPr>
            </w:pPr>
            <w:r>
              <w:rPr>
                <w:rFonts w:eastAsia="Yu Mincho"/>
                <w:lang w:val="en-US" w:eastAsia="ja-JP"/>
              </w:rPr>
              <w:lastRenderedPageBreak/>
              <w:t>OPPO</w:t>
            </w:r>
          </w:p>
        </w:tc>
        <w:tc>
          <w:tcPr>
            <w:tcW w:w="1350" w:type="dxa"/>
          </w:tcPr>
          <w:p w14:paraId="14D43A18" w14:textId="4025034B" w:rsidR="0060558A" w:rsidRDefault="00C9553D" w:rsidP="00306623">
            <w:pPr>
              <w:rPr>
                <w:rFonts w:eastAsia="Yu Mincho" w:hint="eastAsia"/>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hint="eastAsia"/>
                <w:bCs/>
                <w:iCs/>
                <w:lang w:val="en-US" w:eastAsia="ja-JP"/>
              </w:rPr>
            </w:pPr>
            <w:r>
              <w:rPr>
                <w:rFonts w:eastAsia="Yu Mincho"/>
                <w:bCs/>
                <w:iCs/>
                <w:lang w:val="en-US" w:eastAsia="ja-JP"/>
              </w:rPr>
              <w:t>No for CE01&amp;17, others may need some modification. The scenarios are different.</w:t>
            </w:r>
          </w:p>
        </w:tc>
      </w:tr>
    </w:tbl>
    <w:p w14:paraId="327A6378" w14:textId="1DF29432" w:rsidR="00A87BA1" w:rsidRDefault="00A87BA1" w:rsidP="001941AA"/>
    <w:p w14:paraId="78FF74CA" w14:textId="12C36775" w:rsidR="005D7811" w:rsidRDefault="005D7811" w:rsidP="005D7811">
      <w:r>
        <w:t>Related to common PUSCH/PUCCH link</w:t>
      </w:r>
      <w:bookmarkStart w:id="38" w:name="_Hlk43081789"/>
      <w:r w:rsidR="00A64F4C">
        <w:t>-level</w:t>
      </w:r>
      <w:bookmarkEnd w:id="38"/>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RedCap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af6"/>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Wait for RedCap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RedCap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a7"/>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a7"/>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a7"/>
              <w:numPr>
                <w:ilvl w:val="0"/>
                <w:numId w:val="34"/>
              </w:numPr>
              <w:rPr>
                <w:sz w:val="20"/>
                <w:szCs w:val="20"/>
                <w:lang w:val="en-US"/>
              </w:rPr>
            </w:pPr>
            <w:r w:rsidRPr="003C7CAC">
              <w:rPr>
                <w:sz w:val="20"/>
                <w:szCs w:val="20"/>
                <w:lang w:val="en-US"/>
              </w:rPr>
              <w:t>“Frame structure for TDD“: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a7"/>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a7"/>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a7"/>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There are many permutations and combinations in CE04 and CE16. The RedCap study is about complexity reduction, where one aspect is coverage recovery. Hence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r>
              <w:rPr>
                <w:lang w:val="en-US"/>
              </w:rPr>
              <w:t>ZTE,Sanechips</w:t>
            </w:r>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rate , as compare with RedCap SI. We may adopt some of the parameter in the agreement,  but certain some very important parameter, for example , reference data rates etc , will be different.    </w:t>
            </w:r>
          </w:p>
          <w:p w14:paraId="56F8716D" w14:textId="77777777" w:rsidR="00535344" w:rsidRDefault="00535344" w:rsidP="00535344">
            <w:pPr>
              <w:rPr>
                <w:lang w:val="en-US"/>
              </w:rPr>
            </w:pPr>
            <w:r>
              <w:rPr>
                <w:lang w:val="en-US"/>
              </w:rPr>
              <w:lastRenderedPageBreak/>
              <w:t>We think indoor/indoor hotspot scenarios need to be included in the current CE4 agreement for RedCap. Some of the parameter can be simplified.</w:t>
            </w:r>
          </w:p>
          <w:p w14:paraId="1424565D" w14:textId="77777777" w:rsidR="00535344" w:rsidRDefault="00535344" w:rsidP="00535344">
            <w:pPr>
              <w:rPr>
                <w:lang w:val="en-US"/>
              </w:rPr>
            </w:pPr>
            <w:r>
              <w:rPr>
                <w:lang w:val="en-US"/>
              </w:rPr>
              <w:t>BWP/SCS and other details parameter need to discussed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lastRenderedPageBreak/>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For CE04, the BWP bandwidth needs to be adjusted for RedCap,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72" w:type="dxa"/>
          </w:tcPr>
          <w:p w14:paraId="00CEB7B0" w14:textId="30B6DAA4" w:rsidR="00792180" w:rsidRDefault="00792180" w:rsidP="00792180">
            <w:pPr>
              <w:rPr>
                <w:lang w:val="en-US"/>
              </w:rPr>
            </w:pPr>
            <w:r>
              <w:rPr>
                <w:rFonts w:eastAsia="等线" w:hint="eastAsia"/>
                <w:lang w:val="en-US" w:eastAsia="zh-CN"/>
              </w:rPr>
              <w:t>Y</w:t>
            </w:r>
          </w:p>
        </w:tc>
        <w:tc>
          <w:tcPr>
            <w:tcW w:w="6780" w:type="dxa"/>
          </w:tcPr>
          <w:p w14:paraId="1569995B" w14:textId="71EE89D6" w:rsidR="00792180" w:rsidRDefault="00792180" w:rsidP="00792180">
            <w:pPr>
              <w:rPr>
                <w:lang w:val="en-US"/>
              </w:rPr>
            </w:pPr>
            <w:r>
              <w:rPr>
                <w:rFonts w:eastAsia="等线" w:hint="eastAsia"/>
                <w:lang w:val="en-US" w:eastAsia="zh-CN"/>
              </w:rPr>
              <w:t>W</w:t>
            </w:r>
            <w:r>
              <w:rPr>
                <w:rFonts w:eastAsia="等线"/>
                <w:lang w:val="en-US" w:eastAsia="zh-CN"/>
              </w:rPr>
              <w:t>e don’t need to reuse the agreement completely,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等线"/>
                <w:lang w:val="en-US" w:eastAsia="zh-CN"/>
              </w:rPr>
            </w:pPr>
            <w:r>
              <w:rPr>
                <w:rFonts w:eastAsia="Yu Mincho" w:hint="eastAsia"/>
                <w:lang w:val="en-US" w:eastAsia="ja-JP"/>
              </w:rPr>
              <w:t>DOCOMO</w:t>
            </w:r>
          </w:p>
        </w:tc>
        <w:tc>
          <w:tcPr>
            <w:tcW w:w="1372" w:type="dxa"/>
          </w:tcPr>
          <w:p w14:paraId="48452C36" w14:textId="7D9FA08B" w:rsidR="009938D0" w:rsidRDefault="009938D0" w:rsidP="009938D0">
            <w:pPr>
              <w:rPr>
                <w:rFonts w:eastAsia="等线"/>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20BDF7A6" w14:textId="55645F89" w:rsidR="009938D0"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100 MHz BWP for 2.6/4 GHz which would be applicable to reference UE but not to RedCap UE.</w:t>
            </w:r>
          </w:p>
        </w:tc>
      </w:tr>
      <w:tr w:rsidR="00C9553D" w14:paraId="2B9A394E" w14:textId="77777777" w:rsidTr="00173E8D">
        <w:tc>
          <w:tcPr>
            <w:tcW w:w="1479" w:type="dxa"/>
          </w:tcPr>
          <w:p w14:paraId="128735EE" w14:textId="67D6E9F2" w:rsidR="00C9553D" w:rsidRDefault="00C9553D" w:rsidP="009938D0">
            <w:pPr>
              <w:rPr>
                <w:rFonts w:eastAsia="Yu Mincho" w:hint="eastAsia"/>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hint="eastAsia"/>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hint="eastAsia"/>
                <w:bCs/>
                <w:iCs/>
                <w:lang w:val="en-US" w:eastAsia="ja-JP"/>
              </w:rPr>
            </w:pPr>
            <w:r>
              <w:rPr>
                <w:rFonts w:eastAsia="Yu Mincho"/>
                <w:bCs/>
                <w:iCs/>
                <w:lang w:val="en-US" w:eastAsia="ja-JP"/>
              </w:rPr>
              <w:t>We need to down size the parameters. BW and others are higher in CE.</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RedCap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af6"/>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a7"/>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a7"/>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a7"/>
              <w:numPr>
                <w:ilvl w:val="0"/>
                <w:numId w:val="35"/>
              </w:numPr>
              <w:rPr>
                <w:sz w:val="20"/>
                <w:szCs w:val="20"/>
                <w:lang w:val="en-US"/>
              </w:rPr>
            </w:pPr>
            <w:r w:rsidRPr="0000741F">
              <w:rPr>
                <w:sz w:val="20"/>
                <w:szCs w:val="20"/>
                <w:lang w:val="en-US"/>
              </w:rPr>
              <w:t>“Repetitions for PUSCH”: in the eMBB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r>
              <w:rPr>
                <w:lang w:val="en-US"/>
              </w:rPr>
              <w:t>ZTE,Sanechips</w:t>
            </w:r>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AC88AAB" w14:textId="41D07EDE" w:rsidR="00792180" w:rsidRDefault="00792180" w:rsidP="00792180">
            <w:pPr>
              <w:rPr>
                <w:lang w:val="en-US"/>
              </w:rPr>
            </w:pPr>
            <w:r>
              <w:rPr>
                <w:rFonts w:eastAsia="等线"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等线"/>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w:t>
            </w:r>
            <w:r>
              <w:rPr>
                <w:rFonts w:eastAsia="Yu Mincho"/>
                <w:bCs/>
                <w:iCs/>
                <w:lang w:val="en-US" w:eastAsia="ja-JP"/>
              </w:rPr>
              <w:lastRenderedPageBreak/>
              <w:t xml:space="preserve">evaluation scenarios for CE SI (Urban/Rural for FR1 and Indoor/Urban/Suburban for FR2, eMBB and VoIP traffic) can be assumed for RedCap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2Tx (optional) which is not applicable to reference UE or RedCap UE.</w:t>
            </w:r>
          </w:p>
        </w:tc>
      </w:tr>
      <w:tr w:rsidR="00C9553D" w14:paraId="48ABF64F" w14:textId="77777777" w:rsidTr="00FA5B39">
        <w:tc>
          <w:tcPr>
            <w:tcW w:w="1480" w:type="dxa"/>
          </w:tcPr>
          <w:p w14:paraId="5C29A9D1" w14:textId="72162488" w:rsidR="00C9553D" w:rsidRDefault="00C9553D" w:rsidP="009938D0">
            <w:pPr>
              <w:rPr>
                <w:rFonts w:eastAsia="Yu Mincho" w:hint="eastAsia"/>
                <w:lang w:val="en-US" w:eastAsia="ja-JP"/>
              </w:rPr>
            </w:pPr>
            <w:r>
              <w:rPr>
                <w:rFonts w:eastAsia="Yu Mincho"/>
                <w:lang w:val="en-US" w:eastAsia="ja-JP"/>
              </w:rPr>
              <w:lastRenderedPageBreak/>
              <w:t>OPPO</w:t>
            </w:r>
          </w:p>
        </w:tc>
        <w:tc>
          <w:tcPr>
            <w:tcW w:w="1350" w:type="dxa"/>
          </w:tcPr>
          <w:p w14:paraId="4564AC7D" w14:textId="7D36CD49" w:rsidR="00C9553D" w:rsidRDefault="00C9553D" w:rsidP="00C9553D">
            <w:pPr>
              <w:rPr>
                <w:rFonts w:eastAsia="Yu Mincho" w:hint="eastAsia"/>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hint="eastAsia"/>
                <w:bCs/>
                <w:iCs/>
                <w:lang w:val="en-US" w:eastAsia="ja-JP"/>
              </w:rPr>
            </w:pP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RedCap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af6"/>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r>
              <w:rPr>
                <w:lang w:val="en-US"/>
              </w:rPr>
              <w:t>ZTE,Sanechips</w:t>
            </w:r>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5B13A09" w14:textId="5C35B69F" w:rsidR="00792180" w:rsidRDefault="00792180" w:rsidP="00792180">
            <w:pPr>
              <w:rPr>
                <w:lang w:val="en-US"/>
              </w:rPr>
            </w:pPr>
            <w:r>
              <w:rPr>
                <w:rFonts w:eastAsia="等线"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等线"/>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等线"/>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hint="eastAsia"/>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hint="eastAsia"/>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RedCap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af6"/>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r>
              <w:rPr>
                <w:lang w:val="en-US"/>
              </w:rPr>
              <w:t>ZTE,Sanechips</w:t>
            </w:r>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5E6E17" w14:textId="09ADF845" w:rsidR="00792180" w:rsidRDefault="00792180" w:rsidP="00792180">
            <w:pPr>
              <w:rPr>
                <w:lang w:val="en-US"/>
              </w:rPr>
            </w:pPr>
            <w:r>
              <w:rPr>
                <w:rFonts w:eastAsia="等线"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等线"/>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等线"/>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hint="eastAsia"/>
                <w:lang w:val="en-US" w:eastAsia="ja-JP"/>
              </w:rPr>
            </w:pPr>
            <w:r>
              <w:rPr>
                <w:rFonts w:eastAsia="Yu Mincho"/>
                <w:lang w:val="en-US" w:eastAsia="ja-JP"/>
              </w:rPr>
              <w:lastRenderedPageBreak/>
              <w:t>OPPO</w:t>
            </w:r>
          </w:p>
        </w:tc>
        <w:tc>
          <w:tcPr>
            <w:tcW w:w="1350" w:type="dxa"/>
          </w:tcPr>
          <w:p w14:paraId="63A578D7" w14:textId="2FAD8BAB" w:rsidR="00C9553D" w:rsidRDefault="00C9553D" w:rsidP="009938D0">
            <w:pPr>
              <w:rPr>
                <w:rFonts w:eastAsia="Yu Mincho" w:hint="eastAsia"/>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bl>
    <w:p w14:paraId="114DD246" w14:textId="3EEB2E10" w:rsidR="00F25B55" w:rsidRDefault="00F25B55" w:rsidP="001941AA"/>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RedCap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af6"/>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We can draw conclusions from eMBM performance in RedCap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r>
              <w:rPr>
                <w:lang w:val="en-US"/>
              </w:rPr>
              <w:t>ZTE,Sanechips</w:t>
            </w:r>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Need to discuss if VoIP is one required service type for RedCap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07975DC8" w14:textId="3AA1873E" w:rsidR="00792180" w:rsidRDefault="00792180" w:rsidP="00792180">
            <w:pPr>
              <w:rPr>
                <w:lang w:val="en-US"/>
              </w:rPr>
            </w:pPr>
            <w:r>
              <w:rPr>
                <w:rFonts w:eastAsia="等线"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等线"/>
                <w:lang w:val="en-US" w:eastAsia="zh-CN"/>
              </w:rPr>
            </w:pPr>
            <w:r>
              <w:rPr>
                <w:rFonts w:eastAsia="Yu Mincho" w:hint="eastAsia"/>
                <w:lang w:val="en-US" w:eastAsia="ja-JP"/>
              </w:rPr>
              <w:t>DOCOMO</w:t>
            </w:r>
          </w:p>
        </w:tc>
        <w:tc>
          <w:tcPr>
            <w:tcW w:w="1350" w:type="dxa"/>
          </w:tcPr>
          <w:p w14:paraId="5B28BAE3" w14:textId="5BBE1DAD" w:rsidR="009938D0" w:rsidRDefault="009938D0" w:rsidP="009938D0">
            <w:pPr>
              <w:rPr>
                <w:rFonts w:eastAsia="等线"/>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VoIP traffic is adopted for one of the evaluation scenarios for RedCap,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hint="eastAsia"/>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hint="eastAsia"/>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hint="eastAsia"/>
                <w:bCs/>
                <w:iCs/>
                <w:lang w:val="en-US" w:eastAsia="ja-JP"/>
              </w:rPr>
            </w:pPr>
          </w:p>
        </w:tc>
      </w:tr>
    </w:tbl>
    <w:p w14:paraId="01D2B4BD" w14:textId="56B466FB" w:rsidR="004F4924" w:rsidRDefault="004F4924" w:rsidP="001941AA"/>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RedCap SI adopt CE SI agreement</w:t>
      </w:r>
      <w:r>
        <w:rPr>
          <w:b/>
          <w:bCs/>
        </w:rPr>
        <w:t xml:space="preserve"> CE07 regarding PDSCH-specific link-level simulation assumptions for FR1?</w:t>
      </w:r>
    </w:p>
    <w:tbl>
      <w:tblPr>
        <w:tblStyle w:val="af6"/>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Depends on what is included in the FFS of CE07. Apart from the FFS, the other aspects of CE07 seem OK for RedCap</w:t>
            </w:r>
          </w:p>
        </w:tc>
      </w:tr>
      <w:tr w:rsidR="00535344" w14:paraId="7F5E4C2D" w14:textId="77777777" w:rsidTr="00FA5B39">
        <w:tc>
          <w:tcPr>
            <w:tcW w:w="1480" w:type="dxa"/>
          </w:tcPr>
          <w:p w14:paraId="05E580F0" w14:textId="62E86D0E" w:rsidR="00535344" w:rsidRDefault="00535344" w:rsidP="00535344">
            <w:pPr>
              <w:rPr>
                <w:lang w:val="en-US"/>
              </w:rPr>
            </w:pPr>
            <w:r>
              <w:rPr>
                <w:lang w:val="en-US"/>
              </w:rPr>
              <w:t>ZTE,Sanechips</w:t>
            </w:r>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0FF279B" w14:textId="19507B94" w:rsidR="00792180" w:rsidRDefault="00792180" w:rsidP="00792180">
            <w:pPr>
              <w:rPr>
                <w:lang w:val="en-US"/>
              </w:rPr>
            </w:pPr>
            <w:r>
              <w:rPr>
                <w:rFonts w:eastAsia="等线"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等线"/>
                <w:lang w:val="en-US" w:eastAsia="zh-CN"/>
              </w:rPr>
            </w:pPr>
            <w:r>
              <w:rPr>
                <w:rFonts w:eastAsia="等线"/>
                <w:lang w:val="en-US" w:eastAsia="zh-CN"/>
              </w:rPr>
              <w:lastRenderedPageBreak/>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等线"/>
                <w:lang w:val="en-US" w:eastAsia="zh-CN"/>
              </w:rPr>
            </w:pPr>
            <w:r>
              <w:rPr>
                <w:rFonts w:eastAsia="等线"/>
                <w:lang w:val="en-US" w:eastAsia="zh-CN"/>
              </w:rPr>
              <w:t>OPPO</w:t>
            </w:r>
          </w:p>
        </w:tc>
        <w:tc>
          <w:tcPr>
            <w:tcW w:w="1350" w:type="dxa"/>
          </w:tcPr>
          <w:p w14:paraId="6960241D" w14:textId="2368BCC9" w:rsidR="00C9553D" w:rsidRDefault="00C9553D" w:rsidP="00792180">
            <w:pPr>
              <w:rPr>
                <w:rFonts w:eastAsia="Yu Mincho" w:hint="eastAsia"/>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bl>
    <w:p w14:paraId="088D054E" w14:textId="246B9B8B" w:rsidR="00E601C3" w:rsidRDefault="00E601C3" w:rsidP="001941AA"/>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RedCap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af6"/>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a7"/>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a7"/>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r>
              <w:rPr>
                <w:lang w:val="en-US"/>
              </w:rPr>
              <w:t>ZTE,Sanechips</w:t>
            </w:r>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4201A833" w14:textId="5271F21F" w:rsidR="00792180" w:rsidRDefault="00792180" w:rsidP="00792180">
            <w:pPr>
              <w:rPr>
                <w:lang w:val="en-US"/>
              </w:rPr>
            </w:pPr>
            <w:r>
              <w:rPr>
                <w:rFonts w:eastAsia="等线" w:hint="eastAsia"/>
                <w:lang w:val="en-US" w:eastAsia="zh-CN"/>
              </w:rPr>
              <w:t>Y</w:t>
            </w:r>
          </w:p>
        </w:tc>
        <w:tc>
          <w:tcPr>
            <w:tcW w:w="6801" w:type="dxa"/>
          </w:tcPr>
          <w:p w14:paraId="549E749C" w14:textId="786277DC" w:rsidR="00792180" w:rsidRDefault="00792180" w:rsidP="00792180">
            <w:pPr>
              <w:rPr>
                <w:lang w:val="en-US"/>
              </w:rPr>
            </w:pPr>
            <w:r w:rsidRPr="00321EC9">
              <w:rPr>
                <w:rFonts w:eastAsia="等线" w:hint="eastAsia"/>
                <w:lang w:val="en-US" w:eastAsia="zh-CN"/>
              </w:rPr>
              <w:t>T</w:t>
            </w:r>
            <w:r w:rsidRPr="00321EC9">
              <w:rPr>
                <w:rFonts w:eastAsia="等线"/>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等线"/>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等线"/>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RedCap coverage recovery, we think it should be discussed at first whether or not the evaluation scenarios for CE SI (Urban/Rural for FR1 and Indoor/Urban/Suburban for FR2, eMBB and VoIP traffic) can be assumed for RedCap as well. </w:t>
            </w:r>
          </w:p>
          <w:p w14:paraId="5FA4BD18" w14:textId="43C0C417" w:rsidR="009938D0" w:rsidRPr="00321EC9" w:rsidRDefault="009938D0" w:rsidP="009938D0">
            <w:pPr>
              <w:rPr>
                <w:rFonts w:eastAsia="等线"/>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RedCap, we can follow the corresponding parameters, except for [400 MHz] which is not applicable to reference UE or RedCap UE.</w:t>
            </w:r>
          </w:p>
        </w:tc>
      </w:tr>
      <w:tr w:rsidR="00C9553D" w14:paraId="755C84E2" w14:textId="77777777" w:rsidTr="00FA5B39">
        <w:tc>
          <w:tcPr>
            <w:tcW w:w="1480" w:type="dxa"/>
          </w:tcPr>
          <w:p w14:paraId="304DEA0E" w14:textId="69EC400B" w:rsidR="00C9553D" w:rsidRDefault="00C9553D" w:rsidP="009938D0">
            <w:pPr>
              <w:rPr>
                <w:rFonts w:eastAsia="Yu Mincho" w:hint="eastAsia"/>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hint="eastAsia"/>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hint="eastAsia"/>
                <w:bCs/>
                <w:iCs/>
                <w:lang w:val="en-US" w:eastAsia="ja-JP"/>
              </w:rPr>
            </w:pPr>
            <w:r>
              <w:rPr>
                <w:rFonts w:eastAsia="Yu Mincho"/>
                <w:bCs/>
                <w:iCs/>
                <w:lang w:val="en-US" w:eastAsia="ja-JP"/>
              </w:rPr>
              <w:t>Need discussion for RedCap configuration.</w:t>
            </w:r>
          </w:p>
        </w:tc>
      </w:tr>
    </w:tbl>
    <w:p w14:paraId="4F3AFAF0" w14:textId="24B9A20E" w:rsidR="00E226B7" w:rsidRDefault="00E226B7" w:rsidP="001941AA"/>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RedCap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af6"/>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General recommendation is to use the IMR 2020 self evaluation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lastRenderedPageBreak/>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There are too many FFS in CE05 / CE06 / CE12. How can we be sure that these agreements are appropriate for RedCap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r>
              <w:rPr>
                <w:lang w:val="en-US"/>
              </w:rPr>
              <w:t>ZTE,Sanechips</w:t>
            </w:r>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Remember the difference for RedCap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28EF8740" w14:textId="5BAF6FD2" w:rsidR="00792180" w:rsidRDefault="00792180" w:rsidP="00792180">
            <w:pPr>
              <w:rPr>
                <w:lang w:val="en-US"/>
              </w:rPr>
            </w:pPr>
            <w:r>
              <w:rPr>
                <w:rFonts w:eastAsia="等线"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等线"/>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等线"/>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hint="eastAsia"/>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hint="eastAsia"/>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hint="eastAsia"/>
                <w:lang w:val="en-US" w:eastAsia="ja-JP"/>
              </w:rPr>
            </w:pPr>
          </w:p>
        </w:tc>
      </w:tr>
      <w:bookmarkEnd w:id="13"/>
      <w:bookmarkEnd w:id="14"/>
    </w:tbl>
    <w:p w14:paraId="0BD805E6" w14:textId="05BBAF17" w:rsidR="00995281" w:rsidRDefault="00995281" w:rsidP="00EF6271"/>
    <w:p w14:paraId="03339BEF" w14:textId="77777777" w:rsidR="00B26B33" w:rsidRPr="00083E08" w:rsidRDefault="00B26B33" w:rsidP="00B26B33">
      <w:pPr>
        <w:pStyle w:val="2"/>
      </w:pPr>
      <w:bookmarkStart w:id="39" w:name="_Toc42034915"/>
      <w:bookmarkStart w:id="40" w:name="_Toc42476878"/>
      <w:r w:rsidRPr="00083E08">
        <w:t>6.4</w:t>
      </w:r>
      <w:r w:rsidRPr="00083E08">
        <w:tab/>
        <w:t>Evaluation methodology for other performance impacts</w:t>
      </w:r>
      <w:bookmarkEnd w:id="39"/>
      <w:bookmarkEnd w:id="40"/>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1" w:author="Johan Bergman" w:date="2020-06-14T22:55:00Z">
        <w:r w:rsidR="00076718" w:rsidRPr="00076718" w:rsidDel="001B1481">
          <w:delText xml:space="preserve"> and</w:delText>
        </w:r>
      </w:del>
      <w:ins w:id="42" w:author="Johan Bergman" w:date="2020-06-14T22:55:00Z">
        <w:r w:rsidR="001B1481">
          <w:t>,</w:t>
        </w:r>
      </w:ins>
      <w:r w:rsidR="00076718" w:rsidRPr="00076718">
        <w:t xml:space="preserve"> latency</w:t>
      </w:r>
      <w:ins w:id="43"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af6"/>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60DB9299"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r>
              <w:rPr>
                <w:lang w:val="en-US"/>
              </w:rPr>
              <w:t>ZTE,Sanechips</w:t>
            </w:r>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1E9CB7DF" w:rsidR="00535344" w:rsidRDefault="00817565" w:rsidP="00535344">
            <w:pPr>
              <w:rPr>
                <w:lang w:val="en-US"/>
              </w:rPr>
            </w:pPr>
            <w:r w:rsidRPr="00817565">
              <w:rPr>
                <w:lang w:val="en-US"/>
              </w:rPr>
              <w:t>We don’t think reliability needs to be evaluated for all use cases of RedCap UE, unless there is</w:t>
            </w:r>
            <w:r>
              <w:rPr>
                <w:lang w:val="en-US"/>
              </w:rPr>
              <w:t xml:space="preserve"> a</w:t>
            </w:r>
            <w:r w:rsidRPr="00817565">
              <w:rPr>
                <w:lang w:val="en-US"/>
              </w:rPr>
              <w:t xml:space="preserve"> consensus on the definition </w:t>
            </w:r>
            <w:r w:rsidR="00943CA9">
              <w:rPr>
                <w:lang w:val="en-US"/>
              </w:rPr>
              <w:t>and requirement for</w:t>
            </w:r>
            <w:r w:rsidRPr="00817565">
              <w:rPr>
                <w:lang w:val="en-US"/>
              </w:rPr>
              <w:t>“reliability.</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38A528FA" w14:textId="5F69DD48" w:rsidR="00792180" w:rsidRDefault="00792180" w:rsidP="00792180">
            <w:pPr>
              <w:rPr>
                <w:lang w:val="en-US"/>
              </w:rPr>
            </w:pPr>
            <w:r>
              <w:rPr>
                <w:rFonts w:eastAsia="等线"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hint="eastAsia"/>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hint="eastAsia"/>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bl>
    <w:p w14:paraId="1F8C5E7A" w14:textId="671141A3" w:rsidR="00B26B33" w:rsidRDefault="00B26B33"/>
    <w:p w14:paraId="16FB50B7" w14:textId="0DEA6458" w:rsidR="00B26B33" w:rsidRDefault="00B26B33" w:rsidP="000548C1">
      <w:pPr>
        <w:pStyle w:val="1"/>
      </w:pPr>
      <w:r w:rsidRPr="00083E08">
        <w:lastRenderedPageBreak/>
        <w:t>7</w:t>
      </w:r>
      <w:r w:rsidRPr="00083E08">
        <w:tab/>
        <w:t>UE complexity reduction features</w:t>
      </w:r>
    </w:p>
    <w:p w14:paraId="08DC1F84" w14:textId="77777777" w:rsidR="00B26B33" w:rsidRPr="00083E08" w:rsidRDefault="00B26B33" w:rsidP="00B26B33">
      <w:pPr>
        <w:pStyle w:val="2"/>
      </w:pPr>
      <w:bookmarkStart w:id="44" w:name="_Toc40490532"/>
      <w:bookmarkStart w:id="45" w:name="_Toc42034922"/>
      <w:bookmarkStart w:id="46" w:name="_Toc42476884"/>
      <w:r w:rsidRPr="00083E08">
        <w:t>7.6</w:t>
      </w:r>
      <w:r w:rsidRPr="00083E08">
        <w:tab/>
        <w:t>Relaxed UE processing capability</w:t>
      </w:r>
      <w:bookmarkEnd w:id="44"/>
      <w:bookmarkEnd w:id="45"/>
      <w:bookmarkEnd w:id="46"/>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a7"/>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7"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a7"/>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8"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a7"/>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49" w:author="Johan Bergman" w:date="2020-06-14T22:56:00Z">
        <w:r w:rsidRPr="007228B2" w:rsidDel="003B097E">
          <w:rPr>
            <w:rFonts w:ascii="Times New Roman" w:hAnsi="Times New Roman" w:cs="Times New Roman"/>
            <w:sz w:val="20"/>
            <w:szCs w:val="20"/>
          </w:rPr>
          <w:delText>lower priority</w:delText>
        </w:r>
      </w:del>
      <w:ins w:id="50"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a7"/>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1" w:author="Johan Bergman" w:date="2020-06-14T22:56:00Z">
        <w:r w:rsidRPr="007228B2" w:rsidDel="003B097E">
          <w:rPr>
            <w:rFonts w:ascii="Times New Roman" w:hAnsi="Times New Roman" w:cs="Times New Roman"/>
            <w:sz w:val="20"/>
            <w:szCs w:val="20"/>
          </w:rPr>
          <w:delText>lower priority</w:delText>
        </w:r>
      </w:del>
      <w:ins w:id="52"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af6"/>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a7"/>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a7"/>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The bullet on “reduced number of HARQ processes” shouldn’t be a sub-bullet of peak data rate relaxation,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r>
              <w:rPr>
                <w:lang w:val="en-US"/>
              </w:rPr>
              <w:t>ZTE,Sanechips</w:t>
            </w:r>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lastRenderedPageBreak/>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等线" w:hint="eastAsia"/>
                <w:lang w:val="en-US" w:eastAsia="zh-CN"/>
              </w:rPr>
              <w:t>C</w:t>
            </w:r>
            <w:r>
              <w:rPr>
                <w:rFonts w:eastAsia="等线"/>
                <w:lang w:val="en-US" w:eastAsia="zh-CN"/>
              </w:rPr>
              <w:t>hina Telecom</w:t>
            </w:r>
          </w:p>
        </w:tc>
        <w:tc>
          <w:tcPr>
            <w:tcW w:w="1350" w:type="dxa"/>
          </w:tcPr>
          <w:p w14:paraId="71645404" w14:textId="642826CD" w:rsidR="00792180" w:rsidRDefault="00792180" w:rsidP="00792180">
            <w:pPr>
              <w:rPr>
                <w:lang w:val="en-US"/>
              </w:rPr>
            </w:pPr>
            <w:r>
              <w:rPr>
                <w:rFonts w:eastAsia="等线"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等线"/>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等线"/>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hint="eastAsia"/>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hint="eastAsia"/>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hint="eastAsia"/>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bookmarkStart w:id="53" w:name="_GoBack"/>
            <w:bookmarkEnd w:id="53"/>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54" w:name="_Toc42476889"/>
      <w:r>
        <w:t>References</w:t>
      </w:r>
      <w:bookmarkEnd w:id="54"/>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CE01</w:t>
      </w:r>
      <w:r w:rsidRPr="00A176E6">
        <w:rPr>
          <w:rFonts w:eastAsia="宋体"/>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宋体"/>
          <w:lang w:eastAsia="zh-CN"/>
        </w:rPr>
      </w:pPr>
      <w:r w:rsidRPr="00A176E6">
        <w:rPr>
          <w:rFonts w:eastAsia="宋体"/>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 xml:space="preserve">For VoIP </w:t>
      </w:r>
      <w:r w:rsidRPr="00A176E6">
        <w:rPr>
          <w:lang w:eastAsia="x-none"/>
        </w:rPr>
        <w:t>performance evaluation based on link-level simulation for FR1</w:t>
      </w:r>
      <w:r w:rsidRPr="00A176E6">
        <w:rPr>
          <w:rFonts w:eastAsia="宋体"/>
          <w:lang w:eastAsia="x-none"/>
        </w:rPr>
        <w:t>.</w:t>
      </w:r>
    </w:p>
    <w:p w14:paraId="4BE813B5"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as</w:t>
      </w:r>
      <w:r w:rsidR="00EA6448" w:rsidRPr="002D7546">
        <w:rPr>
          <w:rFonts w:eastAsia="宋体"/>
          <w:lang w:eastAsia="zh-CN"/>
        </w:rPr>
        <w:t>p</w:t>
      </w:r>
      <w:r w:rsidRPr="00A176E6">
        <w:rPr>
          <w:rFonts w:eastAsia="宋体"/>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宋体"/>
          <w:lang w:eastAsia="x-none"/>
        </w:rPr>
      </w:pPr>
      <w:r w:rsidRPr="00A176E6">
        <w:rPr>
          <w:rFonts w:eastAsia="宋体"/>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宋体"/>
          <w:lang w:eastAsia="zh-CN"/>
        </w:rPr>
      </w:pPr>
      <w:r w:rsidRPr="00A176E6">
        <w:rPr>
          <w:rFonts w:eastAsia="宋体"/>
          <w:lang w:eastAsia="zh-CN"/>
        </w:rPr>
        <w:t>Note: The simulation assumptions for SLS are up to companies’ reports.</w:t>
      </w:r>
    </w:p>
    <w:p w14:paraId="15270CFF" w14:textId="77777777" w:rsidR="00A176E6" w:rsidRPr="00A176E6" w:rsidRDefault="00A176E6" w:rsidP="002D7546">
      <w:pPr>
        <w:spacing w:after="0"/>
        <w:rPr>
          <w:rFonts w:eastAsia="等线"/>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宋体"/>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宋体"/>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宋体"/>
                <w:b/>
                <w:lang w:eastAsia="zh-CN"/>
              </w:rPr>
            </w:pPr>
            <w:r w:rsidRPr="00A176E6">
              <w:rPr>
                <w:rFonts w:eastAsia="宋体"/>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宋体"/>
                <w:b/>
                <w:lang w:eastAsia="zh-CN"/>
              </w:rPr>
            </w:pPr>
            <w:r w:rsidRPr="00A176E6">
              <w:rPr>
                <w:rFonts w:eastAsia="宋体"/>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宋体"/>
                <w:lang w:val="en-US" w:eastAsia="zh-CN"/>
              </w:rPr>
            </w:pPr>
            <w:r w:rsidRPr="00A176E6">
              <w:rPr>
                <w:rFonts w:eastAsia="宋体"/>
                <w:lang w:val="en-US" w:eastAsia="zh-CN"/>
              </w:rPr>
              <w:lastRenderedPageBreak/>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 xml:space="preserve">Urban: 4GHz (TDD), 2.6GHz (TDD) </w:t>
            </w:r>
          </w:p>
          <w:p w14:paraId="581AC429" w14:textId="77777777" w:rsidR="00A176E6" w:rsidRPr="00A176E6" w:rsidRDefault="00A176E6" w:rsidP="002D7546">
            <w:pPr>
              <w:spacing w:after="120" w:line="256" w:lineRule="auto"/>
              <w:rPr>
                <w:rFonts w:eastAsia="宋体"/>
                <w:bCs/>
                <w:lang w:val="en-US" w:eastAsia="zh-CN"/>
              </w:rPr>
            </w:pPr>
            <w:r w:rsidRPr="00A176E6">
              <w:rPr>
                <w:rFonts w:eastAsia="宋体"/>
                <w:bCs/>
                <w:lang w:val="en-US" w:eastAsia="zh-CN"/>
              </w:rPr>
              <w:t>Rural: 4GHz (TDD), 2.6GHz (TDD), 2GHz (FDD), 700MHz (FDD)</w:t>
            </w:r>
          </w:p>
          <w:p w14:paraId="15E436A2" w14:textId="77777777" w:rsidR="00A176E6" w:rsidRPr="00A176E6" w:rsidRDefault="00A176E6" w:rsidP="002D7546">
            <w:pPr>
              <w:spacing w:after="120" w:line="256" w:lineRule="auto"/>
              <w:rPr>
                <w:rFonts w:eastAsia="宋体"/>
                <w:lang w:val="en-US" w:eastAsia="zh-CN"/>
              </w:rPr>
            </w:pPr>
            <w:r w:rsidRPr="00A176E6">
              <w:rPr>
                <w:rFonts w:eastAsia="宋体"/>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宋体"/>
                <w:lang w:val="en-US" w:eastAsia="zh-CN"/>
              </w:rPr>
            </w:pPr>
            <w:r w:rsidRPr="00A176E6">
              <w:rPr>
                <w:rFonts w:eastAsia="宋体"/>
                <w:lang w:val="en-US" w:eastAsia="zh-CN"/>
              </w:rPr>
              <w:t>DDDSU (S: 10D:2G:2U) only for 4GHz</w:t>
            </w:r>
          </w:p>
          <w:p w14:paraId="7E39FD50" w14:textId="77777777" w:rsidR="00A176E6" w:rsidRPr="00A176E6" w:rsidRDefault="00A176E6" w:rsidP="002D7546">
            <w:pPr>
              <w:spacing w:after="120"/>
              <w:rPr>
                <w:rFonts w:eastAsia="宋体"/>
                <w:lang w:val="en-US" w:eastAsia="zh-CN"/>
              </w:rPr>
            </w:pPr>
            <w:r w:rsidRPr="00A176E6">
              <w:rPr>
                <w:rFonts w:eastAsia="宋体"/>
                <w:lang w:val="en-US" w:eastAsia="zh-CN"/>
              </w:rPr>
              <w:t xml:space="preserve">DDDSUDDSUU (S: 10D:2G:2U) only for 4GHz </w:t>
            </w:r>
          </w:p>
          <w:p w14:paraId="11B7DDF3" w14:textId="77777777" w:rsidR="00A176E6" w:rsidRPr="00A176E6" w:rsidRDefault="00A176E6" w:rsidP="002D7546">
            <w:pPr>
              <w:spacing w:after="120"/>
              <w:rPr>
                <w:rFonts w:eastAsia="宋体"/>
                <w:lang w:val="en-US" w:eastAsia="zh-CN"/>
              </w:rPr>
            </w:pPr>
            <w:r w:rsidRPr="00A176E6">
              <w:rPr>
                <w:rFonts w:eastAsia="宋体"/>
                <w:lang w:val="en-US" w:eastAsia="zh-CN"/>
              </w:rPr>
              <w:t>DDDDDDDSUU (S: 6D:4G:4U) only for 2.6GHz</w:t>
            </w:r>
          </w:p>
          <w:p w14:paraId="55CA7EBB" w14:textId="77777777" w:rsidR="00A176E6" w:rsidRPr="00A176E6" w:rsidRDefault="00A176E6" w:rsidP="002D7546">
            <w:pPr>
              <w:spacing w:after="120"/>
              <w:rPr>
                <w:rFonts w:eastAsia="宋体"/>
                <w:lang w:val="en-US" w:eastAsia="zh-CN"/>
              </w:rPr>
            </w:pPr>
            <w:r w:rsidRPr="00A176E6">
              <w:rPr>
                <w:rFonts w:eastAsia="宋体"/>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宋体"/>
                <w:bCs/>
              </w:rPr>
            </w:pPr>
            <w:r w:rsidRPr="00A176E6">
              <w:rPr>
                <w:rFonts w:eastAsia="宋体"/>
                <w:lang w:val="en-US" w:eastAsia="zh-CN"/>
              </w:rPr>
              <w:t>Pathloss model (select from LoS or NLoS)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宋体"/>
                <w:lang w:eastAsia="zh-CN"/>
              </w:rPr>
            </w:pPr>
            <w:r w:rsidRPr="00A176E6">
              <w:rPr>
                <w:rFonts w:eastAsia="宋体"/>
                <w:lang w:eastAsia="zh-CN"/>
              </w:rPr>
              <w:t>Urban: NLoS</w:t>
            </w:r>
          </w:p>
          <w:p w14:paraId="33970F58" w14:textId="77777777" w:rsidR="00A176E6" w:rsidRPr="00A176E6" w:rsidRDefault="00A176E6" w:rsidP="002D7546">
            <w:pPr>
              <w:spacing w:after="0"/>
              <w:rPr>
                <w:rFonts w:eastAsia="宋体"/>
                <w:lang w:eastAsia="zh-CN"/>
              </w:rPr>
            </w:pPr>
            <w:r w:rsidRPr="00A176E6">
              <w:rPr>
                <w:rFonts w:eastAsia="宋体"/>
                <w:lang w:eastAsia="zh-CN"/>
              </w:rPr>
              <w:t>Rural: NLoS and LoS</w:t>
            </w:r>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宋体"/>
                <w:bCs/>
                <w:lang w:eastAsia="zh-CN"/>
              </w:rPr>
            </w:pPr>
            <w:r w:rsidRPr="00A176E6">
              <w:rPr>
                <w:rFonts w:eastAsia="宋体"/>
                <w:bCs/>
                <w:lang w:eastAsia="zh-CN"/>
              </w:rPr>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宋体"/>
                <w:bCs/>
                <w:lang w:eastAsia="zh-CN"/>
              </w:rPr>
            </w:pPr>
            <w:r w:rsidRPr="00A176E6">
              <w:rPr>
                <w:rFonts w:eastAsia="宋体"/>
                <w:bCs/>
                <w:lang w:eastAsia="zh-CN"/>
              </w:rPr>
              <w:t>100MHz for 4GHz and 2.6GHz.</w:t>
            </w:r>
          </w:p>
          <w:p w14:paraId="388CCB50" w14:textId="77777777" w:rsidR="00A176E6" w:rsidRPr="00A176E6" w:rsidRDefault="00A176E6" w:rsidP="002D7546">
            <w:pPr>
              <w:spacing w:after="0"/>
              <w:rPr>
                <w:rFonts w:eastAsia="宋体"/>
                <w:bCs/>
                <w:lang w:eastAsia="zh-CN"/>
              </w:rPr>
            </w:pPr>
            <w:r w:rsidRPr="00A176E6">
              <w:rPr>
                <w:rFonts w:eastAsia="宋体"/>
                <w:bCs/>
                <w:lang w:eastAsia="zh-CN"/>
              </w:rPr>
              <w:t>20MHz for 2GHz (FDD</w:t>
            </w:r>
          </w:p>
          <w:p w14:paraId="0C60886B" w14:textId="77777777" w:rsidR="00A176E6" w:rsidRPr="00A176E6" w:rsidRDefault="00A176E6" w:rsidP="002D7546">
            <w:pPr>
              <w:spacing w:after="0"/>
              <w:rPr>
                <w:rFonts w:eastAsia="宋体"/>
                <w:bCs/>
                <w:lang w:eastAsia="zh-CN"/>
              </w:rPr>
            </w:pPr>
            <w:r w:rsidRPr="00A176E6">
              <w:rPr>
                <w:rFonts w:eastAsia="宋体"/>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宋体"/>
                <w:bCs/>
              </w:rPr>
            </w:pPr>
            <w:r w:rsidRPr="00A176E6">
              <w:rPr>
                <w:rFonts w:eastAsia="宋体"/>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宋体"/>
                <w:bCs/>
                <w:lang w:eastAsia="zh-CN"/>
              </w:rPr>
            </w:pPr>
            <w:r w:rsidRPr="00A176E6">
              <w:rPr>
                <w:rFonts w:eastAsia="宋体"/>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宋体"/>
                <w:bCs/>
                <w:lang w:eastAsia="zh-CN"/>
              </w:rPr>
            </w:pPr>
            <w:r w:rsidRPr="00A176E6">
              <w:rPr>
                <w:rFonts w:eastAsia="宋体"/>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宋体"/>
                <w:lang w:val="en-US" w:eastAsia="zh-CN"/>
              </w:rPr>
            </w:pPr>
            <w:r w:rsidRPr="00A176E6">
              <w:rPr>
                <w:rFonts w:eastAsia="宋体"/>
                <w:lang w:val="en-US" w:eastAsia="zh-CN"/>
              </w:rPr>
              <w:t>TDL-C for NLOS, TDL-D for LOS.</w:t>
            </w:r>
          </w:p>
          <w:p w14:paraId="5E3A0390" w14:textId="77777777" w:rsidR="00A176E6" w:rsidRPr="00A176E6" w:rsidRDefault="00A176E6" w:rsidP="002D7546">
            <w:pPr>
              <w:spacing w:after="0"/>
              <w:rPr>
                <w:rFonts w:eastAsia="宋体"/>
                <w:lang w:val="en-US" w:eastAsia="zh-CN"/>
              </w:rPr>
            </w:pPr>
            <w:r w:rsidRPr="00A176E6">
              <w:rPr>
                <w:rFonts w:eastAsia="宋体"/>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宋体"/>
                <w:lang w:val="en-US" w:eastAsia="zh-CN"/>
              </w:rPr>
            </w:pPr>
            <w:r w:rsidRPr="00A176E6">
              <w:rPr>
                <w:rFonts w:eastAsia="宋体"/>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宋体"/>
                <w:lang w:val="en-US" w:eastAsia="zh-CN"/>
              </w:rPr>
            </w:pPr>
            <w:r w:rsidRPr="00A176E6">
              <w:rPr>
                <w:rFonts w:eastAsia="宋体"/>
                <w:lang w:val="en-US" w:eastAsia="zh-CN"/>
              </w:rPr>
              <w:t>Urban: 3km/h for indoor</w:t>
            </w:r>
          </w:p>
          <w:p w14:paraId="7C65CB4B" w14:textId="3AE60B60" w:rsidR="00A176E6" w:rsidRPr="00A176E6" w:rsidRDefault="00A176E6" w:rsidP="002D7546">
            <w:pPr>
              <w:spacing w:after="0"/>
              <w:rPr>
                <w:rFonts w:eastAsia="宋体"/>
                <w:lang w:val="en-US" w:eastAsia="zh-CN"/>
              </w:rPr>
            </w:pPr>
            <w:r w:rsidRPr="00A176E6">
              <w:rPr>
                <w:rFonts w:eastAsia="宋体"/>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宋体"/>
                <w:lang w:val="en-US" w:eastAsia="zh-CN"/>
              </w:rPr>
            </w:pPr>
            <w:r w:rsidRPr="00A176E6">
              <w:rPr>
                <w:rFonts w:eastAsia="宋体"/>
                <w:lang w:val="en-US" w:eastAsia="zh-CN"/>
              </w:rPr>
              <w:t>w/ or w/o frequency hopping for PUSCH</w:t>
            </w:r>
          </w:p>
          <w:p w14:paraId="661D7F33" w14:textId="16531BE3" w:rsidR="00A176E6" w:rsidRPr="00A176E6" w:rsidRDefault="00A176E6" w:rsidP="002D7546">
            <w:pPr>
              <w:spacing w:after="0"/>
              <w:rPr>
                <w:rFonts w:eastAsia="宋体"/>
                <w:lang w:val="en-US" w:eastAsia="zh-CN"/>
              </w:rPr>
            </w:pPr>
            <w:r w:rsidRPr="00A176E6">
              <w:rPr>
                <w:rFonts w:eastAsia="宋体"/>
                <w:lang w:val="en-US" w:eastAsia="zh-CN"/>
              </w:rPr>
              <w:t>w/ frequency hopping for PUCCH.</w:t>
            </w:r>
          </w:p>
        </w:tc>
      </w:tr>
    </w:tbl>
    <w:p w14:paraId="35F20DDC" w14:textId="77777777" w:rsidR="00A176E6" w:rsidRPr="00A176E6" w:rsidRDefault="00A176E6" w:rsidP="00A176E6">
      <w:pPr>
        <w:spacing w:after="0"/>
        <w:jc w:val="both"/>
        <w:rPr>
          <w:rFonts w:eastAsia="宋体"/>
          <w:lang w:eastAsia="zh-CN"/>
        </w:rPr>
      </w:pPr>
    </w:p>
    <w:p w14:paraId="220A7136" w14:textId="77777777" w:rsidR="00A176E6" w:rsidRPr="00A176E6" w:rsidRDefault="00A176E6" w:rsidP="00A176E6">
      <w:pPr>
        <w:numPr>
          <w:ilvl w:val="0"/>
          <w:numId w:val="24"/>
        </w:numPr>
        <w:spacing w:after="0"/>
        <w:rPr>
          <w:rFonts w:eastAsia="宋体"/>
          <w:lang w:val="en-US" w:eastAsia="zh-CN"/>
        </w:rPr>
      </w:pPr>
      <w:r w:rsidRPr="00A176E6">
        <w:rPr>
          <w:rFonts w:eastAsia="宋体"/>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宋体"/>
          <w:lang w:val="en-US" w:eastAsia="zh-CN"/>
        </w:rPr>
      </w:pPr>
    </w:p>
    <w:p w14:paraId="5ADC7444" w14:textId="0384E5C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CE05</w:t>
      </w:r>
      <w:r w:rsidRPr="00A176E6">
        <w:rPr>
          <w:rFonts w:eastAsia="宋体"/>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宋体"/>
          <w:lang w:eastAsia="zh-CN"/>
        </w:rPr>
      </w:pPr>
      <w:r w:rsidRPr="00A176E6">
        <w:rPr>
          <w:rFonts w:eastAsia="宋体"/>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Tdoc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等线"/>
          <w:lang w:eastAsia="zh-CN"/>
        </w:rPr>
      </w:pPr>
      <w:r w:rsidRPr="00A176E6">
        <w:rPr>
          <w:rFonts w:eastAsia="宋体"/>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等线"/>
          <w:color w:val="FF0000"/>
          <w:lang w:eastAsia="x-none"/>
        </w:rPr>
      </w:pPr>
    </w:p>
    <w:p w14:paraId="2480BB29" w14:textId="7607880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CE06</w:t>
      </w:r>
      <w:r w:rsidRPr="00A176E6">
        <w:rPr>
          <w:rFonts w:eastAsia="宋体"/>
          <w:highlight w:val="green"/>
          <w:lang w:val="en-US" w:eastAsia="zh-CN"/>
        </w:rPr>
        <w:t>:</w:t>
      </w:r>
    </w:p>
    <w:p w14:paraId="7998C798"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Down selection on the following options for antenna array gain </w:t>
      </w:r>
      <w:r w:rsidRPr="00A176E6">
        <w:rPr>
          <w:rFonts w:eastAsia="宋体"/>
          <w:lang w:val="en-US" w:eastAsia="zh-CN"/>
        </w:rPr>
        <w:t xml:space="preserve">for LLS based methodology for FR1 </w:t>
      </w:r>
      <w:r w:rsidRPr="00A176E6">
        <w:rPr>
          <w:rFonts w:eastAsia="宋体"/>
          <w:lang w:eastAsia="zh-CN"/>
        </w:rPr>
        <w:t>in next meeting</w:t>
      </w:r>
      <w:r w:rsidRPr="00A176E6">
        <w:rPr>
          <w:rFonts w:eastAsia="宋体"/>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宋体"/>
        </w:rPr>
      </w:pPr>
      <w:r w:rsidRPr="00A176E6">
        <w:rPr>
          <w:rFonts w:eastAsia="宋体"/>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array gain = 10 * 1og10 (number of antenna elements/number of TxRUs)</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等线"/>
          <w:lang w:eastAsia="zh-CN"/>
        </w:rPr>
      </w:pPr>
      <w:r w:rsidRPr="00A176E6">
        <w:rPr>
          <w:rFonts w:eastAsia="宋体"/>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宋体"/>
          <w:lang w:val="en-US" w:eastAsia="zh-CN"/>
        </w:rPr>
      </w:pPr>
    </w:p>
    <w:p w14:paraId="3391DAFF" w14:textId="0A4FE87B"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CE07</w:t>
      </w:r>
      <w:r w:rsidRPr="00A176E6">
        <w:rPr>
          <w:rFonts w:eastAsia="宋体"/>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宋体"/>
                <w:b/>
                <w:bCs/>
                <w:lang w:eastAsia="zh-CN"/>
              </w:rPr>
            </w:pPr>
            <w:r w:rsidRPr="00A176E6">
              <w:rPr>
                <w:rFonts w:eastAsia="宋体"/>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宋体"/>
                <w:lang w:val="en-US" w:eastAsia="zh-CN"/>
              </w:rPr>
            </w:pPr>
            <w:r w:rsidRPr="00A176E6">
              <w:rPr>
                <w:rFonts w:eastAsia="宋体"/>
                <w:lang w:eastAsia="zh-CN"/>
              </w:rPr>
              <w:lastRenderedPageBreak/>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宋体"/>
              </w:rPr>
            </w:pPr>
            <w:r w:rsidRPr="00A176E6">
              <w:rPr>
                <w:rFonts w:eastAsia="宋体"/>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宋体"/>
                <w:lang w:val="en-US"/>
              </w:rPr>
            </w:pPr>
            <w:r w:rsidRPr="00A176E6">
              <w:rPr>
                <w:rFonts w:eastAsia="宋体"/>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宋体"/>
                <w:lang w:eastAsia="zh-CN"/>
              </w:rPr>
            </w:pPr>
            <w:r w:rsidRPr="00A176E6">
              <w:rPr>
                <w:rFonts w:eastAsia="宋体"/>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宋体"/>
                <w:lang w:val="en-US" w:eastAsia="zh-CN"/>
              </w:rPr>
            </w:pPr>
            <w:r w:rsidRPr="00A176E6">
              <w:rPr>
                <w:rFonts w:eastAsia="宋体"/>
                <w:lang w:val="en-US" w:eastAsia="zh-CN"/>
              </w:rPr>
              <w:t>FFS</w:t>
            </w:r>
          </w:p>
        </w:tc>
      </w:tr>
    </w:tbl>
    <w:p w14:paraId="7EEBC6B3" w14:textId="77777777" w:rsidR="00A176E6" w:rsidRPr="00A176E6" w:rsidRDefault="00A176E6" w:rsidP="00A176E6">
      <w:pPr>
        <w:spacing w:after="0"/>
        <w:rPr>
          <w:rFonts w:eastAsia="宋体"/>
          <w:lang w:val="en-US" w:eastAsia="zh-CN"/>
        </w:rPr>
      </w:pPr>
    </w:p>
    <w:p w14:paraId="3632BC23" w14:textId="0FEC1704" w:rsidR="00A176E6" w:rsidRPr="00A176E6" w:rsidRDefault="00A176E6" w:rsidP="002D7546">
      <w:pPr>
        <w:spacing w:after="0"/>
        <w:rPr>
          <w:rFonts w:eastAsia="宋体"/>
          <w:highlight w:val="green"/>
          <w:lang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CE08</w:t>
      </w:r>
      <w:r w:rsidRPr="00A176E6">
        <w:rPr>
          <w:rFonts w:eastAsia="宋体"/>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等线"/>
          <w:lang w:eastAsia="x-none"/>
        </w:rPr>
      </w:pPr>
      <w:r w:rsidRPr="00A176E6">
        <w:rPr>
          <w:rFonts w:eastAsia="宋体"/>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宋体"/>
          <w:lang w:eastAsia="zh-CN"/>
        </w:rPr>
      </w:pPr>
      <w:r w:rsidRPr="00A176E6">
        <w:rPr>
          <w:rFonts w:eastAsia="宋体"/>
          <w:lang w:eastAsia="zh-CN"/>
        </w:rPr>
        <w:t>56 bits</w:t>
      </w:r>
    </w:p>
    <w:p w14:paraId="21C335DB" w14:textId="77777777" w:rsidR="00A176E6" w:rsidRPr="00A176E6" w:rsidRDefault="00A176E6" w:rsidP="002D7546">
      <w:pPr>
        <w:spacing w:after="0"/>
        <w:rPr>
          <w:rFonts w:eastAsia="宋体"/>
          <w:lang w:eastAsia="zh-CN"/>
        </w:rPr>
      </w:pPr>
    </w:p>
    <w:p w14:paraId="58F5E7FA" w14:textId="787DDF4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CE09</w:t>
      </w:r>
      <w:r w:rsidRPr="00A176E6">
        <w:rPr>
          <w:rFonts w:eastAsia="宋体"/>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宋体"/>
          <w:lang w:val="en-US"/>
        </w:rPr>
      </w:pPr>
    </w:p>
    <w:p w14:paraId="11260DC8" w14:textId="0599941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CE10</w:t>
      </w:r>
      <w:r w:rsidRPr="00A176E6">
        <w:rPr>
          <w:rFonts w:eastAsia="宋体"/>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宋体"/>
          <w:lang w:eastAsia="zh-CN"/>
        </w:rPr>
      </w:pPr>
      <w:r w:rsidRPr="00A176E6">
        <w:rPr>
          <w:rFonts w:eastAsia="宋体"/>
          <w:lang w:val="en-US" w:eastAsia="x-none"/>
        </w:rPr>
        <w:t>For link level simulation, TBS of Msg3 for FR2 is the same as FR1.</w:t>
      </w:r>
    </w:p>
    <w:p w14:paraId="12F21FBD" w14:textId="77777777" w:rsidR="00A176E6" w:rsidRPr="00A176E6" w:rsidRDefault="00A176E6" w:rsidP="002D7546">
      <w:pPr>
        <w:spacing w:after="120"/>
        <w:ind w:left="420"/>
        <w:rPr>
          <w:rFonts w:eastAsia="宋体"/>
          <w:lang w:val="en-US"/>
        </w:rPr>
      </w:pPr>
    </w:p>
    <w:p w14:paraId="6DB85592" w14:textId="1219CDBF"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CE11</w:t>
      </w:r>
      <w:r w:rsidRPr="00A176E6">
        <w:rPr>
          <w:rFonts w:eastAsia="宋体"/>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val="en-US" w:eastAsia="zh-CN"/>
        </w:rPr>
      </w:pPr>
      <w:r w:rsidRPr="00A176E6">
        <w:rPr>
          <w:rFonts w:eastAsia="宋体"/>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宋体"/>
          <w:lang w:val="en-US" w:eastAsia="zh-CN"/>
        </w:rPr>
      </w:pPr>
    </w:p>
    <w:p w14:paraId="033F02F2" w14:textId="5CC8D9AA"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CE12</w:t>
      </w:r>
      <w:r w:rsidRPr="00A176E6">
        <w:rPr>
          <w:rFonts w:eastAsia="宋体"/>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宋体"/>
          <w:lang w:eastAsia="zh-CN"/>
        </w:rPr>
      </w:pPr>
      <w:r w:rsidRPr="00A176E6">
        <w:rPr>
          <w:rFonts w:eastAsia="宋体"/>
          <w:lang w:eastAsia="zh-CN"/>
        </w:rPr>
        <w:t>The link budget template for FR2 is the same as FR1.</w:t>
      </w:r>
    </w:p>
    <w:p w14:paraId="51C6C0E1" w14:textId="77777777" w:rsidR="00A176E6" w:rsidRPr="00A176E6" w:rsidRDefault="00A176E6" w:rsidP="002D7546">
      <w:pPr>
        <w:spacing w:after="0"/>
        <w:rPr>
          <w:rFonts w:eastAsia="宋体"/>
          <w:lang w:eastAsia="zh-CN"/>
        </w:rPr>
      </w:pPr>
    </w:p>
    <w:p w14:paraId="50E24D4E" w14:textId="2AC49418" w:rsidR="00A176E6" w:rsidRPr="00A176E6" w:rsidRDefault="00A176E6" w:rsidP="002D754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CE13</w:t>
      </w:r>
      <w:r w:rsidRPr="00A176E6">
        <w:rPr>
          <w:rFonts w:eastAsia="宋体"/>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等线"/>
          <w:lang w:eastAsia="zh-CN"/>
        </w:rPr>
      </w:pPr>
      <w:r w:rsidRPr="00A176E6">
        <w:rPr>
          <w:rFonts w:eastAsia="宋体"/>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宋体"/>
                <w:b/>
                <w:bCs/>
                <w:lang w:eastAsia="zh-CN"/>
              </w:rPr>
            </w:pPr>
            <w:r w:rsidRPr="00A176E6">
              <w:rPr>
                <w:rFonts w:eastAsia="宋体"/>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宋体"/>
                <w:b/>
                <w:bCs/>
                <w:lang w:eastAsia="zh-CN"/>
              </w:rPr>
            </w:pPr>
            <w:r w:rsidRPr="00A176E6">
              <w:rPr>
                <w:rFonts w:eastAsia="宋体"/>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宋体"/>
                <w:lang w:val="en-US" w:eastAsia="zh-CN"/>
              </w:rPr>
            </w:pPr>
            <w:r w:rsidRPr="00A176E6">
              <w:rPr>
                <w:rFonts w:eastAsia="宋体"/>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宋体"/>
                <w:lang w:val="en-US" w:eastAsia="x-none"/>
              </w:rPr>
            </w:pPr>
            <w:r w:rsidRPr="00A176E6">
              <w:rPr>
                <w:rFonts w:eastAsia="宋体"/>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宋体"/>
                <w:lang w:val="en-US"/>
              </w:rPr>
            </w:pPr>
            <w:r w:rsidRPr="00A176E6">
              <w:rPr>
                <w:rFonts w:eastAsia="宋体"/>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宋体"/>
                <w:lang w:val="en-US" w:eastAsia="zh-CN"/>
              </w:rPr>
            </w:pPr>
            <w:r w:rsidRPr="00A176E6">
              <w:rPr>
                <w:rFonts w:eastAsia="宋体"/>
                <w:lang w:val="en-US" w:eastAsia="x-none"/>
              </w:rPr>
              <w:t>DDDSU (S: 10D:2G:2U)</w:t>
            </w:r>
          </w:p>
          <w:p w14:paraId="5E576B30" w14:textId="77777777" w:rsidR="00A176E6" w:rsidRPr="00A176E6" w:rsidRDefault="00A176E6" w:rsidP="002D7546">
            <w:pPr>
              <w:spacing w:after="120"/>
              <w:rPr>
                <w:rFonts w:eastAsia="宋体"/>
                <w:lang w:val="en-US"/>
              </w:rPr>
            </w:pPr>
            <w:r w:rsidRPr="00A176E6">
              <w:rPr>
                <w:rFonts w:eastAsia="宋体"/>
                <w:lang w:val="en-US" w:eastAsia="x-none"/>
              </w:rPr>
              <w:t>DDSU (S: 11D:3G:0U)</w:t>
            </w:r>
          </w:p>
          <w:p w14:paraId="5AB7FEA8" w14:textId="77777777" w:rsidR="00A176E6" w:rsidRPr="00A176E6" w:rsidRDefault="00A176E6" w:rsidP="002D7546">
            <w:pPr>
              <w:spacing w:after="120"/>
              <w:rPr>
                <w:rFonts w:eastAsia="宋体"/>
                <w:lang w:val="en-US" w:eastAsia="x-none"/>
              </w:rPr>
            </w:pPr>
            <w:r w:rsidRPr="00A176E6">
              <w:rPr>
                <w:rFonts w:eastAsia="宋体"/>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宋体"/>
                <w:lang w:val="en-US"/>
              </w:rPr>
            </w:pPr>
            <w:r w:rsidRPr="00A176E6">
              <w:rPr>
                <w:rFonts w:eastAsia="宋体"/>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宋体"/>
                <w:lang w:val="en-US" w:eastAsia="zh-CN"/>
              </w:rPr>
            </w:pPr>
            <w:r w:rsidRPr="00A176E6">
              <w:rPr>
                <w:rFonts w:eastAsia="宋体"/>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宋体"/>
                <w:lang w:val="en-US"/>
              </w:rPr>
            </w:pPr>
            <w:r w:rsidRPr="00A176E6">
              <w:rPr>
                <w:rFonts w:eastAsia="宋体"/>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宋体"/>
                <w:lang w:val="en-US" w:eastAsia="zh-CN"/>
              </w:rPr>
            </w:pPr>
            <w:r w:rsidRPr="00A176E6">
              <w:rPr>
                <w:rFonts w:eastAsia="宋体"/>
                <w:lang w:val="en-US" w:eastAsia="x-none"/>
              </w:rPr>
              <w:t>Indoor scenario:3km/h</w:t>
            </w:r>
          </w:p>
          <w:p w14:paraId="4F7A0950" w14:textId="77777777" w:rsidR="00A176E6" w:rsidRPr="00A176E6" w:rsidRDefault="00A176E6" w:rsidP="002D7546">
            <w:pPr>
              <w:spacing w:after="120"/>
              <w:rPr>
                <w:rFonts w:eastAsia="宋体"/>
                <w:lang w:val="en-US"/>
              </w:rPr>
            </w:pPr>
            <w:r w:rsidRPr="00A176E6">
              <w:rPr>
                <w:rFonts w:eastAsia="宋体"/>
                <w:lang w:val="en-US" w:eastAsia="x-none"/>
              </w:rPr>
              <w:t xml:space="preserve">Urban scenario: 3km/h for indoor, 30km/h for outdoor. </w:t>
            </w:r>
          </w:p>
          <w:p w14:paraId="17C42C17" w14:textId="77777777" w:rsidR="00A176E6" w:rsidRPr="00A176E6" w:rsidRDefault="00A176E6" w:rsidP="002D7546">
            <w:pPr>
              <w:spacing w:after="120"/>
              <w:rPr>
                <w:rFonts w:eastAsia="宋体"/>
                <w:lang w:val="en-US" w:eastAsia="x-none"/>
              </w:rPr>
            </w:pPr>
            <w:r w:rsidRPr="00A176E6">
              <w:rPr>
                <w:rFonts w:eastAsia="宋体"/>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宋体"/>
                <w:lang w:val="en-US"/>
              </w:rPr>
            </w:pPr>
            <w:r w:rsidRPr="00A176E6">
              <w:rPr>
                <w:rFonts w:eastAsia="宋体"/>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宋体"/>
                <w:lang w:val="en-US" w:eastAsia="zh-CN"/>
              </w:rPr>
            </w:pPr>
            <w:r w:rsidRPr="00A176E6">
              <w:rPr>
                <w:rFonts w:eastAsia="宋体"/>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宋体"/>
                <w:lang w:val="en-US" w:eastAsia="zh-CN"/>
              </w:rPr>
            </w:pPr>
            <w:r w:rsidRPr="00A176E6">
              <w:rPr>
                <w:rFonts w:eastAsia="宋体"/>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宋体"/>
                <w:lang w:val="en-US" w:eastAsia="zh-CN"/>
              </w:rPr>
            </w:pPr>
            <w:r w:rsidRPr="00A176E6">
              <w:rPr>
                <w:rFonts w:eastAsia="宋体"/>
                <w:lang w:val="en-US" w:eastAsia="zh-CN"/>
              </w:rPr>
              <w:t>w/ or w/o frequency hopping</w:t>
            </w:r>
          </w:p>
        </w:tc>
      </w:tr>
    </w:tbl>
    <w:p w14:paraId="129C1D09" w14:textId="77777777" w:rsidR="00A176E6" w:rsidRPr="00A176E6" w:rsidRDefault="00A176E6" w:rsidP="00A176E6">
      <w:pPr>
        <w:spacing w:after="0"/>
        <w:jc w:val="both"/>
        <w:rPr>
          <w:rFonts w:eastAsia="宋体"/>
          <w:lang w:eastAsia="zh-CN"/>
        </w:rPr>
      </w:pPr>
    </w:p>
    <w:p w14:paraId="19B63140" w14:textId="77777777" w:rsidR="00A176E6" w:rsidRPr="00A176E6" w:rsidRDefault="00A176E6" w:rsidP="00A176E6">
      <w:pPr>
        <w:spacing w:after="0"/>
        <w:rPr>
          <w:rFonts w:eastAsia="宋体"/>
          <w:lang w:val="en-US" w:eastAsia="zh-CN"/>
        </w:rPr>
      </w:pPr>
    </w:p>
    <w:p w14:paraId="1C0C93BB" w14:textId="4D3EE14D"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51FD673F"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 HARQ, 10% iBLER; </w:t>
            </w:r>
          </w:p>
          <w:p w14:paraId="016EB834" w14:textId="77777777" w:rsidR="00A176E6" w:rsidRPr="00A176E6" w:rsidRDefault="00A176E6" w:rsidP="002D7546">
            <w:pPr>
              <w:spacing w:after="0" w:line="312" w:lineRule="auto"/>
              <w:rPr>
                <w:rFonts w:eastAsia="宋体"/>
                <w:lang w:eastAsia="zh-CN"/>
              </w:rPr>
            </w:pPr>
            <w:r w:rsidRPr="00A176E6">
              <w:rPr>
                <w:rFonts w:eastAsia="宋体"/>
                <w:lang w:eastAsia="zh-CN"/>
              </w:rPr>
              <w:lastRenderedPageBreak/>
              <w:t>w/o HARQ, 10% iBLER.</w:t>
            </w:r>
          </w:p>
          <w:p w14:paraId="0F9D4DFA" w14:textId="77777777" w:rsidR="00A176E6" w:rsidRPr="00A176E6" w:rsidRDefault="00A176E6" w:rsidP="002D7546">
            <w:pPr>
              <w:spacing w:after="0" w:line="312" w:lineRule="auto"/>
              <w:rPr>
                <w:rFonts w:eastAsia="宋体"/>
                <w:lang w:eastAsia="zh-CN"/>
              </w:rPr>
            </w:pPr>
          </w:p>
          <w:p w14:paraId="20C5344F" w14:textId="77777777" w:rsidR="00A176E6" w:rsidRPr="00A176E6" w:rsidRDefault="00A176E6" w:rsidP="002D7546">
            <w:pPr>
              <w:spacing w:after="0" w:line="312" w:lineRule="auto"/>
              <w:rPr>
                <w:rFonts w:eastAsia="宋体"/>
                <w:lang w:eastAsia="zh-CN"/>
              </w:rPr>
            </w:pPr>
            <w:r w:rsidRPr="00A176E6">
              <w:rPr>
                <w:rFonts w:eastAsia="宋体"/>
                <w:lang w:eastAsia="zh-CN"/>
              </w:rPr>
              <w:t>For VoIP, 2% rBLER.</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lastRenderedPageBreak/>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宋体"/>
                <w:lang w:eastAsia="zh-CN"/>
              </w:rPr>
            </w:pPr>
            <w:r w:rsidRPr="00A176E6">
              <w:rPr>
                <w:rFonts w:eastAsia="宋体"/>
                <w:lang w:eastAsia="zh-CN"/>
              </w:rPr>
              <w:t>1</w:t>
            </w:r>
            <w:r w:rsidRPr="00A176E6">
              <w:rPr>
                <w:rFonts w:eastAsia="宋体"/>
                <w:lang w:val="en-US" w:eastAsia="zh-CN"/>
              </w:rPr>
              <w:t>，</w:t>
            </w:r>
            <w:r w:rsidRPr="00A176E6">
              <w:rPr>
                <w:rFonts w:eastAsia="宋体"/>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宋体"/>
                <w:lang w:val="en-US" w:eastAsia="zh-CN"/>
              </w:rPr>
            </w:pPr>
          </w:p>
          <w:p w14:paraId="61ACC8A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Working assumption:</w:t>
            </w:r>
          </w:p>
          <w:p w14:paraId="3C9A9DB6" w14:textId="77777777" w:rsidR="00A176E6" w:rsidRPr="00A176E6" w:rsidRDefault="00A176E6" w:rsidP="002D7546">
            <w:pPr>
              <w:spacing w:after="0" w:line="312" w:lineRule="auto"/>
              <w:rPr>
                <w:rFonts w:eastAsia="宋体"/>
                <w:lang w:val="en-US"/>
              </w:rPr>
            </w:pPr>
            <w:r w:rsidRPr="00A176E6">
              <w:rPr>
                <w:rFonts w:eastAsia="宋体"/>
                <w:lang w:val="en-US" w:eastAsia="zh-CN"/>
              </w:rPr>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DFT-s-OFDM, </w:t>
            </w:r>
          </w:p>
          <w:p w14:paraId="1C782442"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t>
            </w:r>
          </w:p>
          <w:p w14:paraId="451BC1FA"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w/o repetition as baseline, </w:t>
            </w:r>
          </w:p>
          <w:p w14:paraId="54ED5DA0"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w/ repetition (optional).  </w:t>
            </w:r>
          </w:p>
          <w:p w14:paraId="312D99BE" w14:textId="77777777" w:rsidR="00A176E6" w:rsidRPr="00A176E6" w:rsidRDefault="00A176E6" w:rsidP="002D7546">
            <w:pPr>
              <w:spacing w:after="0" w:line="312" w:lineRule="auto"/>
              <w:rPr>
                <w:rFonts w:eastAsia="宋体"/>
                <w:lang w:eastAsia="zh-CN"/>
              </w:rPr>
            </w:pPr>
          </w:p>
          <w:p w14:paraId="3D6FE6F7"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VoIP, w/ repetition. </w:t>
            </w:r>
          </w:p>
          <w:p w14:paraId="08FC5C83" w14:textId="77777777" w:rsidR="00A176E6" w:rsidRPr="00A176E6" w:rsidRDefault="00A176E6" w:rsidP="002D7546">
            <w:pPr>
              <w:spacing w:after="0" w:line="312" w:lineRule="auto"/>
              <w:rPr>
                <w:rFonts w:eastAsia="宋体"/>
                <w:lang w:eastAsia="zh-CN"/>
              </w:rPr>
            </w:pPr>
          </w:p>
          <w:p w14:paraId="5475CBB4" w14:textId="77777777" w:rsidR="00A176E6" w:rsidRPr="00A176E6" w:rsidRDefault="00A176E6" w:rsidP="002D7546">
            <w:pPr>
              <w:spacing w:after="0" w:line="312" w:lineRule="auto"/>
              <w:rPr>
                <w:rFonts w:eastAsia="宋体"/>
                <w:lang w:eastAsia="zh-CN"/>
              </w:rPr>
            </w:pPr>
            <w:r w:rsidRPr="00A176E6">
              <w:rPr>
                <w:rFonts w:eastAsia="宋体"/>
                <w:lang w:eastAsia="zh-CN"/>
              </w:rPr>
              <w:t>The actual number of repetitions is reported by companies.</w:t>
            </w:r>
          </w:p>
          <w:p w14:paraId="4614A87C" w14:textId="77777777" w:rsidR="00A176E6" w:rsidRPr="00A176E6" w:rsidRDefault="00A176E6" w:rsidP="002D7546">
            <w:pPr>
              <w:spacing w:after="0" w:line="312" w:lineRule="auto"/>
              <w:rPr>
                <w:rFonts w:eastAsia="宋体"/>
                <w:lang w:eastAsia="zh-CN"/>
              </w:rPr>
            </w:pPr>
            <w:r w:rsidRPr="00A176E6">
              <w:rPr>
                <w:rFonts w:eastAsia="宋体"/>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宋体"/>
                <w:lang w:eastAsia="zh-CN"/>
              </w:rPr>
            </w:pPr>
            <w:r w:rsidRPr="00A176E6">
              <w:rPr>
                <w:rFonts w:eastAsia="宋体"/>
                <w:lang w:eastAsia="zh-CN"/>
              </w:rPr>
              <w:t>For VoIP, w/ HARQ.</w:t>
            </w:r>
          </w:p>
          <w:p w14:paraId="378848D7" w14:textId="77777777" w:rsidR="00A176E6" w:rsidRPr="00A176E6" w:rsidRDefault="00A176E6" w:rsidP="002D7546">
            <w:pPr>
              <w:spacing w:after="0" w:line="312" w:lineRule="auto"/>
              <w:rPr>
                <w:rFonts w:eastAsia="宋体"/>
                <w:lang w:eastAsia="zh-CN"/>
              </w:rPr>
            </w:pPr>
          </w:p>
          <w:p w14:paraId="025F2DE3"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bl>
    <w:p w14:paraId="382A1C73" w14:textId="77777777" w:rsidR="00A176E6" w:rsidRPr="00A176E6" w:rsidRDefault="00A176E6" w:rsidP="00A176E6">
      <w:pPr>
        <w:spacing w:after="0" w:line="312" w:lineRule="auto"/>
        <w:rPr>
          <w:rFonts w:eastAsia="等线"/>
          <w:b/>
          <w:bCs/>
          <w:highlight w:val="yellow"/>
          <w:lang w:eastAsia="zh-CN"/>
        </w:rPr>
      </w:pPr>
    </w:p>
    <w:p w14:paraId="429226B8" w14:textId="315478B6"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宋体"/>
                <w:lang w:eastAsia="zh-CN"/>
              </w:rPr>
            </w:pPr>
            <w:r w:rsidRPr="00A176E6">
              <w:rPr>
                <w:rFonts w:eastAsia="宋体"/>
                <w:lang w:eastAsia="zh-CN"/>
              </w:rPr>
              <w:t>Format 1, 2bits UCI.</w:t>
            </w:r>
          </w:p>
          <w:p w14:paraId="5CC1D0FD" w14:textId="77777777" w:rsidR="00A176E6" w:rsidRPr="00A176E6" w:rsidRDefault="00A176E6" w:rsidP="002D7546">
            <w:pPr>
              <w:spacing w:after="0" w:line="312" w:lineRule="auto"/>
              <w:rPr>
                <w:rFonts w:eastAsia="宋体"/>
                <w:lang w:eastAsia="zh-CN"/>
              </w:rPr>
            </w:pPr>
            <w:r w:rsidRPr="00A176E6">
              <w:rPr>
                <w:rFonts w:eastAsia="宋体"/>
                <w:lang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lastRenderedPageBreak/>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For PUCCH format 1: </w:t>
            </w:r>
          </w:p>
          <w:p w14:paraId="30F2B02D"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DTX to ACK probability: 1%. NACK to ACK probability: 0.1%.</w:t>
            </w:r>
          </w:p>
          <w:p w14:paraId="695D80C5"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ACK missed detection probability: 1%.</w:t>
            </w:r>
          </w:p>
          <w:p w14:paraId="4321EEEA" w14:textId="77777777" w:rsidR="00A176E6" w:rsidRPr="00A176E6" w:rsidRDefault="00A176E6" w:rsidP="002D7546">
            <w:pPr>
              <w:spacing w:after="0" w:line="312" w:lineRule="auto"/>
              <w:rPr>
                <w:rFonts w:eastAsia="宋体"/>
                <w:lang w:eastAsia="zh-CN"/>
              </w:rPr>
            </w:pPr>
            <w:r w:rsidRPr="00A176E6">
              <w:rPr>
                <w:rFonts w:eastAsia="宋体"/>
                <w:lang w:eastAsia="zh-CN"/>
              </w:rPr>
              <w:t>For PUCCH format 3: </w:t>
            </w:r>
          </w:p>
          <w:p w14:paraId="07D76FB0" w14:textId="77777777" w:rsidR="00A176E6" w:rsidRPr="00A176E6" w:rsidRDefault="00A176E6" w:rsidP="002D7546">
            <w:pPr>
              <w:spacing w:after="0" w:line="312" w:lineRule="auto"/>
              <w:rPr>
                <w:rFonts w:eastAsia="宋体"/>
                <w:lang w:eastAsia="zh-CN"/>
              </w:rPr>
            </w:pPr>
            <w:r w:rsidRPr="00A176E6">
              <w:rPr>
                <w:rFonts w:eastAsia="宋体"/>
                <w:lang w:eastAsia="zh-CN"/>
              </w:rPr>
              <w:t xml:space="preserve">BLER for </w:t>
            </w:r>
            <w:r w:rsidRPr="00A176E6">
              <w:rPr>
                <w:rFonts w:eastAsia="宋体"/>
                <w:lang w:eastAsia="ko-KR"/>
              </w:rPr>
              <w:t>Ack/Nack</w:t>
            </w:r>
            <w:r w:rsidRPr="00A176E6">
              <w:rPr>
                <w:rFonts w:eastAsia="宋体"/>
                <w:lang w:eastAsia="zh-CN"/>
              </w:rPr>
              <w:t xml:space="preserve">, </w:t>
            </w:r>
            <w:r w:rsidRPr="00A176E6">
              <w:rPr>
                <w:rFonts w:eastAsia="宋体"/>
                <w:lang w:eastAsia="ko-KR"/>
              </w:rPr>
              <w:t>SR</w:t>
            </w:r>
            <w:r w:rsidRPr="00A176E6">
              <w:rPr>
                <w:rFonts w:eastAsia="宋体"/>
                <w:lang w:eastAsia="zh-CN"/>
              </w:rPr>
              <w:t>: 1%</w:t>
            </w:r>
          </w:p>
          <w:p w14:paraId="6EE45CE5" w14:textId="77777777" w:rsidR="00A176E6" w:rsidRPr="00A176E6" w:rsidRDefault="00A176E6" w:rsidP="002D7546">
            <w:pPr>
              <w:spacing w:after="0" w:line="312" w:lineRule="auto"/>
              <w:rPr>
                <w:rFonts w:eastAsia="等线"/>
                <w:lang w:val="en-US" w:eastAsia="zh-CN"/>
              </w:rPr>
            </w:pPr>
            <w:r w:rsidRPr="00A176E6">
              <w:rPr>
                <w:rFonts w:eastAsia="宋体"/>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宋体"/>
                <w:lang w:eastAsia="zh-CN"/>
              </w:rPr>
            </w:pPr>
            <w:r w:rsidRPr="00A176E6">
              <w:rPr>
                <w:rFonts w:eastAsia="宋体"/>
                <w:lang w:eastAsia="zh-CN"/>
              </w:rPr>
              <w:t>w/ repetition (optional), w/o repetition for PUCCH.</w:t>
            </w:r>
          </w:p>
          <w:p w14:paraId="605BA854" w14:textId="77777777" w:rsidR="00A176E6" w:rsidRPr="00A176E6" w:rsidRDefault="00A176E6" w:rsidP="002D7546">
            <w:pPr>
              <w:spacing w:after="0" w:line="312" w:lineRule="auto"/>
              <w:rPr>
                <w:rFonts w:eastAsia="宋体"/>
                <w:lang w:eastAsia="zh-CN"/>
              </w:rPr>
            </w:pPr>
            <w:r w:rsidRPr="00A176E6">
              <w:rPr>
                <w:rFonts w:eastAsia="宋体"/>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宋体"/>
                <w:lang w:val="en-US" w:eastAsia="zh-CN"/>
              </w:rPr>
            </w:pPr>
            <w:r w:rsidRPr="00A176E6">
              <w:rPr>
                <w:rFonts w:eastAsia="宋体"/>
                <w:lang w:val="en-US" w:eastAsia="zh-CN"/>
              </w:rPr>
              <w:t>FFS: number of DMRS symbols for PUCCH Format 3.</w:t>
            </w:r>
          </w:p>
        </w:tc>
      </w:tr>
    </w:tbl>
    <w:p w14:paraId="2012E886" w14:textId="77777777" w:rsidR="00A176E6" w:rsidRPr="00A176E6" w:rsidRDefault="00A176E6" w:rsidP="00A176E6">
      <w:pPr>
        <w:spacing w:after="0" w:line="312" w:lineRule="auto"/>
        <w:rPr>
          <w:rFonts w:eastAsia="等线"/>
          <w:lang w:eastAsia="zh-CN"/>
        </w:rPr>
      </w:pPr>
    </w:p>
    <w:p w14:paraId="106F175B" w14:textId="120628E5" w:rsidR="00A176E6" w:rsidRPr="00A176E6" w:rsidRDefault="00A176E6" w:rsidP="002078CB">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CE16</w:t>
      </w:r>
      <w:r w:rsidRPr="00A176E6">
        <w:rPr>
          <w:rFonts w:eastAsia="宋体"/>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宋体"/>
          <w:lang w:eastAsia="x-none"/>
        </w:rPr>
      </w:pPr>
      <w:r w:rsidRPr="00A176E6">
        <w:rPr>
          <w:rFonts w:eastAsia="宋体"/>
          <w:lang w:eastAsia="x-none"/>
        </w:rPr>
        <w:t xml:space="preserve">For link level simulation, adopt the following table for eMBB data or VoIP on </w:t>
      </w:r>
      <w:r w:rsidRPr="00A176E6">
        <w:rPr>
          <w:rFonts w:eastAsia="宋体"/>
          <w:lang w:val="en-US" w:eastAsia="x-none"/>
        </w:rPr>
        <w:t>PUSCH and for PUCCH</w:t>
      </w:r>
      <w:r w:rsidRPr="00A176E6">
        <w:rPr>
          <w:rFonts w:eastAsia="宋体"/>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等线"/>
                <w:b/>
                <w:bCs/>
                <w:lang w:eastAsia="zh-CN"/>
              </w:rPr>
            </w:pPr>
            <w:r w:rsidRPr="00A176E6">
              <w:rPr>
                <w:rFonts w:eastAsia="宋体"/>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宋体"/>
                <w:b/>
                <w:bCs/>
                <w:highlight w:val="yellow"/>
                <w:lang w:eastAsia="zh-CN"/>
              </w:rPr>
            </w:pPr>
            <w:r w:rsidRPr="00A176E6">
              <w:rPr>
                <w:rFonts w:eastAsia="宋体"/>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宋体"/>
                <w:lang w:val="en-US" w:eastAsia="zh-CN"/>
              </w:rPr>
            </w:pPr>
            <w:r w:rsidRPr="00A176E6">
              <w:rPr>
                <w:rFonts w:eastAsia="宋体"/>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(12,8,2,1,1)</w:t>
            </w:r>
          </w:p>
          <w:p w14:paraId="1CB110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(optional) 128 antenna elements for 4GHz, </w:t>
            </w:r>
          </w:p>
          <w:p w14:paraId="4FE37CB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(8,8,2,1,1)</w:t>
            </w:r>
          </w:p>
          <w:p w14:paraId="653339F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64 antenna elements for 4GHz and 2.6GHz</w:t>
            </w:r>
          </w:p>
          <w:p w14:paraId="79428965"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(8,4,2,1,1)</w:t>
            </w:r>
          </w:p>
          <w:p w14:paraId="089DE666"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32 antenna elements for 2GHz</w:t>
            </w:r>
          </w:p>
          <w:p w14:paraId="2C9C908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(8,2,2,1,1)</w:t>
            </w:r>
          </w:p>
          <w:p w14:paraId="0D614ABC"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16 antenna elements for 700MHz</w:t>
            </w:r>
          </w:p>
          <w:p w14:paraId="687CD0E8"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(M,N,P,Mg,Ng)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宋体"/>
                <w:lang w:val="en-US" w:eastAsia="zh-CN"/>
              </w:rPr>
            </w:pPr>
            <w:r w:rsidRPr="00A176E6">
              <w:rPr>
                <w:rFonts w:eastAsia="宋体"/>
                <w:lang w:val="en-US" w:eastAsia="zh-CN"/>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宋体"/>
                <w:lang w:val="en-US" w:eastAsia="zh-CN"/>
              </w:rPr>
            </w:pPr>
            <w:r w:rsidRPr="00080910">
              <w:rPr>
                <w:rFonts w:eastAsia="宋体"/>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Urban: 300ns</w:t>
            </w:r>
          </w:p>
          <w:p w14:paraId="3435A96A"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300ns</w:t>
            </w:r>
          </w:p>
          <w:p w14:paraId="09B1040E"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宋体"/>
                <w:lang w:val="en-US"/>
              </w:rPr>
            </w:pPr>
            <w:r w:rsidRPr="00A176E6">
              <w:rPr>
                <w:rFonts w:eastAsia="宋体"/>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宋体"/>
                <w:lang w:val="en-US" w:eastAsia="zh-CN"/>
              </w:rPr>
            </w:pPr>
            <w:r w:rsidRPr="00A176E6">
              <w:rPr>
                <w:rFonts w:eastAsia="宋体"/>
                <w:lang w:val="en-US"/>
              </w:rPr>
              <w:t>T</w:t>
            </w:r>
            <w:r w:rsidRPr="00A176E6">
              <w:rPr>
                <w:rFonts w:eastAsia="宋体"/>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 xml:space="preserve">[4 PRBs] for VoIP as starting point. </w:t>
            </w:r>
          </w:p>
          <w:p w14:paraId="23A1DA73" w14:textId="77777777" w:rsidR="00A176E6" w:rsidRPr="00A176E6" w:rsidRDefault="00A176E6" w:rsidP="00A176E6">
            <w:pPr>
              <w:spacing w:after="0" w:line="312" w:lineRule="auto"/>
              <w:rPr>
                <w:rFonts w:eastAsia="宋体"/>
                <w:lang w:val="en-US" w:eastAsia="zh-CN"/>
              </w:rPr>
            </w:pPr>
            <w:r w:rsidRPr="00A176E6">
              <w:rPr>
                <w:rFonts w:eastAsia="宋体"/>
                <w:lang w:val="en-US" w:eastAsia="zh-CN"/>
              </w:rPr>
              <w:t>Other values of PRBs can be reported by companies.</w:t>
            </w:r>
          </w:p>
          <w:p w14:paraId="13462740" w14:textId="77777777" w:rsidR="00A176E6" w:rsidRPr="00A176E6" w:rsidRDefault="00A176E6" w:rsidP="00A176E6">
            <w:pPr>
              <w:spacing w:after="0" w:line="312" w:lineRule="auto"/>
              <w:rPr>
                <w:rFonts w:eastAsia="宋体"/>
                <w:lang w:val="en-US" w:eastAsia="zh-CN"/>
              </w:rPr>
            </w:pPr>
            <w:r w:rsidRPr="00A176E6">
              <w:rPr>
                <w:rFonts w:eastAsia="宋体"/>
                <w:lang w:eastAsia="zh-CN"/>
              </w:rPr>
              <w:t>QPSK, pi/2 BPSK (optional)</w:t>
            </w:r>
          </w:p>
        </w:tc>
      </w:tr>
    </w:tbl>
    <w:p w14:paraId="48F1BD29" w14:textId="4FE0BBB5" w:rsidR="00A176E6" w:rsidRPr="00A176E6" w:rsidRDefault="00A176E6" w:rsidP="00A176E6">
      <w:pPr>
        <w:spacing w:after="0"/>
        <w:rPr>
          <w:rFonts w:eastAsia="等线"/>
          <w:lang w:val="en-US" w:eastAsia="zh-CN"/>
        </w:rPr>
      </w:pPr>
      <w:r w:rsidRPr="00A176E6">
        <w:rPr>
          <w:rFonts w:eastAsia="宋体"/>
          <w:lang w:val="en-US" w:eastAsia="zh-CN"/>
        </w:rPr>
        <w:lastRenderedPageBreak/>
        <w:t>Note: For TDL models, companies report whether antenna array gai</w:t>
      </w:r>
      <w:r w:rsidR="00E461A9" w:rsidRPr="002D7546">
        <w:rPr>
          <w:rFonts w:eastAsia="宋体"/>
          <w:lang w:val="en-US" w:eastAsia="zh-CN"/>
        </w:rPr>
        <w:t>n</w:t>
      </w:r>
      <w:r w:rsidRPr="00A176E6">
        <w:rPr>
          <w:rFonts w:eastAsia="宋体"/>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宋体"/>
          <w:b/>
          <w:bCs/>
          <w:lang w:val="en-US" w:eastAsia="zh-CN"/>
        </w:rPr>
      </w:pPr>
    </w:p>
    <w:p w14:paraId="06D9E94A" w14:textId="234D5C3D" w:rsidR="00A176E6" w:rsidRPr="00A176E6" w:rsidRDefault="00A176E6" w:rsidP="00A176E6">
      <w:pPr>
        <w:spacing w:after="0"/>
        <w:rPr>
          <w:rFonts w:eastAsia="宋体"/>
          <w:highlight w:val="green"/>
          <w:lang w:val="en-US" w:eastAsia="zh-CN"/>
        </w:rPr>
      </w:pPr>
      <w:r w:rsidRPr="00A176E6">
        <w:rPr>
          <w:rFonts w:eastAsia="宋体"/>
          <w:highlight w:val="green"/>
          <w:lang w:val="en-US" w:eastAsia="zh-CN"/>
        </w:rPr>
        <w:t>Agreement</w:t>
      </w:r>
      <w:r w:rsidR="00A21BAB" w:rsidRPr="002D7546">
        <w:rPr>
          <w:rFonts w:eastAsia="宋体"/>
          <w:highlight w:val="green"/>
          <w:lang w:val="en-US" w:eastAsia="zh-CN"/>
        </w:rPr>
        <w:t xml:space="preserve"> CE17</w:t>
      </w:r>
      <w:r w:rsidRPr="00A176E6">
        <w:rPr>
          <w:rFonts w:eastAsia="宋体"/>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宋体"/>
          <w:lang w:val="en-US" w:eastAsia="x-none"/>
        </w:rPr>
      </w:pPr>
      <w:r w:rsidRPr="00A176E6">
        <w:rPr>
          <w:rFonts w:eastAsia="宋体"/>
          <w:lang w:val="en-US" w:eastAsia="x-none"/>
        </w:rPr>
        <w:t>Adopt the following target data rates for eMBB performance evaluation for FR2.</w:t>
      </w:r>
    </w:p>
    <w:p w14:paraId="11F503D3" w14:textId="77777777" w:rsidR="00A176E6" w:rsidRPr="00A176E6" w:rsidRDefault="00A176E6" w:rsidP="00A176E6">
      <w:pPr>
        <w:numPr>
          <w:ilvl w:val="0"/>
          <w:numId w:val="28"/>
        </w:numPr>
        <w:autoSpaceDN w:val="0"/>
        <w:spacing w:after="0"/>
        <w:jc w:val="both"/>
        <w:rPr>
          <w:rFonts w:eastAsia="等线"/>
          <w:color w:val="000000"/>
          <w:lang w:eastAsia="zh-CN"/>
        </w:rPr>
      </w:pPr>
      <w:r w:rsidRPr="00A176E6">
        <w:rPr>
          <w:rFonts w:eastAsia="宋体"/>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宋体"/>
          <w:color w:val="000000"/>
          <w:lang w:eastAsia="zh-CN"/>
        </w:rPr>
      </w:pPr>
      <w:r w:rsidRPr="00A176E6">
        <w:rPr>
          <w:rFonts w:eastAsia="宋体"/>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宋体"/>
          <w:lang w:eastAsia="zh-CN"/>
        </w:rPr>
      </w:pPr>
      <w:r w:rsidRPr="00A176E6">
        <w:rPr>
          <w:rFonts w:eastAsia="宋体"/>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1890E" w14:textId="77777777" w:rsidR="004445CD" w:rsidRDefault="004445CD" w:rsidP="00581A60">
      <w:pPr>
        <w:spacing w:after="0"/>
      </w:pPr>
      <w:r>
        <w:separator/>
      </w:r>
    </w:p>
  </w:endnote>
  <w:endnote w:type="continuationSeparator" w:id="0">
    <w:p w14:paraId="4B80B095" w14:textId="77777777" w:rsidR="004445CD" w:rsidRDefault="004445CD"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1113F" w14:textId="77777777" w:rsidR="004445CD" w:rsidRDefault="004445CD" w:rsidP="00581A60">
      <w:pPr>
        <w:spacing w:after="0"/>
      </w:pPr>
      <w:r>
        <w:separator/>
      </w:r>
    </w:p>
  </w:footnote>
  <w:footnote w:type="continuationSeparator" w:id="0">
    <w:p w14:paraId="196650B7" w14:textId="77777777" w:rsidR="004445CD" w:rsidRDefault="004445CD"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3"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861624"/>
    <w:multiLevelType w:val="hybridMultilevel"/>
    <w:tmpl w:val="95D0BBA6"/>
    <w:lvl w:ilvl="0" w:tplc="5D22395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24"/>
  </w:num>
  <w:num w:numId="8">
    <w:abstractNumId w:val="23"/>
  </w:num>
  <w:num w:numId="9">
    <w:abstractNumId w:val="1"/>
  </w:num>
  <w:num w:numId="10">
    <w:abstractNumId w:val="0"/>
  </w:num>
  <w:num w:numId="11">
    <w:abstractNumId w:val="3"/>
  </w:num>
  <w:num w:numId="12">
    <w:abstractNumId w:val="20"/>
  </w:num>
  <w:num w:numId="13">
    <w:abstractNumId w:val="21"/>
  </w:num>
  <w:num w:numId="14">
    <w:abstractNumId w:val="9"/>
  </w:num>
  <w:num w:numId="15">
    <w:abstractNumId w:val="20"/>
  </w:num>
  <w:num w:numId="16">
    <w:abstractNumId w:val="21"/>
  </w:num>
  <w:num w:numId="17">
    <w:abstractNumId w:val="14"/>
  </w:num>
  <w:num w:numId="18">
    <w:abstractNumId w:val="22"/>
  </w:num>
  <w:num w:numId="19">
    <w:abstractNumId w:val="10"/>
  </w:num>
  <w:num w:numId="20">
    <w:abstractNumId w:val="22"/>
  </w:num>
  <w:num w:numId="21">
    <w:abstractNumId w:val="16"/>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20"/>
  </w:num>
  <w:num w:numId="26">
    <w:abstractNumId w:val="14"/>
  </w:num>
  <w:num w:numId="27">
    <w:abstractNumId w:val="21"/>
  </w:num>
  <w:num w:numId="28">
    <w:abstractNumId w:val="22"/>
  </w:num>
  <w:num w:numId="29">
    <w:abstractNumId w:val="16"/>
  </w:num>
  <w:num w:numId="30">
    <w:abstractNumId w:val="19"/>
  </w:num>
  <w:num w:numId="31">
    <w:abstractNumId w:val="10"/>
  </w:num>
  <w:num w:numId="32">
    <w:abstractNumId w:val="11"/>
  </w:num>
  <w:num w:numId="33">
    <w:abstractNumId w:val="6"/>
  </w:num>
  <w:num w:numId="34">
    <w:abstractNumId w:val="18"/>
  </w:num>
  <w:num w:numId="35">
    <w:abstractNumId w:val="8"/>
  </w:num>
  <w:num w:numId="36">
    <w:abstractNumId w:val="17"/>
  </w:num>
  <w:num w:numId="37">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B50"/>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6D95"/>
    <w:rsid w:val="000C6E7B"/>
    <w:rsid w:val="000C7FC0"/>
    <w:rsid w:val="000D0789"/>
    <w:rsid w:val="000D10A1"/>
    <w:rsid w:val="000D29EF"/>
    <w:rsid w:val="000D2B68"/>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11E3"/>
    <w:rsid w:val="001E1FED"/>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505E"/>
    <w:rsid w:val="003356C5"/>
    <w:rsid w:val="00337C2D"/>
    <w:rsid w:val="00340BFC"/>
    <w:rsid w:val="00341716"/>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7535"/>
    <w:rsid w:val="004445CD"/>
    <w:rsid w:val="00444E99"/>
    <w:rsid w:val="00444FAE"/>
    <w:rsid w:val="004457F4"/>
    <w:rsid w:val="0044730A"/>
    <w:rsid w:val="00450D57"/>
    <w:rsid w:val="00450D6B"/>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AB0"/>
    <w:rsid w:val="005A2DA5"/>
    <w:rsid w:val="005A41DD"/>
    <w:rsid w:val="005A7B07"/>
    <w:rsid w:val="005B1187"/>
    <w:rsid w:val="005B229F"/>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40BCA"/>
    <w:rsid w:val="00642D62"/>
    <w:rsid w:val="00643B34"/>
    <w:rsid w:val="006445B7"/>
    <w:rsid w:val="00645909"/>
    <w:rsid w:val="00647454"/>
    <w:rsid w:val="00647F89"/>
    <w:rsid w:val="00650A6A"/>
    <w:rsid w:val="00653AB0"/>
    <w:rsid w:val="00654B8D"/>
    <w:rsid w:val="006603BA"/>
    <w:rsid w:val="00661BD8"/>
    <w:rsid w:val="0066249B"/>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1009"/>
    <w:rsid w:val="007016B1"/>
    <w:rsid w:val="00701D3B"/>
    <w:rsid w:val="00702AEC"/>
    <w:rsid w:val="00703F10"/>
    <w:rsid w:val="007104B4"/>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138D"/>
    <w:rsid w:val="00831AD2"/>
    <w:rsid w:val="00831ED6"/>
    <w:rsid w:val="00832202"/>
    <w:rsid w:val="0083630B"/>
    <w:rsid w:val="0084313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B71"/>
    <w:rsid w:val="008C4316"/>
    <w:rsid w:val="008C4EE2"/>
    <w:rsid w:val="008D0772"/>
    <w:rsid w:val="008D1D8F"/>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FAC"/>
    <w:rsid w:val="009035A8"/>
    <w:rsid w:val="00903F16"/>
    <w:rsid w:val="00907FA0"/>
    <w:rsid w:val="009105F0"/>
    <w:rsid w:val="00911EFE"/>
    <w:rsid w:val="009146A3"/>
    <w:rsid w:val="00917862"/>
    <w:rsid w:val="009213AF"/>
    <w:rsid w:val="009226FD"/>
    <w:rsid w:val="00922FD1"/>
    <w:rsid w:val="00924B54"/>
    <w:rsid w:val="009332EB"/>
    <w:rsid w:val="00933756"/>
    <w:rsid w:val="00935757"/>
    <w:rsid w:val="00936D15"/>
    <w:rsid w:val="009374F6"/>
    <w:rsid w:val="00937653"/>
    <w:rsid w:val="00940031"/>
    <w:rsid w:val="009402E0"/>
    <w:rsid w:val="00940F09"/>
    <w:rsid w:val="00943CA9"/>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42CE"/>
    <w:rsid w:val="009669CC"/>
    <w:rsid w:val="00970525"/>
    <w:rsid w:val="00970A51"/>
    <w:rsid w:val="00972123"/>
    <w:rsid w:val="00972FFA"/>
    <w:rsid w:val="00981B8E"/>
    <w:rsid w:val="00981FCB"/>
    <w:rsid w:val="00983BFD"/>
    <w:rsid w:val="009854E7"/>
    <w:rsid w:val="009870B6"/>
    <w:rsid w:val="00990C27"/>
    <w:rsid w:val="009927B8"/>
    <w:rsid w:val="009928FE"/>
    <w:rsid w:val="009938D0"/>
    <w:rsid w:val="00995281"/>
    <w:rsid w:val="00996563"/>
    <w:rsid w:val="00996F94"/>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2CC7"/>
    <w:rsid w:val="00A131ED"/>
    <w:rsid w:val="00A1361F"/>
    <w:rsid w:val="00A1397C"/>
    <w:rsid w:val="00A149CE"/>
    <w:rsid w:val="00A16E16"/>
    <w:rsid w:val="00A17380"/>
    <w:rsid w:val="00A176E6"/>
    <w:rsid w:val="00A17F0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6111"/>
    <w:rsid w:val="00A57279"/>
    <w:rsid w:val="00A613DF"/>
    <w:rsid w:val="00A620D8"/>
    <w:rsid w:val="00A628DE"/>
    <w:rsid w:val="00A64F4C"/>
    <w:rsid w:val="00A65074"/>
    <w:rsid w:val="00A66C4D"/>
    <w:rsid w:val="00A67C8B"/>
    <w:rsid w:val="00A70611"/>
    <w:rsid w:val="00A71B05"/>
    <w:rsid w:val="00A727DB"/>
    <w:rsid w:val="00A72FA3"/>
    <w:rsid w:val="00A75A68"/>
    <w:rsid w:val="00A75BEA"/>
    <w:rsid w:val="00A76797"/>
    <w:rsid w:val="00A76ABB"/>
    <w:rsid w:val="00A80BA6"/>
    <w:rsid w:val="00A81501"/>
    <w:rsid w:val="00A85E55"/>
    <w:rsid w:val="00A87191"/>
    <w:rsid w:val="00A87493"/>
    <w:rsid w:val="00A87BA1"/>
    <w:rsid w:val="00A938FF"/>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D80"/>
    <w:rsid w:val="00AE6205"/>
    <w:rsid w:val="00AF1F79"/>
    <w:rsid w:val="00AF3092"/>
    <w:rsid w:val="00AF3924"/>
    <w:rsid w:val="00AF472E"/>
    <w:rsid w:val="00AF5E56"/>
    <w:rsid w:val="00AF5FC3"/>
    <w:rsid w:val="00B01C6D"/>
    <w:rsid w:val="00B02294"/>
    <w:rsid w:val="00B02B0E"/>
    <w:rsid w:val="00B03459"/>
    <w:rsid w:val="00B03B0D"/>
    <w:rsid w:val="00B06263"/>
    <w:rsid w:val="00B07846"/>
    <w:rsid w:val="00B144E3"/>
    <w:rsid w:val="00B14712"/>
    <w:rsid w:val="00B1507F"/>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37C0"/>
    <w:rsid w:val="00B643B1"/>
    <w:rsid w:val="00B649C8"/>
    <w:rsid w:val="00B67293"/>
    <w:rsid w:val="00B672CD"/>
    <w:rsid w:val="00B67FEB"/>
    <w:rsid w:val="00B72006"/>
    <w:rsid w:val="00B72380"/>
    <w:rsid w:val="00B72747"/>
    <w:rsid w:val="00B74535"/>
    <w:rsid w:val="00B755DC"/>
    <w:rsid w:val="00B75F70"/>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6A4D"/>
    <w:rsid w:val="00BF0B77"/>
    <w:rsid w:val="00BF1AC6"/>
    <w:rsid w:val="00BF2947"/>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FA3"/>
    <w:rsid w:val="00C67023"/>
    <w:rsid w:val="00C67C01"/>
    <w:rsid w:val="00C70395"/>
    <w:rsid w:val="00C714EC"/>
    <w:rsid w:val="00C715ED"/>
    <w:rsid w:val="00C73829"/>
    <w:rsid w:val="00C73CE5"/>
    <w:rsid w:val="00C744BF"/>
    <w:rsid w:val="00C74CFB"/>
    <w:rsid w:val="00C75FAE"/>
    <w:rsid w:val="00C76B02"/>
    <w:rsid w:val="00C8102F"/>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70C"/>
    <w:rsid w:val="00DC6D71"/>
    <w:rsid w:val="00DD3731"/>
    <w:rsid w:val="00DD568A"/>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40FEB"/>
    <w:rsid w:val="00E422F9"/>
    <w:rsid w:val="00E43A60"/>
    <w:rsid w:val="00E44584"/>
    <w:rsid w:val="00E45811"/>
    <w:rsid w:val="00E461A9"/>
    <w:rsid w:val="00E46E37"/>
    <w:rsid w:val="00E46F77"/>
    <w:rsid w:val="00E501DB"/>
    <w:rsid w:val="00E50219"/>
    <w:rsid w:val="00E545BA"/>
    <w:rsid w:val="00E55B22"/>
    <w:rsid w:val="00E572EE"/>
    <w:rsid w:val="00E601C3"/>
    <w:rsid w:val="00E61033"/>
    <w:rsid w:val="00E618E5"/>
    <w:rsid w:val="00E651A7"/>
    <w:rsid w:val="00E70E3A"/>
    <w:rsid w:val="00E72E68"/>
    <w:rsid w:val="00E736C9"/>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6C8"/>
    <w:rsid w:val="00F63D18"/>
    <w:rsid w:val="00F65225"/>
    <w:rsid w:val="00F71301"/>
    <w:rsid w:val="00F732C7"/>
    <w:rsid w:val="00F73B93"/>
    <w:rsid w:val="00F754AD"/>
    <w:rsid w:val="00F75691"/>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D42"/>
    <w:rsid w:val="00FF06ED"/>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customStyle="1" w:styleId="3GPPAgreements">
    <w:name w:val="3GPP Agreements"/>
    <w:basedOn w:val="a"/>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宋体"/>
      <w:sz w:val="22"/>
      <w:lang w:val="en-US" w:eastAsia="zh-CN"/>
    </w:rPr>
  </w:style>
  <w:style w:type="character" w:customStyle="1" w:styleId="3GPPAgreementsChar">
    <w:name w:val="3GPP Agreements Char"/>
    <w:link w:val="3GPPAgreements"/>
    <w:qFormat/>
    <w:rsid w:val="004F4924"/>
    <w:rPr>
      <w:rFonts w:eastAsia="宋体"/>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CC49A-4942-4C95-BD77-54AE3C00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20</Pages>
  <Words>6575</Words>
  <Characters>37478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左志松</cp:lastModifiedBy>
  <cp:revision>18</cp:revision>
  <dcterms:created xsi:type="dcterms:W3CDTF">2020-06-16T01:11:00Z</dcterms:created>
  <dcterms:modified xsi:type="dcterms:W3CDTF">2020-06-16T03:34:00Z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0x0101003C4C8F31E74DF74E8FCFF284B4431CE2</vt:lpwstr>
  </property>
  <property fmtid="{D5CDD505-2E9C-101B-9397-08002B2CF9AE}" pid="13" name="_2015_ms_pID_7253432">
    <vt:lpwstr>HQ==</vt:lpwstr>
  </property>
</Properties>
</file>