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Heading2"/>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ListParagraph"/>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ListParagraph"/>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ListParagraph"/>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ListParagraph"/>
        <w:numPr>
          <w:ilvl w:val="1"/>
          <w:numId w:val="16"/>
        </w:numPr>
        <w:rPr>
          <w:highlight w:val="yellow"/>
        </w:rPr>
      </w:pPr>
      <w:r w:rsidRPr="004931BE">
        <w:rPr>
          <w:highlight w:val="yellow"/>
        </w:rPr>
        <w:t>Type-1: remaining details of frame indexing</w:t>
      </w:r>
    </w:p>
    <w:p w14:paraId="0EC9DCFC" w14:textId="07AB4504" w:rsidR="00FE225F" w:rsidRPr="00081CF6" w:rsidRDefault="00FE225F" w:rsidP="002F44E6">
      <w:pPr>
        <w:pStyle w:val="ListParagraph"/>
        <w:numPr>
          <w:ilvl w:val="1"/>
          <w:numId w:val="16"/>
        </w:numPr>
        <w:rPr>
          <w:ins w:id="1" w:author="Author"/>
          <w:highlight w:val="yellow"/>
          <w:rPrChange w:id="2" w:author="Author">
            <w:rPr>
              <w:ins w:id="3" w:author="Author"/>
            </w:rPr>
          </w:rPrChange>
        </w:rPr>
      </w:pPr>
      <w:r w:rsidRPr="00081CF6">
        <w:rPr>
          <w:highlight w:val="yellow"/>
          <w:rPrChange w:id="4" w:author="Author">
            <w:rPr/>
          </w:rPrChange>
        </w:rPr>
        <w:t>Remaining details on HARQ process ID determination</w:t>
      </w:r>
    </w:p>
    <w:p w14:paraId="50834C65" w14:textId="7C15EE2B" w:rsidR="003A21B9" w:rsidRPr="00081CF6" w:rsidRDefault="003A21B9" w:rsidP="00377ED0">
      <w:pPr>
        <w:pStyle w:val="ListParagraph"/>
        <w:numPr>
          <w:ilvl w:val="0"/>
          <w:numId w:val="16"/>
        </w:numPr>
        <w:rPr>
          <w:ins w:id="5" w:author="Author"/>
          <w:highlight w:val="yellow"/>
          <w:rPrChange w:id="6" w:author="Author">
            <w:rPr>
              <w:ins w:id="7" w:author="Author"/>
            </w:rPr>
          </w:rPrChange>
        </w:rPr>
      </w:pPr>
      <w:ins w:id="8" w:author="Author">
        <w:r w:rsidRPr="00081CF6">
          <w:rPr>
            <w:highlight w:val="yellow"/>
            <w:rPrChange w:id="9" w:author="Author">
              <w:rPr/>
            </w:rPrChange>
          </w:rPr>
          <w:t>Processing times</w:t>
        </w:r>
      </w:ins>
    </w:p>
    <w:p w14:paraId="705ED743" w14:textId="56FF4BAB" w:rsidR="003A21B9" w:rsidRPr="00081CF6" w:rsidRDefault="003A21B9" w:rsidP="00377ED0">
      <w:pPr>
        <w:pStyle w:val="ListParagraph"/>
        <w:numPr>
          <w:ilvl w:val="1"/>
          <w:numId w:val="16"/>
        </w:numPr>
        <w:rPr>
          <w:ins w:id="10" w:author="Author"/>
          <w:highlight w:val="yellow"/>
          <w:rPrChange w:id="11" w:author="Author">
            <w:rPr>
              <w:ins w:id="12" w:author="Author"/>
            </w:rPr>
          </w:rPrChange>
        </w:rPr>
      </w:pPr>
      <w:ins w:id="13" w:author="Author">
        <w:r w:rsidRPr="00081CF6">
          <w:rPr>
            <w:highlight w:val="yellow"/>
            <w:rPrChange w:id="14" w:author="Author">
              <w:rPr/>
            </w:rPrChange>
          </w:rPr>
          <w:t>Whether to support multiple UE capabilities or not</w:t>
        </w:r>
        <w:r w:rsidR="00377ED0" w:rsidRPr="00081CF6">
          <w:rPr>
            <w:highlight w:val="yellow"/>
            <w:rPrChange w:id="15" w:author="Author">
              <w:rPr/>
            </w:rPrChange>
          </w:rPr>
          <w:t xml:space="preserve"> and, if so, how many. </w:t>
        </w:r>
      </w:ins>
    </w:p>
    <w:p w14:paraId="1B06C2EE" w14:textId="680CAA49" w:rsidR="00805CE3" w:rsidRPr="00081CF6" w:rsidRDefault="00805CE3" w:rsidP="00081CF6">
      <w:pPr>
        <w:pStyle w:val="ListParagraph"/>
        <w:numPr>
          <w:ilvl w:val="0"/>
          <w:numId w:val="16"/>
        </w:numPr>
        <w:rPr>
          <w:highlight w:val="yellow"/>
          <w:rPrChange w:id="16" w:author="Author">
            <w:rPr/>
          </w:rPrChange>
        </w:rPr>
        <w:pPrChange w:id="17" w:author="Author">
          <w:pPr>
            <w:pStyle w:val="ListParagraph"/>
            <w:numPr>
              <w:ilvl w:val="1"/>
              <w:numId w:val="16"/>
            </w:numPr>
            <w:ind w:left="1440" w:hanging="360"/>
          </w:pPr>
        </w:pPrChange>
      </w:pPr>
      <w:ins w:id="18" w:author="Author">
        <w:r w:rsidRPr="00081CF6">
          <w:rPr>
            <w:highlight w:val="yellow"/>
            <w:rPrChange w:id="19" w:author="Author">
              <w:rPr/>
            </w:rPrChange>
          </w:rPr>
          <w:t xml:space="preserve">Any issue related to </w:t>
        </w:r>
        <w:r w:rsidR="008C6A54">
          <w:rPr>
            <w:highlight w:val="yellow"/>
          </w:rPr>
          <w:t xml:space="preserve">this AI and </w:t>
        </w:r>
        <w:r w:rsidRPr="00081CF6">
          <w:rPr>
            <w:highlight w:val="yellow"/>
            <w:rPrChange w:id="20" w:author="Author">
              <w:rPr/>
            </w:rPrChange>
          </w:rPr>
          <w:t>the LS from RAN2 in R1-2003256</w:t>
        </w:r>
        <w:r w:rsidR="008C6A54">
          <w:rPr>
            <w:highlight w:val="yellow"/>
          </w:rPr>
          <w:t>.</w:t>
        </w:r>
      </w:ins>
    </w:p>
    <w:p w14:paraId="712F7933" w14:textId="77777777" w:rsidR="00E23DB2" w:rsidRDefault="00D37555" w:rsidP="00D37555">
      <w:pPr>
        <w:pStyle w:val="Heading2"/>
      </w:pPr>
      <w:r>
        <w:t>1.</w:t>
      </w:r>
      <w:r w:rsidR="0075737A">
        <w:t>2</w:t>
      </w:r>
      <w:r>
        <w:tab/>
        <w:t>DCI aspects</w:t>
      </w:r>
      <w:r w:rsidR="002261CE">
        <w:t xml:space="preserve"> </w:t>
      </w:r>
    </w:p>
    <w:p w14:paraId="45498892" w14:textId="77777777" w:rsidR="00D37555" w:rsidRPr="00E23DB2" w:rsidRDefault="00E23DB2" w:rsidP="00D37555">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ListParagraph"/>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ListParagraph"/>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Author">
        <w:r w:rsidR="004B26A2">
          <w:rPr>
            <w:highlight w:val="yellow"/>
          </w:rPr>
          <w:t xml:space="preserve">, </w:t>
        </w:r>
        <w:r w:rsidR="004B26A2" w:rsidRPr="00081CF6">
          <w:rPr>
            <w:highlight w:val="yellow"/>
            <w:rPrChange w:id="22" w:author="Author">
              <w:rPr/>
            </w:rPrChange>
          </w:rPr>
          <w:t>PSFCH-to-HARQ_feedback timing indicator</w:t>
        </w:r>
      </w:ins>
      <w:del w:id="23" w:author="Author">
        <w:r w:rsidR="001F63E9" w:rsidRPr="00A50F94" w:rsidDel="004B26A2">
          <w:rPr>
            <w:highlight w:val="yellow"/>
          </w:rPr>
          <w:delText>.</w:delText>
        </w:r>
      </w:del>
    </w:p>
    <w:p w14:paraId="1321699A" w14:textId="77777777" w:rsidR="005F1555" w:rsidRPr="00A50F94" w:rsidRDefault="005F1555" w:rsidP="002F44E6">
      <w:pPr>
        <w:pStyle w:val="ListParagraph"/>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ListParagraph"/>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ListParagraph"/>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Heading2"/>
      </w:pPr>
      <w:r>
        <w:lastRenderedPageBreak/>
        <w:t>1.</w:t>
      </w:r>
      <w:r w:rsidR="00A9627F">
        <w:t>3</w:t>
      </w:r>
      <w:r>
        <w:tab/>
        <w:t>HARQ reporting to gNB</w:t>
      </w:r>
    </w:p>
    <w:p w14:paraId="7D13052B" w14:textId="77777777" w:rsidR="00A50F94" w:rsidRPr="00E23DB2" w:rsidRDefault="00A50F94" w:rsidP="00A50F94">
      <w:pPr>
        <w:pStyle w:val="Heading2"/>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ListParagraph"/>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ListParagraph"/>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ListParagraph"/>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ListParagraph"/>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ListParagraph"/>
        <w:numPr>
          <w:ilvl w:val="0"/>
          <w:numId w:val="18"/>
        </w:numPr>
        <w:rPr>
          <w:highlight w:val="yellow"/>
        </w:rPr>
      </w:pPr>
      <w:commentRangeStart w:id="24"/>
      <w:r w:rsidRPr="00FE225F">
        <w:rPr>
          <w:highlight w:val="yellow"/>
        </w:rPr>
        <w:t>Collisions between SL HARQ-ACK reports and other Uu UCI.</w:t>
      </w:r>
      <w:commentRangeEnd w:id="24"/>
      <w:r w:rsidR="005A2B76">
        <w:rPr>
          <w:rStyle w:val="CommentReference"/>
          <w:rFonts w:asciiTheme="minorHAnsi" w:eastAsiaTheme="minorHAnsi" w:hAnsiTheme="minorHAnsi"/>
        </w:rPr>
        <w:commentReference w:id="24"/>
      </w:r>
    </w:p>
    <w:p w14:paraId="159EA8A1" w14:textId="77777777" w:rsidR="00042F29" w:rsidRPr="00BC4DD1" w:rsidRDefault="008D20BC" w:rsidP="002F44E6">
      <w:pPr>
        <w:pStyle w:val="ListParagraph"/>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Heading2"/>
      </w:pPr>
      <w:commentRangeStart w:id="25"/>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ListParagraph"/>
        <w:numPr>
          <w:ilvl w:val="0"/>
          <w:numId w:val="20"/>
        </w:numPr>
      </w:pPr>
      <w:r w:rsidRPr="00534614">
        <w:t>PSCCH/PSSCH preparation time.</w:t>
      </w:r>
    </w:p>
    <w:p w14:paraId="6EEA1386" w14:textId="77777777" w:rsidR="00A9627F" w:rsidRPr="00534614" w:rsidRDefault="00A9627F" w:rsidP="002F44E6">
      <w:pPr>
        <w:pStyle w:val="ListParagraph"/>
        <w:numPr>
          <w:ilvl w:val="0"/>
          <w:numId w:val="20"/>
        </w:numPr>
      </w:pPr>
      <w:r w:rsidRPr="00534614">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5"/>
      <w:r w:rsidR="00377ED0">
        <w:rPr>
          <w:rStyle w:val="CommentReference"/>
          <w:rFonts w:asciiTheme="minorHAnsi" w:eastAsiaTheme="minorHAnsi" w:hAnsiTheme="minorHAnsi"/>
        </w:rPr>
        <w:commentReference w:id="25"/>
      </w:r>
    </w:p>
    <w:p w14:paraId="24FBE28F" w14:textId="77777777" w:rsidR="00BC4DD1" w:rsidRPr="00534614" w:rsidRDefault="00534614" w:rsidP="006C7C74">
      <w:pPr>
        <w:pStyle w:val="Heading2"/>
      </w:pPr>
      <w:r w:rsidRPr="00534614">
        <w:t>1.5</w:t>
      </w:r>
      <w:r w:rsidRPr="00534614">
        <w:tab/>
      </w:r>
      <w:r w:rsidR="00BC4DD1" w:rsidRPr="00534614">
        <w:t xml:space="preserve">Miscellaneous </w:t>
      </w:r>
    </w:p>
    <w:p w14:paraId="6E2F4A8F" w14:textId="77777777" w:rsidR="0088085F" w:rsidRPr="00FE225F" w:rsidRDefault="0088085F" w:rsidP="002F44E6">
      <w:pPr>
        <w:pStyle w:val="ListParagraph"/>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lastRenderedPageBreak/>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lastRenderedPageBreak/>
              <w:t>vivo</w:t>
            </w:r>
          </w:p>
        </w:tc>
        <w:tc>
          <w:tcPr>
            <w:tcW w:w="7082" w:type="dxa"/>
          </w:tcPr>
          <w:p w14:paraId="009F5B32" w14:textId="77777777" w:rsidR="00BE0394" w:rsidRDefault="00BE0394" w:rsidP="00BE0394">
            <w:pPr>
              <w:rPr>
                <w:rFonts w:eastAsia="DengXian"/>
                <w:lang w:val="en-GB"/>
              </w:rPr>
            </w:pPr>
            <w:r>
              <w:rPr>
                <w:rFonts w:eastAsia="DengXian"/>
                <w:lang w:val="en-GB"/>
              </w:rPr>
              <w:t>Agree with FL’s proposal for issue 1.1 and 1.2.</w:t>
            </w:r>
          </w:p>
          <w:p w14:paraId="7C7A4E46" w14:textId="77777777" w:rsidR="00BE0394" w:rsidRDefault="00BE0394" w:rsidP="00BE0394">
            <w:pPr>
              <w:rPr>
                <w:rFonts w:eastAsia="DengXian"/>
                <w:lang w:val="en-GB"/>
              </w:rPr>
            </w:pPr>
            <w:r>
              <w:rPr>
                <w:rFonts w:eastAsia="DengXian"/>
                <w:lang w:val="en-GB"/>
              </w:rPr>
              <w:t xml:space="preserve">                                                                                                                   </w:t>
            </w:r>
          </w:p>
          <w:p w14:paraId="7B19CDB6" w14:textId="77777777" w:rsidR="00BE0394" w:rsidRDefault="00BE0394" w:rsidP="00BE0394">
            <w:pPr>
              <w:rPr>
                <w:rFonts w:eastAsia="DengXian"/>
                <w:b/>
                <w:bCs/>
                <w:lang w:val="en-GB"/>
              </w:rPr>
            </w:pPr>
            <w:r>
              <w:rPr>
                <w:rFonts w:eastAsia="DengXian"/>
                <w:b/>
                <w:bCs/>
                <w:lang w:val="en-GB"/>
              </w:rPr>
              <w:t xml:space="preserve">Regarding </w:t>
            </w:r>
            <w:r w:rsidRPr="00734E78">
              <w:rPr>
                <w:rFonts w:eastAsia="DengXian"/>
                <w:b/>
                <w:bCs/>
                <w:lang w:val="en-GB"/>
              </w:rPr>
              <w:t>1.3</w:t>
            </w:r>
            <w:r>
              <w:rPr>
                <w:rFonts w:eastAsia="DengXian"/>
                <w:b/>
                <w:bCs/>
                <w:lang w:val="en-GB"/>
              </w:rPr>
              <w:t>:</w:t>
            </w:r>
          </w:p>
          <w:p w14:paraId="27F5B548" w14:textId="77777777" w:rsidR="00BE0394" w:rsidRDefault="00BE0394" w:rsidP="00BE0394">
            <w:pPr>
              <w:rPr>
                <w:rFonts w:eastAsia="DengXian"/>
                <w:lang w:val="en-GB"/>
              </w:rPr>
            </w:pPr>
            <w:r>
              <w:rPr>
                <w:rFonts w:eastAsia="DengXian"/>
                <w:lang w:val="en-GB"/>
              </w:rPr>
              <w:t xml:space="preserve">tDAI field exists in UL DCI for single-cell case as long as type2 codebook is configured. </w:t>
            </w:r>
          </w:p>
          <w:p w14:paraId="18384FDE" w14:textId="77777777" w:rsidR="00BE0394" w:rsidRDefault="00BE0394" w:rsidP="00BE0394">
            <w:pPr>
              <w:rPr>
                <w:rFonts w:eastAsia="DengXian"/>
                <w:lang w:val="en-GB"/>
              </w:rPr>
            </w:pPr>
            <w:r>
              <w:rPr>
                <w:rFonts w:eastAsia="DengXian"/>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DengXian"/>
                <w:lang w:val="en-GB"/>
              </w:rPr>
            </w:pPr>
            <w:r>
              <w:rPr>
                <w:rFonts w:eastAsia="DengXian"/>
                <w:lang w:val="en-GB"/>
              </w:rPr>
              <w:t xml:space="preserve">We need to clarify how to indicate SAI in UL DCI before discussing the details of SL CB </w:t>
            </w:r>
            <w:r>
              <w:rPr>
                <w:rFonts w:eastAsia="DengXian" w:hint="eastAsia"/>
                <w:lang w:val="en-GB"/>
              </w:rPr>
              <w:t>on</w:t>
            </w:r>
            <w:r>
              <w:rPr>
                <w:rFonts w:eastAsia="DengXian"/>
                <w:lang w:val="en-GB"/>
              </w:rPr>
              <w:t xml:space="preserve"> PUSCH. </w:t>
            </w:r>
          </w:p>
          <w:p w14:paraId="585C76EC" w14:textId="77777777" w:rsidR="00BE0394" w:rsidRPr="00FA6727" w:rsidRDefault="00BE0394" w:rsidP="00BE0394">
            <w:pPr>
              <w:rPr>
                <w:rFonts w:eastAsia="DengXian"/>
                <w:lang w:val="en-GB"/>
              </w:rPr>
            </w:pPr>
            <w:r>
              <w:rPr>
                <w:rFonts w:eastAsia="DengXian"/>
                <w:lang w:val="en-GB"/>
              </w:rPr>
              <w:t>So we propose to modify 1.3 as below</w:t>
            </w:r>
          </w:p>
          <w:p w14:paraId="6E4B1366" w14:textId="77777777" w:rsidR="00BE0394" w:rsidRPr="00D63CFA" w:rsidRDefault="00BE0394" w:rsidP="002F44E6">
            <w:pPr>
              <w:pStyle w:val="ListParagraph"/>
              <w:numPr>
                <w:ilvl w:val="0"/>
                <w:numId w:val="22"/>
              </w:numPr>
              <w:rPr>
                <w:highlight w:val="yellow"/>
                <w:lang w:val="en-GB" w:eastAsia="ja-JP"/>
              </w:rPr>
            </w:pPr>
            <w:r>
              <w:rPr>
                <w:rFonts w:eastAsia="DengXian"/>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ListParagraph"/>
              <w:numPr>
                <w:ilvl w:val="1"/>
                <w:numId w:val="22"/>
              </w:numPr>
              <w:rPr>
                <w:color w:val="FF0000"/>
                <w:highlight w:val="yellow"/>
                <w:lang w:val="en-GB" w:eastAsia="ja-JP"/>
              </w:rPr>
            </w:pPr>
            <w:r w:rsidRPr="00A5159B">
              <w:rPr>
                <w:rFonts w:eastAsia="DengXian"/>
                <w:color w:val="FF0000"/>
                <w:highlight w:val="yellow"/>
                <w:lang w:val="en-GB"/>
              </w:rPr>
              <w:t xml:space="preserve">Details on </w:t>
            </w:r>
            <w:r>
              <w:rPr>
                <w:rFonts w:eastAsia="DengXian"/>
                <w:color w:val="FF0000"/>
                <w:highlight w:val="yellow"/>
                <w:lang w:val="en-GB"/>
              </w:rPr>
              <w:t xml:space="preserve">the SAI indication, e.g., </w:t>
            </w:r>
            <w:r w:rsidRPr="00D63CFA">
              <w:rPr>
                <w:rFonts w:eastAsia="DengXian"/>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ListParagraph"/>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ListParagraph"/>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ListParagraph"/>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ListParagraph"/>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DengXian"/>
                <w:lang w:val="en-GB"/>
              </w:rPr>
            </w:pPr>
            <w:r w:rsidRPr="009D3B96">
              <w:rPr>
                <w:rFonts w:eastAsia="DengXian" w:hint="eastAsia"/>
                <w:lang w:val="en-GB"/>
              </w:rPr>
              <w:t>O</w:t>
            </w:r>
            <w:r w:rsidRPr="009D3B96">
              <w:rPr>
                <w:rFonts w:eastAsia="DengXian"/>
                <w:lang w:val="en-GB"/>
              </w:rPr>
              <w:t>PPO</w:t>
            </w:r>
          </w:p>
        </w:tc>
        <w:tc>
          <w:tcPr>
            <w:tcW w:w="7082" w:type="dxa"/>
          </w:tcPr>
          <w:p w14:paraId="35F27FF6" w14:textId="77777777" w:rsidR="002F5774" w:rsidRDefault="007D78DF" w:rsidP="002F44E6">
            <w:pPr>
              <w:pStyle w:val="ListParagraph"/>
              <w:numPr>
                <w:ilvl w:val="1"/>
                <w:numId w:val="23"/>
              </w:numPr>
              <w:rPr>
                <w:rFonts w:eastAsia="DengXian"/>
                <w:lang w:val="en-GB"/>
              </w:rPr>
            </w:pPr>
            <w:r w:rsidRPr="000D12EC">
              <w:rPr>
                <w:rFonts w:eastAsia="DengXian"/>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DengXian"/>
                <w:lang w:val="en-GB"/>
              </w:rPr>
              <w:t>for UL CG. And whether it is allowed that the slot index of SL CG resource of each SFN period can be different</w:t>
            </w:r>
            <w:r w:rsidR="003F01A6">
              <w:rPr>
                <w:rFonts w:eastAsia="DengXian"/>
                <w:lang w:val="en-GB"/>
              </w:rPr>
              <w:t xml:space="preserve"> (the same issue have been identified and discussed in IIoT) </w:t>
            </w:r>
            <w:r w:rsidR="000D12EC" w:rsidRPr="000D12EC">
              <w:rPr>
                <w:rFonts w:eastAsia="DengXian"/>
                <w:lang w:val="en-GB"/>
              </w:rPr>
              <w:t>? These issues is more suitable to be</w:t>
            </w:r>
            <w:r w:rsidR="003F01A6">
              <w:rPr>
                <w:rFonts w:eastAsia="DengXian"/>
                <w:lang w:val="en-GB"/>
              </w:rPr>
              <w:t xml:space="preserve"> </w:t>
            </w:r>
            <w:r w:rsidR="000D12EC" w:rsidRPr="000D12EC">
              <w:rPr>
                <w:rFonts w:eastAsia="DengXian"/>
                <w:lang w:val="en-GB"/>
              </w:rPr>
              <w:t>discussed in RAN1. And considering only 1 meeting left for RAN2, if we don’t discuss them, it is hardly for RAN2 to make progress.</w:t>
            </w:r>
          </w:p>
          <w:p w14:paraId="3323C0A8" w14:textId="77777777" w:rsidR="00653607" w:rsidRDefault="00653607" w:rsidP="00653607">
            <w:pPr>
              <w:rPr>
                <w:rFonts w:eastAsia="DengXian"/>
                <w:lang w:val="en-GB"/>
              </w:rPr>
            </w:pPr>
          </w:p>
          <w:p w14:paraId="7DA2C106" w14:textId="77777777" w:rsidR="00653607" w:rsidRDefault="00653607" w:rsidP="00653607">
            <w:pPr>
              <w:rPr>
                <w:rFonts w:eastAsia="DengXian"/>
                <w:lang w:val="en-GB"/>
              </w:rPr>
            </w:pPr>
          </w:p>
          <w:p w14:paraId="67D3F4C5" w14:textId="77777777" w:rsidR="00653607" w:rsidRDefault="00653607" w:rsidP="00653607">
            <w:pPr>
              <w:ind w:left="360"/>
              <w:rPr>
                <w:rFonts w:eastAsia="DengXian"/>
                <w:lang w:val="en-GB"/>
              </w:rPr>
            </w:pPr>
            <w:r>
              <w:rPr>
                <w:rFonts w:eastAsia="DengXian"/>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are within one SL CG period, i.e. up to 3 resources;</w:t>
            </w:r>
          </w:p>
          <w:p w14:paraId="5245E624"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and these SL CG period can correspond to different HPN;</w:t>
            </w:r>
          </w:p>
          <w:p w14:paraId="5E9AC4F9" w14:textId="77777777" w:rsidR="00653607" w:rsidRDefault="00653607" w:rsidP="002F44E6">
            <w:pPr>
              <w:pStyle w:val="ListParagraph"/>
              <w:numPr>
                <w:ilvl w:val="3"/>
                <w:numId w:val="17"/>
              </w:numPr>
              <w:ind w:left="1167" w:hanging="426"/>
              <w:rPr>
                <w:rFonts w:eastAsia="DengXian"/>
                <w:lang w:val="en-GB"/>
              </w:rPr>
            </w:pPr>
            <w:r>
              <w:rPr>
                <w:rFonts w:eastAsia="DengXian"/>
                <w:lang w:val="en-GB"/>
              </w:rPr>
              <w:t>The resources can across multiple SL CG periods, while only limit to the SL CG period correspond to same HPN.</w:t>
            </w:r>
          </w:p>
          <w:p w14:paraId="728372C0" w14:textId="77777777" w:rsidR="00653607" w:rsidRDefault="00653607" w:rsidP="00653607">
            <w:pPr>
              <w:rPr>
                <w:rFonts w:eastAsia="DengXian"/>
                <w:lang w:val="en-GB"/>
              </w:rPr>
            </w:pPr>
            <w:r>
              <w:rPr>
                <w:rFonts w:eastAsia="DengXian" w:hint="eastAsia"/>
                <w:lang w:val="en-GB"/>
              </w:rPr>
              <w:t xml:space="preserve"> </w:t>
            </w:r>
            <w:r>
              <w:rPr>
                <w:rFonts w:eastAsia="DengXian"/>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DengXian"/>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ListParagraph"/>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ListParagraph"/>
              <w:numPr>
                <w:ilvl w:val="0"/>
                <w:numId w:val="24"/>
              </w:numPr>
              <w:spacing w:line="256" w:lineRule="auto"/>
              <w:rPr>
                <w:rFonts w:ascii="Arial" w:hAnsi="Arial" w:cs="Arial"/>
                <w:szCs w:val="20"/>
                <w:highlight w:val="yellow"/>
                <w:lang w:val="en-GB"/>
              </w:rPr>
            </w:pPr>
            <w:bookmarkStart w:id="26"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6"/>
            <w:r w:rsidRPr="00F650B6">
              <w:rPr>
                <w:rFonts w:ascii="Arial" w:hAnsi="Arial" w:cs="Arial"/>
                <w:szCs w:val="20"/>
                <w:highlight w:val="yellow"/>
                <w:lang w:val="en-GB"/>
              </w:rPr>
              <w:t>.</w:t>
            </w:r>
          </w:p>
          <w:p w14:paraId="763BBB06" w14:textId="77777777" w:rsidR="00653607" w:rsidRPr="00F650B6" w:rsidRDefault="00653607" w:rsidP="00653607">
            <w:pPr>
              <w:rPr>
                <w:rFonts w:eastAsia="DengXian"/>
                <w:lang w:val="en-GB"/>
              </w:rPr>
            </w:pPr>
          </w:p>
          <w:p w14:paraId="6C82CAB4" w14:textId="77777777" w:rsidR="000D12EC" w:rsidRDefault="000D12EC" w:rsidP="002F44E6">
            <w:pPr>
              <w:pStyle w:val="ListParagraph"/>
              <w:numPr>
                <w:ilvl w:val="1"/>
                <w:numId w:val="23"/>
              </w:numPr>
              <w:rPr>
                <w:rFonts w:eastAsia="DengXian"/>
                <w:lang w:val="en-GB"/>
              </w:rPr>
            </w:pPr>
            <w:r>
              <w:rPr>
                <w:rFonts w:eastAsia="DengXian"/>
                <w:lang w:val="en-GB"/>
              </w:rPr>
              <w:t>Agree.</w:t>
            </w:r>
          </w:p>
          <w:p w14:paraId="70A744D0" w14:textId="77777777" w:rsidR="000D12EC" w:rsidRPr="003F01A6" w:rsidRDefault="000D12EC" w:rsidP="002F44E6">
            <w:pPr>
              <w:pStyle w:val="ListParagraph"/>
              <w:numPr>
                <w:ilvl w:val="1"/>
                <w:numId w:val="23"/>
              </w:numPr>
              <w:rPr>
                <w:rFonts w:eastAsia="DengXian"/>
                <w:lang w:val="en-GB"/>
              </w:rPr>
            </w:pPr>
            <w:r>
              <w:rPr>
                <w:rFonts w:eastAsia="DengXian"/>
                <w:lang w:val="en-GB"/>
              </w:rPr>
              <w:t>For the 4</w:t>
            </w:r>
            <w:r w:rsidRPr="000D12EC">
              <w:rPr>
                <w:rFonts w:eastAsia="DengXian"/>
                <w:vertAlign w:val="superscript"/>
                <w:lang w:val="en-GB"/>
              </w:rPr>
              <w:t>th</w:t>
            </w:r>
            <w:r>
              <w:rPr>
                <w:rFonts w:eastAsia="DengXian"/>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lastRenderedPageBreak/>
              <w:t>Regarding 1.3, the aspects to the WA (behaviour and message contents) should have no ASN.1 impact (in fact, everything in in 38.213 to this date) I suggest to have the discussion later.</w:t>
            </w:r>
          </w:p>
          <w:p w14:paraId="2EE32BD0" w14:textId="263E0FCA" w:rsidR="003F01A6" w:rsidRPr="008F4B9D" w:rsidRDefault="008F4B9D" w:rsidP="00653607">
            <w:pPr>
              <w:spacing w:line="256" w:lineRule="auto"/>
              <w:rPr>
                <w:rFonts w:eastAsia="DengXian"/>
                <w:color w:val="2F5496" w:themeColor="accent1" w:themeShade="BF"/>
                <w:lang w:val="en-GB"/>
              </w:rPr>
            </w:pPr>
            <w:r w:rsidRPr="008F4B9D">
              <w:rPr>
                <w:rFonts w:eastAsia="DengXian" w:hint="eastAsia"/>
                <w:color w:val="2F5496" w:themeColor="accent1" w:themeShade="BF"/>
                <w:lang w:val="en-GB"/>
              </w:rPr>
              <w:t>[</w:t>
            </w:r>
            <w:r w:rsidRPr="008F4B9D">
              <w:rPr>
                <w:rFonts w:eastAsia="DengXian"/>
                <w:color w:val="2F5496" w:themeColor="accent1" w:themeShade="BF"/>
                <w:lang w:val="en-GB"/>
              </w:rPr>
              <w:t>OPPO]: when we considering how the UE knows the maximum of retransmission in DG, it may have RAN2 impact. For example, in the agreement copied above, the maximum number of re-transmissions per TB for SL CG is configured per priority, if we apply the similar mechanism to DG, that will have RAN2</w:t>
            </w:r>
            <w:r>
              <w:rPr>
                <w:rFonts w:eastAsia="DengXian"/>
                <w:color w:val="2F5496" w:themeColor="accent1" w:themeShade="BF"/>
                <w:lang w:val="en-GB"/>
              </w:rPr>
              <w:t xml:space="preserve"> and ASN.1</w:t>
            </w:r>
            <w:r w:rsidRPr="008F4B9D">
              <w:rPr>
                <w:rFonts w:eastAsia="DengXian"/>
                <w:color w:val="2F5496" w:themeColor="accent1" w:themeShade="BF"/>
                <w:lang w:val="en-GB"/>
              </w:rPr>
              <w:t xml:space="preserve"> impact. </w:t>
            </w:r>
          </w:p>
          <w:p w14:paraId="77CA2DD8" w14:textId="39C33961" w:rsidR="008F4B9D" w:rsidRPr="008F4B9D" w:rsidRDefault="008F4B9D" w:rsidP="00653607">
            <w:pPr>
              <w:spacing w:line="256" w:lineRule="auto"/>
              <w:rPr>
                <w:rFonts w:eastAsia="DengXian"/>
                <w:color w:val="2F5496" w:themeColor="accent1" w:themeShade="BF"/>
                <w:lang w:val="en-GB"/>
              </w:rPr>
            </w:pPr>
            <w:r w:rsidRPr="008F4B9D">
              <w:rPr>
                <w:rFonts w:eastAsia="DengXian" w:hint="eastAsia"/>
                <w:color w:val="2F5496" w:themeColor="accent1" w:themeShade="BF"/>
                <w:lang w:val="en-GB"/>
              </w:rPr>
              <w:t>W</w:t>
            </w:r>
            <w:r w:rsidRPr="008F4B9D">
              <w:rPr>
                <w:rFonts w:eastAsia="DengXian"/>
                <w:color w:val="2F5496" w:themeColor="accent1" w:themeShade="BF"/>
                <w:lang w:val="en-GB"/>
              </w:rPr>
              <w:t xml:space="preserve">e are open to the solutions, while some of them may have RAN2 impact, and we cannot preclude any candidate solution at current stage. </w:t>
            </w:r>
          </w:p>
          <w:p w14:paraId="5C07CF47" w14:textId="5E1C1E7B" w:rsidR="008F4B9D" w:rsidRPr="00F650B6" w:rsidRDefault="008F4B9D" w:rsidP="00653607">
            <w:pPr>
              <w:spacing w:line="256" w:lineRule="auto"/>
              <w:rPr>
                <w:rFonts w:eastAsia="DengXian"/>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DengXian"/>
                <w:lang w:val="en-GB"/>
              </w:rPr>
            </w:pPr>
            <w:r w:rsidRPr="009D3B96">
              <w:rPr>
                <w:rFonts w:eastAsia="DengXian" w:hint="eastAsia"/>
                <w:lang w:val="en-GB"/>
              </w:rPr>
              <w:lastRenderedPageBreak/>
              <w:t>C</w:t>
            </w:r>
            <w:r w:rsidRPr="009D3B96">
              <w:rPr>
                <w:rFonts w:eastAsia="DengXian"/>
                <w:lang w:val="en-GB"/>
              </w:rPr>
              <w:t>MCC</w:t>
            </w:r>
          </w:p>
        </w:tc>
        <w:tc>
          <w:tcPr>
            <w:tcW w:w="7082" w:type="dxa"/>
          </w:tcPr>
          <w:p w14:paraId="006337B7" w14:textId="77777777" w:rsidR="002F5774" w:rsidRDefault="00B670B2" w:rsidP="002F5774">
            <w:pPr>
              <w:rPr>
                <w:rFonts w:eastAsia="DengXian"/>
                <w:lang w:val="en-GB"/>
              </w:rPr>
            </w:pPr>
            <w:r>
              <w:rPr>
                <w:rFonts w:eastAsia="DengXian" w:hint="eastAsia"/>
                <w:lang w:val="en-GB"/>
              </w:rPr>
              <w:t>1</w:t>
            </w:r>
            <w:r>
              <w:rPr>
                <w:rFonts w:eastAsia="DengXian"/>
                <w:lang w:val="en-GB"/>
              </w:rPr>
              <w:t xml:space="preserve">.1 </w:t>
            </w:r>
            <w:r w:rsidRPr="00B670B2">
              <w:rPr>
                <w:rFonts w:eastAsia="DengXian"/>
                <w:lang w:val="en-GB"/>
              </w:rPr>
              <w:t>we agree that the highlight part should be discussed. For the one left topic of “remaining details on HPN determination”, we</w:t>
            </w:r>
            <w:r>
              <w:rPr>
                <w:rFonts w:eastAsia="DengXian"/>
                <w:lang w:val="en-GB"/>
              </w:rPr>
              <w:t xml:space="preserve"> share similar view with OPPO and</w:t>
            </w:r>
            <w:r w:rsidRPr="00B670B2">
              <w:rPr>
                <w:rFonts w:eastAsia="DengXian"/>
                <w:lang w:val="en-GB"/>
              </w:rPr>
              <w:t xml:space="preserve"> </w:t>
            </w:r>
            <w:r>
              <w:rPr>
                <w:rFonts w:eastAsia="DengXian"/>
                <w:lang w:val="en-GB"/>
              </w:rPr>
              <w:t xml:space="preserve">think it is very likely to have impact on </w:t>
            </w:r>
            <w:r w:rsidRPr="00B670B2">
              <w:rPr>
                <w:rFonts w:eastAsia="DengXian"/>
                <w:lang w:val="en-GB"/>
              </w:rPr>
              <w:t>RAN2.</w:t>
            </w:r>
            <w:r>
              <w:rPr>
                <w:rFonts w:eastAsia="DengXian"/>
                <w:lang w:val="en-GB"/>
              </w:rPr>
              <w:t xml:space="preserve"> Moreover, RAN2 sends LS to RAN1 in </w:t>
            </w:r>
            <w:r w:rsidRPr="00B670B2">
              <w:rPr>
                <w:rFonts w:eastAsia="DengXian"/>
                <w:lang w:val="en-GB"/>
              </w:rPr>
              <w:t>R1-2003256</w:t>
            </w:r>
            <w:r>
              <w:rPr>
                <w:rFonts w:eastAsia="DengXian"/>
                <w:lang w:val="en-GB"/>
              </w:rPr>
              <w:t xml:space="preserve"> to check views on HARQ ID determination for SL CG, </w:t>
            </w:r>
            <w:r w:rsidRPr="00B670B2">
              <w:rPr>
                <w:rFonts w:eastAsia="DengXian"/>
                <w:lang w:val="en-GB"/>
              </w:rPr>
              <w:t xml:space="preserve">RAN1 should clarify it and </w:t>
            </w:r>
            <w:r>
              <w:rPr>
                <w:rFonts w:eastAsia="DengXian"/>
                <w:lang w:val="en-GB"/>
              </w:rPr>
              <w:t xml:space="preserve">reply the LS </w:t>
            </w:r>
            <w:r w:rsidRPr="00B670B2">
              <w:rPr>
                <w:rFonts w:eastAsia="DengXian"/>
                <w:lang w:val="en-GB"/>
              </w:rPr>
              <w:t>so that RAN2 can make progress.</w:t>
            </w:r>
          </w:p>
          <w:p w14:paraId="795D14CF" w14:textId="77777777" w:rsidR="00B670B2" w:rsidRDefault="00B670B2" w:rsidP="002F5774">
            <w:pPr>
              <w:rPr>
                <w:rFonts w:eastAsia="DengXian"/>
                <w:lang w:val="en-GB"/>
              </w:rPr>
            </w:pPr>
            <w:r>
              <w:rPr>
                <w:rFonts w:eastAsia="DengXian" w:hint="eastAsia"/>
                <w:lang w:val="en-GB"/>
              </w:rPr>
              <w:t>1</w:t>
            </w:r>
            <w:r>
              <w:rPr>
                <w:rFonts w:eastAsia="DengXian"/>
                <w:lang w:val="en-GB"/>
              </w:rPr>
              <w:t>.2 Agree</w:t>
            </w:r>
          </w:p>
          <w:p w14:paraId="3BCFEDAF" w14:textId="77777777" w:rsidR="00B670B2" w:rsidRDefault="00B670B2" w:rsidP="002F5774">
            <w:pPr>
              <w:rPr>
                <w:rFonts w:eastAsia="DengXian"/>
                <w:lang w:val="en-GB"/>
              </w:rPr>
            </w:pPr>
            <w:r>
              <w:rPr>
                <w:rFonts w:eastAsia="DengXian" w:hint="eastAsia"/>
                <w:lang w:val="en-GB"/>
              </w:rPr>
              <w:t>1</w:t>
            </w:r>
            <w:r>
              <w:rPr>
                <w:rFonts w:eastAsia="DengXian"/>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DengXian"/>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DengXian"/>
                <w:lang w:val="en-GB"/>
              </w:rPr>
            </w:pPr>
            <w:r w:rsidRPr="009D3B96">
              <w:rPr>
                <w:rFonts w:eastAsia="DengXian" w:hint="eastAsia"/>
                <w:lang w:val="en-GB"/>
              </w:rPr>
              <w:t>CATT</w:t>
            </w:r>
          </w:p>
        </w:tc>
        <w:tc>
          <w:tcPr>
            <w:tcW w:w="7082" w:type="dxa"/>
          </w:tcPr>
          <w:p w14:paraId="119A698C" w14:textId="77777777" w:rsidR="00C016CD" w:rsidRPr="00C016CD" w:rsidRDefault="00274A14" w:rsidP="002F5774">
            <w:pPr>
              <w:rPr>
                <w:rFonts w:eastAsia="DengXian"/>
                <w:lang w:val="en-GB"/>
              </w:rPr>
            </w:pPr>
            <w:r>
              <w:rPr>
                <w:rFonts w:eastAsia="DengXian" w:hint="eastAsia"/>
                <w:lang w:val="en-GB"/>
              </w:rPr>
              <w:t>Agree with FL</w:t>
            </w:r>
            <w:r>
              <w:rPr>
                <w:rFonts w:eastAsia="DengXian"/>
                <w:lang w:val="en-GB"/>
              </w:rPr>
              <w:t>’</w:t>
            </w:r>
            <w:r>
              <w:rPr>
                <w:rFonts w:eastAsia="DengXian"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ListParagraph"/>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ListParagraph"/>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ListParagraph"/>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r w:rsidRPr="007B43F2">
              <w:rPr>
                <w:color w:val="7030A0"/>
                <w:sz w:val="20"/>
                <w:szCs w:val="20"/>
              </w:rPr>
              <w:t>[HW, HiSi]:</w:t>
            </w:r>
          </w:p>
          <w:p w14:paraId="4BDED743" w14:textId="77777777" w:rsidR="007B43F2" w:rsidRPr="007B43F2" w:rsidRDefault="007B43F2" w:rsidP="007B43F2">
            <w:pPr>
              <w:rPr>
                <w:color w:val="7030A0"/>
                <w:sz w:val="20"/>
                <w:szCs w:val="20"/>
              </w:rPr>
            </w:pPr>
            <w:r w:rsidRPr="007B43F2">
              <w:rPr>
                <w:color w:val="7030A0"/>
                <w:sz w:val="20"/>
                <w:szCs w:val="20"/>
              </w:rPr>
              <w:t>The reason why we think PSFCH to UL reporting time as well as PSCCH/PSSCH preparation time are essential and should be discussed firstly is that without timing definition, the specification cannot be fully interpreted and gNB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For 1.1, some companies commented it had already supported Nmax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7E8611C7" w14:textId="3F488E1C" w:rsidR="007B43F2" w:rsidRPr="007B43F2" w:rsidRDefault="007B43F2" w:rsidP="007B43F2">
            <w:pPr>
              <w:rPr>
                <w:sz w:val="20"/>
                <w:szCs w:val="20"/>
              </w:rPr>
            </w:pPr>
            <w:r w:rsidRPr="007B43F2">
              <w:rPr>
                <w:color w:val="7030A0"/>
                <w:sz w:val="20"/>
                <w:szCs w:val="20"/>
              </w:rPr>
              <w:t>For 1.3 #1 and #2, we agree to complete codebook design in this meeting, but recall the related discussion in last meeting, more essential works are done by the spec changes discussion in the TP phase. So, if companies predict not too many technical agreements need to be reached,  we think we can finish these codebook designs directly by a TP discussion in the later phase, then we can have a substituted email thread of Issue 1.4.</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lastRenderedPageBreak/>
              <w:t>Fraunhofer</w:t>
            </w:r>
          </w:p>
        </w:tc>
        <w:tc>
          <w:tcPr>
            <w:tcW w:w="7082" w:type="dxa"/>
          </w:tcPr>
          <w:p w14:paraId="6EF549D3" w14:textId="77777777" w:rsidR="00C04B34" w:rsidRPr="00820124" w:rsidRDefault="00C04B34" w:rsidP="00C04B34">
            <w:pPr>
              <w:pStyle w:val="ListParagraph"/>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EC6B27">
            <w:pPr>
              <w:rPr>
                <w:lang w:val="en-GB"/>
              </w:rPr>
            </w:pPr>
            <w:r w:rsidRPr="009D3B96">
              <w:rPr>
                <w:lang w:val="en-GB"/>
              </w:rPr>
              <w:lastRenderedPageBreak/>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EC6B27">
            <w:pPr>
              <w:rPr>
                <w:lang w:val="en-GB"/>
              </w:rPr>
            </w:pPr>
            <w:r w:rsidRPr="009D3B96">
              <w:rPr>
                <w:lang w:val="en-GB"/>
              </w:rPr>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SimSun"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EC6B27">
            <w:r w:rsidRPr="009D3B96">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27" w:author="Author"/>
        </w:trPr>
        <w:tc>
          <w:tcPr>
            <w:tcW w:w="2547" w:type="dxa"/>
          </w:tcPr>
          <w:p w14:paraId="76EF72B1" w14:textId="37BF176B" w:rsidR="008B22A3" w:rsidRPr="009D3B96" w:rsidRDefault="008B22A3" w:rsidP="00EC6B27">
            <w:pPr>
              <w:rPr>
                <w:ins w:id="28" w:author="Author"/>
              </w:rPr>
            </w:pPr>
            <w:ins w:id="29" w:author="Author">
              <w:r>
                <w:t>Futurewei</w:t>
              </w:r>
            </w:ins>
          </w:p>
        </w:tc>
        <w:tc>
          <w:tcPr>
            <w:tcW w:w="7082" w:type="dxa"/>
          </w:tcPr>
          <w:p w14:paraId="06306034" w14:textId="77777777" w:rsidR="008B22A3" w:rsidRDefault="008B22A3" w:rsidP="008B22A3">
            <w:pPr>
              <w:rPr>
                <w:ins w:id="30" w:author="Author"/>
                <w:lang w:val="en-GB"/>
              </w:rPr>
            </w:pPr>
            <w:ins w:id="31" w:author="Author">
              <w:r>
                <w:rPr>
                  <w:lang w:val="en-GB"/>
                </w:rPr>
                <w:t xml:space="preserve">We are generally supportive of the three directions. Regarding the newly added 1.1.3 (processing times): in our view, it is difficult to discuss whether we will have a UE capability before we have an idea of what the actual </w:t>
              </w:r>
              <w:r>
                <w:rPr>
                  <w:lang w:val="en-GB"/>
                </w:rPr>
                <w:lastRenderedPageBreak/>
                <w:t>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2" w:author="Author"/>
                <w:lang w:val="en-GB"/>
              </w:rPr>
            </w:pPr>
            <w:ins w:id="33" w:author="Author">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EC6B27">
            <w:r>
              <w:lastRenderedPageBreak/>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r w:rsidR="00EC6B27" w:rsidRPr="00B91473" w14:paraId="5013C79D" w14:textId="77777777" w:rsidTr="00F650B6">
        <w:tc>
          <w:tcPr>
            <w:tcW w:w="2547" w:type="dxa"/>
          </w:tcPr>
          <w:p w14:paraId="196570F9" w14:textId="21DDA5E2" w:rsidR="00EC6B27" w:rsidRPr="00EC6B27" w:rsidRDefault="00EC6B27" w:rsidP="00EC6B27">
            <w:pPr>
              <w:rPr>
                <w:rFonts w:eastAsiaTheme="minorEastAsia"/>
              </w:rPr>
            </w:pPr>
            <w:r>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ABC790" w14:textId="7EA102A4" w:rsidR="002417CF" w:rsidRPr="004732A1"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tc>
      </w:tr>
      <w:tr w:rsidR="00081CF6" w:rsidRPr="00B91473" w14:paraId="3DB6B211" w14:textId="77777777" w:rsidTr="00F650B6">
        <w:tc>
          <w:tcPr>
            <w:tcW w:w="2547" w:type="dxa"/>
          </w:tcPr>
          <w:p w14:paraId="48C2B785" w14:textId="48E9CFF6" w:rsidR="00081CF6" w:rsidRDefault="00081CF6" w:rsidP="00EC6B27">
            <w:pPr>
              <w:rPr>
                <w:rFonts w:eastAsiaTheme="minorEastAsia" w:hint="eastAsia"/>
              </w:rPr>
            </w:pPr>
            <w:r>
              <w:rPr>
                <w:rFonts w:eastAsiaTheme="minorEastAsia"/>
              </w:rPr>
              <w:t>MediaTek</w:t>
            </w:r>
          </w:p>
        </w:tc>
        <w:tc>
          <w:tcPr>
            <w:tcW w:w="7082" w:type="dxa"/>
          </w:tcPr>
          <w:p w14:paraId="757555BF" w14:textId="77777777" w:rsidR="00081CF6" w:rsidRDefault="00081CF6" w:rsidP="00081CF6">
            <w:pPr>
              <w:rPr>
                <w:rFonts w:eastAsiaTheme="minorEastAsia"/>
                <w:lang w:val="en-GB"/>
              </w:rPr>
            </w:pPr>
            <w:r>
              <w:rPr>
                <w:rFonts w:eastAsiaTheme="minorEastAsia"/>
                <w:lang w:val="en-GB"/>
              </w:rPr>
              <w:t xml:space="preserve">Issue </w:t>
            </w:r>
            <w:r w:rsidRPr="00D3422A">
              <w:rPr>
                <w:rFonts w:eastAsiaTheme="minorEastAsia"/>
                <w:lang w:val="en-GB"/>
              </w:rPr>
              <w:t>1.1</w:t>
            </w:r>
            <w:r>
              <w:rPr>
                <w:rFonts w:eastAsiaTheme="minorEastAsia"/>
                <w:lang w:val="en-GB"/>
              </w:rPr>
              <w:t>:</w:t>
            </w:r>
          </w:p>
          <w:p w14:paraId="31677D85" w14:textId="2834249D" w:rsidR="00081CF6" w:rsidRDefault="00081CF6" w:rsidP="00081CF6">
            <w:r w:rsidRPr="00D3422A">
              <w:rPr>
                <w:rFonts w:eastAsiaTheme="minorEastAsia"/>
                <w:lang w:val="en-GB"/>
              </w:rPr>
              <w:t xml:space="preserve">We prefer to remove </w:t>
            </w:r>
            <w:r>
              <w:rPr>
                <w:rFonts w:eastAsiaTheme="minorEastAsia"/>
                <w:lang w:val="en-GB"/>
              </w:rPr>
              <w:t>“</w:t>
            </w:r>
            <w:r w:rsidRPr="00D3422A">
              <w:t>Dynamic grant: number of PUCCH resources per grant</w:t>
            </w:r>
            <w:r>
              <w:t xml:space="preserve">” </w:t>
            </w:r>
            <w:r>
              <w:rPr>
                <w:rFonts w:eastAsiaTheme="minorEastAsia"/>
                <w:lang w:val="en-GB"/>
              </w:rPr>
              <w:t>(1.1.1)</w:t>
            </w:r>
            <w:r>
              <w:t xml:space="preserve">. In </w:t>
            </w:r>
            <w:r w:rsidR="00CA3151">
              <w:t>our</w:t>
            </w:r>
            <w:r>
              <w:t xml:space="preserve"> </w:t>
            </w:r>
            <w:bookmarkStart w:id="34" w:name="_GoBack"/>
            <w:bookmarkEnd w:id="34"/>
            <w:r>
              <w:t>understanding, this is not essential to complete R16, but rather an optimization/enhancement. We should also remove 1.1.3a. Justification for multiple SL processing capabilities is not clear to us.</w:t>
            </w:r>
          </w:p>
          <w:p w14:paraId="6A472EE8" w14:textId="77777777" w:rsidR="00081CF6" w:rsidRDefault="00081CF6" w:rsidP="00081CF6">
            <w:r>
              <w:t>Issue 1.2:</w:t>
            </w:r>
          </w:p>
          <w:p w14:paraId="47DF6115" w14:textId="643BFBC3" w:rsidR="00081CF6" w:rsidRDefault="00081CF6" w:rsidP="00081CF6">
            <w:pPr>
              <w:rPr>
                <w:rFonts w:eastAsiaTheme="minorEastAsia"/>
                <w:lang w:val="en-GB"/>
              </w:rPr>
            </w:pPr>
            <w:r>
              <w:rPr>
                <w:rFonts w:eastAsiaTheme="minorEastAsia"/>
                <w:lang w:val="en-GB"/>
              </w:rPr>
              <w:t xml:space="preserve">RAN2 has an ongoing discussion on the number of sidelink HARQ processes. We shouldn’t </w:t>
            </w:r>
            <w:r w:rsidR="009773B7">
              <w:rPr>
                <w:rFonts w:eastAsiaTheme="minorEastAsia"/>
                <w:lang w:val="en-GB"/>
              </w:rPr>
              <w:t xml:space="preserve">discuss </w:t>
            </w:r>
            <w:r w:rsidR="009773B7">
              <w:t>“</w:t>
            </w:r>
            <w:r w:rsidR="009773B7" w:rsidRPr="00D3422A">
              <w:t>HARQ process ID</w:t>
            </w:r>
            <w:r w:rsidR="009773B7">
              <w:t>”</w:t>
            </w:r>
            <w:r w:rsidR="009773B7">
              <w:rPr>
                <w:rFonts w:eastAsiaTheme="minorEastAsia"/>
                <w:lang w:val="en-GB"/>
              </w:rPr>
              <w:t xml:space="preserve"> </w:t>
            </w:r>
            <w:r w:rsidR="009773B7">
              <w:rPr>
                <w:rFonts w:eastAsiaTheme="minorEastAsia"/>
                <w:lang w:val="en-GB"/>
              </w:rPr>
              <w:t xml:space="preserve">bitfield size before </w:t>
            </w:r>
            <w:r>
              <w:rPr>
                <w:rFonts w:eastAsiaTheme="minorEastAsia"/>
                <w:lang w:val="en-GB"/>
              </w:rPr>
              <w:t xml:space="preserve">RAN2 reaches an agreement. Could we either remove </w:t>
            </w:r>
            <w:r w:rsidR="009773B7">
              <w:t>“</w:t>
            </w:r>
            <w:r w:rsidR="009773B7" w:rsidRPr="00D3422A">
              <w:t>HARQ process ID</w:t>
            </w:r>
            <w:r w:rsidR="009773B7">
              <w:t>”</w:t>
            </w:r>
            <w:r w:rsidR="009773B7">
              <w:t xml:space="preserve"> from the </w:t>
            </w:r>
            <w:r>
              <w:rPr>
                <w:rFonts w:eastAsiaTheme="minorEastAsia"/>
                <w:lang w:val="en-GB"/>
              </w:rPr>
              <w:t xml:space="preserve">discussion for now, or perhaps add a note saying that the </w:t>
            </w:r>
            <w:r w:rsidR="009773B7">
              <w:rPr>
                <w:rFonts w:eastAsiaTheme="minorEastAsia"/>
                <w:lang w:val="en-GB"/>
              </w:rPr>
              <w:t xml:space="preserve">HARQ process ID </w:t>
            </w:r>
            <w:r>
              <w:rPr>
                <w:rFonts w:eastAsiaTheme="minorEastAsia"/>
                <w:lang w:val="en-GB"/>
              </w:rPr>
              <w:t xml:space="preserve">bitfield size will not be discussed </w:t>
            </w:r>
            <w:r w:rsidR="009773B7">
              <w:rPr>
                <w:rFonts w:eastAsiaTheme="minorEastAsia"/>
                <w:lang w:val="en-GB"/>
              </w:rPr>
              <w:t xml:space="preserve">until </w:t>
            </w:r>
            <w:r>
              <w:rPr>
                <w:rFonts w:eastAsiaTheme="minorEastAsia"/>
                <w:lang w:val="en-GB"/>
              </w:rPr>
              <w:t>RAN2 makes a decision on the number of SL-HARQ processes.</w:t>
            </w:r>
          </w:p>
          <w:p w14:paraId="33F12244" w14:textId="77777777" w:rsidR="00A84073" w:rsidRDefault="00081CF6" w:rsidP="00081CF6">
            <w:pPr>
              <w:rPr>
                <w:rFonts w:eastAsiaTheme="minorEastAsia"/>
                <w:lang w:val="en-GB"/>
              </w:rPr>
            </w:pPr>
            <w:r>
              <w:rPr>
                <w:rFonts w:eastAsiaTheme="minorEastAsia"/>
                <w:lang w:val="en-GB"/>
              </w:rPr>
              <w:t>Issue 1.3:</w:t>
            </w:r>
            <w:r>
              <w:rPr>
                <w:rFonts w:eastAsiaTheme="minorEastAsia"/>
                <w:lang w:val="en-GB"/>
              </w:rPr>
              <w:t xml:space="preserve"> </w:t>
            </w:r>
          </w:p>
          <w:p w14:paraId="71073CDC" w14:textId="44BC69F0" w:rsidR="00081CF6" w:rsidRPr="00081CF6" w:rsidRDefault="00081CF6" w:rsidP="00081CF6">
            <w:pPr>
              <w:rPr>
                <w:rFonts w:eastAsiaTheme="minorEastAsia" w:hint="eastAsia"/>
                <w:lang w:val="en-GB"/>
              </w:rPr>
            </w:pPr>
            <w:r>
              <w:rPr>
                <w:rFonts w:eastAsiaTheme="minorEastAsia"/>
                <w:lang w:val="en-GB"/>
              </w:rPr>
              <w:lastRenderedPageBreak/>
              <w:t>We agree with FL proposal.</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Author" w:initials="A">
    <w:p w14:paraId="4C4CC17F" w14:textId="57F25CD4" w:rsidR="002417CF" w:rsidRDefault="002417CF">
      <w:pPr>
        <w:pStyle w:val="CommentText"/>
      </w:pPr>
      <w:r>
        <w:rPr>
          <w:rStyle w:val="CommentReference"/>
        </w:rPr>
        <w:annotationRef/>
      </w:r>
      <w:r>
        <w:t>To be clarified if it is discussed here or in PHY procedures AI.</w:t>
      </w:r>
    </w:p>
  </w:comment>
  <w:comment w:id="25" w:author="Author" w:initials="A">
    <w:p w14:paraId="7FE7B7A1" w14:textId="3445784A" w:rsidR="002417CF" w:rsidRDefault="002417CF">
      <w:pPr>
        <w:pStyle w:val="CommentText"/>
      </w:pPr>
      <w:r>
        <w:rPr>
          <w:rStyle w:val="CommentReference"/>
        </w:rPr>
        <w:annotationRef/>
      </w:r>
      <w:r>
        <w:t>This is connected to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88A3" w14:textId="77777777" w:rsidR="004378ED" w:rsidRDefault="004378ED">
      <w:r>
        <w:separator/>
      </w:r>
    </w:p>
  </w:endnote>
  <w:endnote w:type="continuationSeparator" w:id="0">
    <w:p w14:paraId="4B0EF6DD" w14:textId="77777777" w:rsidR="004378ED" w:rsidRDefault="004378ED">
      <w:r>
        <w:continuationSeparator/>
      </w:r>
    </w:p>
  </w:endnote>
  <w:endnote w:type="continuationNotice" w:id="1">
    <w:p w14:paraId="51F4BB2B" w14:textId="77777777" w:rsidR="004378ED" w:rsidRDefault="00437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6F1E6" w14:textId="77777777" w:rsidR="004378ED" w:rsidRDefault="004378ED">
      <w:r>
        <w:separator/>
      </w:r>
    </w:p>
  </w:footnote>
  <w:footnote w:type="continuationSeparator" w:id="0">
    <w:p w14:paraId="2A39C304" w14:textId="77777777" w:rsidR="004378ED" w:rsidRDefault="004378ED">
      <w:r>
        <w:continuationSeparator/>
      </w:r>
    </w:p>
  </w:footnote>
  <w:footnote w:type="continuationNotice" w:id="1">
    <w:p w14:paraId="34CBAE89" w14:textId="77777777" w:rsidR="004378ED" w:rsidRDefault="004378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F6"/>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81C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1CF6"/>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BodyText"/>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szCs w:val="24"/>
    </w:rPr>
  </w:style>
  <w:style w:type="paragraph" w:customStyle="1" w:styleId="bullet2">
    <w:name w:val="bullet2"/>
    <w:basedOn w:val="Normal"/>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szCs w:val="24"/>
    </w:rPr>
  </w:style>
  <w:style w:type="paragraph" w:customStyle="1" w:styleId="bullet4">
    <w:name w:val="bullet4"/>
    <w:basedOn w:val="Normal"/>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
    <w:name w:val="交底书"/>
    <w:basedOn w:val="Normal"/>
    <w:link w:val="Char"/>
    <w:qFormat/>
    <w:rsid w:val="007B43F2"/>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7B43F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2398</Words>
  <Characters>13670</Characters>
  <Application>Microsoft Office Word</Application>
  <DocSecurity>0</DocSecurity>
  <Lines>113</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16036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2020-05-21T12:48:00Z</dcterms:created>
  <dcterms:modified xsi:type="dcterms:W3CDTF">2020-05-21T13:29:00Z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