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9769E4" w:rsidRPr="008040F5" w14:paraId="5CBAB71A" w14:textId="77777777" w:rsidTr="00785AED">
        <w:tc>
          <w:tcPr>
            <w:tcW w:w="1696" w:type="dxa"/>
          </w:tcPr>
          <w:p w14:paraId="4CA9A4EC" w14:textId="028F452E" w:rsidR="009769E4" w:rsidRDefault="009769E4" w:rsidP="009769E4">
            <w:pPr>
              <w:rPr>
                <w:rFonts w:asciiTheme="minorHAnsi" w:eastAsia="Malgun Gothic" w:hAnsiTheme="minorHAnsi" w:cstheme="minorHAnsi"/>
                <w:b/>
                <w:bCs/>
                <w:sz w:val="22"/>
                <w:szCs w:val="22"/>
                <w:lang w:eastAsia="ko-KR"/>
              </w:rPr>
            </w:pPr>
          </w:p>
        </w:tc>
        <w:tc>
          <w:tcPr>
            <w:tcW w:w="2265" w:type="dxa"/>
          </w:tcPr>
          <w:p w14:paraId="2328C847" w14:textId="6731F4F5" w:rsidR="009769E4" w:rsidRPr="005F69D5" w:rsidRDefault="009769E4" w:rsidP="009769E4">
            <w:pPr>
              <w:rPr>
                <w:rFonts w:asciiTheme="minorHAnsi" w:eastAsia="Yu Mincho" w:hAnsiTheme="minorHAnsi" w:cstheme="minorHAnsi"/>
                <w:b/>
                <w:bCs/>
                <w:sz w:val="22"/>
                <w:szCs w:val="22"/>
                <w:lang w:eastAsia="ja-JP"/>
              </w:rPr>
            </w:pPr>
          </w:p>
        </w:tc>
        <w:tc>
          <w:tcPr>
            <w:tcW w:w="6109" w:type="dxa"/>
          </w:tcPr>
          <w:p w14:paraId="6E981DC3" w14:textId="77777777" w:rsidR="009769E4" w:rsidRPr="0028552B" w:rsidRDefault="009769E4" w:rsidP="009769E4">
            <w:pPr>
              <w:rPr>
                <w:rFonts w:asciiTheme="minorHAnsi" w:eastAsia="Malgun Gothic" w:hAnsiTheme="minorHAnsi" w:cstheme="minorHAnsi"/>
                <w:bCs/>
                <w:sz w:val="22"/>
                <w:szCs w:val="22"/>
                <w:lang w:eastAsia="ko-KR"/>
              </w:rPr>
            </w:pPr>
          </w:p>
        </w:tc>
      </w:tr>
      <w:tr w:rsidR="009769E4" w:rsidRPr="008040F5" w14:paraId="0350BA04" w14:textId="77777777" w:rsidTr="00785AED">
        <w:tc>
          <w:tcPr>
            <w:tcW w:w="1696" w:type="dxa"/>
          </w:tcPr>
          <w:p w14:paraId="020F44A1" w14:textId="41466706" w:rsidR="009769E4" w:rsidRDefault="009769E4" w:rsidP="009769E4">
            <w:pPr>
              <w:rPr>
                <w:rFonts w:asciiTheme="minorHAnsi" w:eastAsia="Malgun Gothic" w:hAnsiTheme="minorHAnsi" w:cstheme="minorHAnsi"/>
                <w:b/>
                <w:bCs/>
                <w:sz w:val="22"/>
                <w:szCs w:val="22"/>
                <w:lang w:eastAsia="ko-KR"/>
              </w:rPr>
            </w:pPr>
          </w:p>
        </w:tc>
        <w:tc>
          <w:tcPr>
            <w:tcW w:w="2265" w:type="dxa"/>
          </w:tcPr>
          <w:p w14:paraId="1EC88259" w14:textId="1F66AEA3" w:rsidR="009769E4" w:rsidRDefault="009769E4" w:rsidP="009769E4">
            <w:pPr>
              <w:rPr>
                <w:rFonts w:asciiTheme="minorHAnsi" w:eastAsia="Yu Mincho" w:hAnsiTheme="minorHAnsi" w:cstheme="minorHAnsi"/>
                <w:b/>
                <w:bCs/>
                <w:sz w:val="22"/>
                <w:szCs w:val="22"/>
                <w:lang w:eastAsia="ja-JP"/>
              </w:rPr>
            </w:pPr>
          </w:p>
        </w:tc>
        <w:tc>
          <w:tcPr>
            <w:tcW w:w="6109" w:type="dxa"/>
          </w:tcPr>
          <w:p w14:paraId="0D3D4A1C" w14:textId="4D5DB7F2" w:rsidR="009769E4" w:rsidRPr="0028552B" w:rsidRDefault="009769E4" w:rsidP="009769E4">
            <w:pPr>
              <w:rPr>
                <w:rFonts w:asciiTheme="minorHAnsi" w:eastAsia="Malgun Gothic" w:hAnsiTheme="minorHAnsi" w:cstheme="minorHAnsi"/>
                <w:bCs/>
                <w:sz w:val="22"/>
                <w:szCs w:val="22"/>
                <w:lang w:eastAsia="ko-KR"/>
              </w:rPr>
            </w:pPr>
          </w:p>
        </w:tc>
      </w:tr>
      <w:tr w:rsidR="009769E4" w:rsidRPr="008040F5" w14:paraId="7A74725C" w14:textId="77777777" w:rsidTr="00785AED">
        <w:tc>
          <w:tcPr>
            <w:tcW w:w="1696" w:type="dxa"/>
          </w:tcPr>
          <w:p w14:paraId="4AFCD483" w14:textId="0F147704"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6071941C" w14:textId="44EB39C8"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04BE3F2" w14:textId="77777777" w:rsidR="009769E4" w:rsidRDefault="009769E4" w:rsidP="009769E4">
            <w:pPr>
              <w:rPr>
                <w:rFonts w:asciiTheme="minorHAnsi" w:eastAsiaTheme="minorEastAsia" w:hAnsiTheme="minorHAnsi" w:cstheme="minorHAnsi"/>
                <w:bCs/>
                <w:sz w:val="22"/>
                <w:szCs w:val="22"/>
                <w:lang w:eastAsia="zh-CN"/>
              </w:rPr>
            </w:pPr>
          </w:p>
        </w:tc>
      </w:tr>
      <w:tr w:rsidR="009769E4" w:rsidRPr="008040F5" w14:paraId="52AF15CB" w14:textId="77777777" w:rsidTr="00785AED">
        <w:tc>
          <w:tcPr>
            <w:tcW w:w="1696" w:type="dxa"/>
          </w:tcPr>
          <w:p w14:paraId="60541D25" w14:textId="77872C78"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15EF080F" w14:textId="2339B2A5"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E14E558" w14:textId="1F268143" w:rsidR="009769E4" w:rsidRDefault="009769E4" w:rsidP="009769E4">
            <w:pPr>
              <w:rPr>
                <w:rFonts w:asciiTheme="minorHAnsi" w:eastAsiaTheme="minorEastAsia" w:hAnsiTheme="minorHAnsi" w:cstheme="minorHAnsi"/>
                <w:bCs/>
                <w:sz w:val="22"/>
                <w:szCs w:val="22"/>
                <w:lang w:eastAsia="zh-CN"/>
              </w:rPr>
            </w:pPr>
          </w:p>
        </w:tc>
      </w:tr>
      <w:tr w:rsidR="009769E4" w:rsidRPr="008040F5" w14:paraId="010D026A" w14:textId="77777777" w:rsidTr="00785AED">
        <w:tc>
          <w:tcPr>
            <w:tcW w:w="1696" w:type="dxa"/>
          </w:tcPr>
          <w:p w14:paraId="21E3E8C3" w14:textId="2614318A"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9769E4" w:rsidRPr="00C6477B" w:rsidRDefault="009769E4" w:rsidP="009769E4">
            <w:pPr>
              <w:rPr>
                <w:rFonts w:asciiTheme="minorHAnsi" w:eastAsiaTheme="minorEastAsia" w:hAnsiTheme="minorHAnsi" w:cstheme="minorHAnsi"/>
                <w:bCs/>
                <w:color w:val="4472C4" w:themeColor="accent1"/>
                <w:sz w:val="22"/>
                <w:szCs w:val="22"/>
                <w:lang w:eastAsia="zh-CN"/>
              </w:rPr>
            </w:pPr>
          </w:p>
        </w:tc>
      </w:tr>
      <w:tr w:rsidR="009769E4" w:rsidRPr="008040F5" w14:paraId="2CB1A0B4" w14:textId="77777777" w:rsidTr="00785AED">
        <w:tc>
          <w:tcPr>
            <w:tcW w:w="1696" w:type="dxa"/>
          </w:tcPr>
          <w:p w14:paraId="6B224EDB" w14:textId="2A0A0478"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757F38C4" w14:textId="6FBD4AA1" w:rsidR="009769E4" w:rsidRDefault="009769E4" w:rsidP="009769E4">
            <w:pPr>
              <w:pStyle w:val="ListParagraph"/>
              <w:ind w:left="89"/>
              <w:jc w:val="center"/>
              <w:rPr>
                <w:rFonts w:asciiTheme="minorHAnsi" w:eastAsiaTheme="minorEastAsia" w:hAnsiTheme="minorHAnsi" w:cstheme="minorHAnsi"/>
                <w:b/>
                <w:bCs/>
                <w:sz w:val="22"/>
                <w:szCs w:val="22"/>
                <w:lang w:eastAsia="zh-CN"/>
              </w:rPr>
            </w:pPr>
          </w:p>
        </w:tc>
      </w:tr>
      <w:tr w:rsidR="009769E4" w:rsidRPr="008040F5" w14:paraId="203CCF82" w14:textId="77777777" w:rsidTr="00785AED">
        <w:tc>
          <w:tcPr>
            <w:tcW w:w="1696" w:type="dxa"/>
          </w:tcPr>
          <w:p w14:paraId="356EE9A4" w14:textId="22880F40"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26D6F9E0" w14:textId="6802C40F" w:rsidR="009769E4" w:rsidRDefault="009769E4" w:rsidP="009769E4">
            <w:pPr>
              <w:spacing w:after="120"/>
              <w:rPr>
                <w:rFonts w:asciiTheme="minorHAnsi" w:eastAsiaTheme="minorEastAsia" w:hAnsiTheme="minorHAnsi" w:cstheme="minorHAnsi"/>
                <w:b/>
                <w:bCs/>
                <w:sz w:val="22"/>
                <w:szCs w:val="22"/>
                <w:lang w:eastAsia="zh-CN"/>
              </w:rPr>
            </w:pPr>
          </w:p>
        </w:tc>
      </w:tr>
      <w:tr w:rsidR="009769E4" w:rsidRPr="008040F5" w14:paraId="7481E150" w14:textId="77777777" w:rsidTr="00785AED">
        <w:tc>
          <w:tcPr>
            <w:tcW w:w="1696" w:type="dxa"/>
          </w:tcPr>
          <w:p w14:paraId="57F16C7E" w14:textId="25FB70A7"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863B776" w14:textId="58BDC571" w:rsidR="009769E4" w:rsidRPr="003B278F" w:rsidRDefault="009769E4" w:rsidP="009769E4">
            <w:pPr>
              <w:spacing w:after="120"/>
              <w:rPr>
                <w:rFonts w:asciiTheme="minorHAnsi" w:eastAsiaTheme="minorEastAsia" w:hAnsiTheme="minorHAnsi" w:cstheme="minorHAnsi"/>
                <w:sz w:val="22"/>
                <w:szCs w:val="22"/>
                <w:lang w:eastAsia="zh-CN"/>
              </w:rPr>
            </w:pPr>
          </w:p>
        </w:tc>
      </w:tr>
      <w:tr w:rsidR="009769E4" w:rsidRPr="008040F5" w14:paraId="7DA81B38" w14:textId="77777777" w:rsidTr="00641ADE">
        <w:tc>
          <w:tcPr>
            <w:tcW w:w="1696" w:type="dxa"/>
          </w:tcPr>
          <w:p w14:paraId="2B3DD93B" w14:textId="1988C790" w:rsidR="009769E4" w:rsidRPr="00EC3D1F" w:rsidRDefault="009769E4" w:rsidP="009769E4">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9769E4" w:rsidRPr="00EC3D1F" w:rsidRDefault="009769E4" w:rsidP="009769E4">
            <w:pPr>
              <w:rPr>
                <w:rFonts w:ascii="Calibri" w:eastAsiaTheme="minorEastAsia" w:hAnsi="Calibri"/>
                <w:b/>
                <w:bCs/>
                <w:sz w:val="22"/>
                <w:szCs w:val="22"/>
                <w:lang w:eastAsia="zh-CN"/>
              </w:rPr>
            </w:pPr>
          </w:p>
        </w:tc>
        <w:tc>
          <w:tcPr>
            <w:tcW w:w="6109" w:type="dxa"/>
          </w:tcPr>
          <w:p w14:paraId="28F2976E" w14:textId="0D383A73" w:rsidR="009769E4" w:rsidRPr="00DF1C60" w:rsidRDefault="009769E4" w:rsidP="009769E4">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5F6AE2">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bookmarkStart w:id="22" w:name="_GoBack"/>
            <w:bookmarkEnd w:id="22"/>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5F6AE2">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7092CB5" w14:textId="77777777" w:rsidR="007609BB" w:rsidRPr="007609BB" w:rsidRDefault="007609BB" w:rsidP="007609BB">
      <w:pPr>
        <w:pStyle w:val="ListParagraph"/>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3A9EC3C4" w:rsidR="00B96F6F" w:rsidRPr="007609BB" w:rsidRDefault="007609BB" w:rsidP="007609BB">
      <w:pPr>
        <w:pStyle w:val="ListParagraph"/>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5F6AE2">
        <w:tc>
          <w:tcPr>
            <w:tcW w:w="1696"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2265"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5F6AE2">
        <w:tc>
          <w:tcPr>
            <w:tcW w:w="1696"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2265"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109" w:type="dxa"/>
          </w:tcPr>
          <w:p w14:paraId="5965BA05" w14:textId="3F119B04"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178D6C0D"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5F6AE2">
        <w:tc>
          <w:tcPr>
            <w:tcW w:w="1696"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2265"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109"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w:t>
            </w:r>
            <w:r w:rsidRPr="00DC0D73">
              <w:rPr>
                <w:rFonts w:eastAsiaTheme="minorEastAsia"/>
                <w:bCs/>
                <w:sz w:val="22"/>
                <w:szCs w:val="22"/>
                <w:lang w:eastAsia="zh-CN"/>
              </w:rPr>
              <w:t xml:space="preserve">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w:t>
            </w:r>
            <w:r w:rsidR="00DC0D73" w:rsidRPr="00DC0D73">
              <w:rPr>
                <w:rFonts w:eastAsiaTheme="minorEastAsia"/>
                <w:bCs/>
                <w:sz w:val="22"/>
                <w:szCs w:val="22"/>
                <w:lang w:eastAsia="zh-CN"/>
              </w:rPr>
              <w:t xml:space="preserve"> In the DCI 2_0 alike solution, the spec may need to handle the relationship among three </w:t>
            </w:r>
            <w:r w:rsidR="00DC0D73" w:rsidRPr="00DC0D73">
              <w:rPr>
                <w:rFonts w:eastAsiaTheme="minorEastAsia"/>
                <w:bCs/>
                <w:sz w:val="22"/>
                <w:szCs w:val="22"/>
                <w:lang w:eastAsia="zh-CN"/>
              </w:rPr>
              <w:lastRenderedPageBreak/>
              <w:t xml:space="preserve">SCS’s: the actual SCS, ref-SCS in </w:t>
            </w:r>
            <w:r w:rsidR="00DC0D73" w:rsidRPr="00DC0D73">
              <w:rPr>
                <w:sz w:val="22"/>
                <w:szCs w:val="22"/>
                <w:lang w:eastAsia="en-GB"/>
              </w:rPr>
              <w:t>AvailabilityCombinationsPerCell-r16</w:t>
            </w:r>
            <w:r w:rsidR="00DC0D73" w:rsidRPr="00DC0D73">
              <w:rPr>
                <w:sz w:val="22"/>
                <w:szCs w:val="22"/>
                <w:lang w:eastAsia="en-GB"/>
              </w:rPr>
              <w:t xml:space="preserve">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AE07A" w14:textId="77777777" w:rsidR="002A236C" w:rsidRDefault="002A236C" w:rsidP="00424124">
      <w:r>
        <w:separator/>
      </w:r>
    </w:p>
  </w:endnote>
  <w:endnote w:type="continuationSeparator" w:id="0">
    <w:p w14:paraId="65F16DAA" w14:textId="77777777" w:rsidR="002A236C" w:rsidRDefault="002A236C" w:rsidP="00424124">
      <w:r>
        <w:continuationSeparator/>
      </w:r>
    </w:p>
  </w:endnote>
  <w:endnote w:type="continuationNotice" w:id="1">
    <w:p w14:paraId="445530A6" w14:textId="77777777" w:rsidR="002A236C" w:rsidRDefault="002A2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ZapfDingbats">
    <w:charset w:val="02"/>
    <w:family w:val="decorative"/>
    <w:pitch w:val="default"/>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FB22" w14:textId="77777777" w:rsidR="002A236C" w:rsidRDefault="002A236C" w:rsidP="00424124">
      <w:r>
        <w:separator/>
      </w:r>
    </w:p>
  </w:footnote>
  <w:footnote w:type="continuationSeparator" w:id="0">
    <w:p w14:paraId="5120ED66" w14:textId="77777777" w:rsidR="002A236C" w:rsidRDefault="002A236C" w:rsidP="00424124">
      <w:r>
        <w:continuationSeparator/>
      </w:r>
    </w:p>
  </w:footnote>
  <w:footnote w:type="continuationNotice" w:id="1">
    <w:p w14:paraId="7820DC85" w14:textId="77777777" w:rsidR="002A236C" w:rsidRDefault="002A23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9">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3"/>
  </w:num>
  <w:num w:numId="6">
    <w:abstractNumId w:val="33"/>
  </w:num>
  <w:num w:numId="7">
    <w:abstractNumId w:val="1"/>
  </w:num>
  <w:num w:numId="8">
    <w:abstractNumId w:val="35"/>
  </w:num>
  <w:num w:numId="9">
    <w:abstractNumId w:val="3"/>
  </w:num>
  <w:num w:numId="10">
    <w:abstractNumId w:val="2"/>
  </w:num>
  <w:num w:numId="11">
    <w:abstractNumId w:val="22"/>
  </w:num>
  <w:num w:numId="12">
    <w:abstractNumId w:val="37"/>
  </w:num>
  <w:num w:numId="13">
    <w:abstractNumId w:val="36"/>
  </w:num>
  <w:num w:numId="14">
    <w:abstractNumId w:val="31"/>
  </w:num>
  <w:num w:numId="15">
    <w:abstractNumId w:val="8"/>
  </w:num>
  <w:num w:numId="16">
    <w:abstractNumId w:val="39"/>
  </w:num>
  <w:num w:numId="17">
    <w:abstractNumId w:val="11"/>
  </w:num>
  <w:num w:numId="18">
    <w:abstractNumId w:val="32"/>
  </w:num>
  <w:num w:numId="19">
    <w:abstractNumId w:val="0"/>
  </w:num>
  <w:num w:numId="20">
    <w:abstractNumId w:val="7"/>
  </w:num>
  <w:num w:numId="21">
    <w:abstractNumId w:val="16"/>
  </w:num>
  <w:num w:numId="22">
    <w:abstractNumId w:val="38"/>
  </w:num>
  <w:num w:numId="23">
    <w:abstractNumId w:val="19"/>
  </w:num>
  <w:num w:numId="24">
    <w:abstractNumId w:val="10"/>
  </w:num>
  <w:num w:numId="25">
    <w:abstractNumId w:val="12"/>
  </w:num>
  <w:num w:numId="26">
    <w:abstractNumId w:val="4"/>
  </w:num>
  <w:num w:numId="27">
    <w:abstractNumId w:val="25"/>
  </w:num>
  <w:num w:numId="28">
    <w:abstractNumId w:val="34"/>
  </w:num>
  <w:num w:numId="29">
    <w:abstractNumId w:val="18"/>
  </w:num>
  <w:num w:numId="30">
    <w:abstractNumId w:val="30"/>
  </w:num>
  <w:num w:numId="31">
    <w:abstractNumId w:val="29"/>
  </w:num>
  <w:num w:numId="32">
    <w:abstractNumId w:val="13"/>
  </w:num>
  <w:num w:numId="33">
    <w:abstractNumId w:val="27"/>
  </w:num>
  <w:num w:numId="34">
    <w:abstractNumId w:val="19"/>
  </w:num>
  <w:num w:numId="35">
    <w:abstractNumId w:val="24"/>
  </w:num>
  <w:num w:numId="36">
    <w:abstractNumId w:val="6"/>
  </w:num>
  <w:num w:numId="37">
    <w:abstractNumId w:val="21"/>
  </w:num>
  <w:num w:numId="38">
    <w:abstractNumId w:val="20"/>
  </w:num>
  <w:num w:numId="39">
    <w:abstractNumId w:val="28"/>
  </w:num>
  <w:num w:numId="40">
    <w:abstractNumId w:val="14"/>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EBDE-2BC8-44FC-A14E-390EA78F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3484</Words>
  <Characters>19861</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WF</cp:lastModifiedBy>
  <cp:revision>6</cp:revision>
  <cp:lastPrinted>2016-02-23T10:51:00Z</cp:lastPrinted>
  <dcterms:created xsi:type="dcterms:W3CDTF">2020-05-21T00:42:00Z</dcterms:created>
  <dcterms:modified xsi:type="dcterms:W3CDTF">2020-05-21T05:24:00Z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