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0E3A7"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4F7B97">
        <w:rPr>
          <w:sz w:val="32"/>
          <w:szCs w:val="32"/>
        </w:rPr>
        <w:t>xxxx</w:t>
      </w:r>
    </w:p>
    <w:p w14:paraId="451A5F26"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1FC11AB6" w14:textId="77777777" w:rsidR="006618DF" w:rsidRDefault="006618DF" w:rsidP="00A537B2">
      <w:pPr>
        <w:ind w:left="1800" w:hanging="1800"/>
        <w:rPr>
          <w:rFonts w:ascii="Calibri" w:eastAsia="Calibri" w:hAnsi="Calibri"/>
          <w:b/>
          <w:bCs/>
          <w:sz w:val="22"/>
          <w:szCs w:val="22"/>
        </w:rPr>
      </w:pPr>
    </w:p>
    <w:p w14:paraId="4E2A6CCB"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9C75D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2960DD78"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4F7B97" w:rsidRPr="004F7B97">
        <w:rPr>
          <w:rFonts w:ascii="Calibri" w:eastAsia="Calibri" w:hAnsi="Calibri"/>
          <w:b/>
          <w:bCs/>
          <w:sz w:val="22"/>
          <w:szCs w:val="22"/>
        </w:rPr>
        <w:t>[101-e-NR-IAB-01]</w:t>
      </w:r>
      <w:r w:rsidR="004F7B97">
        <w:rPr>
          <w:rFonts w:ascii="Calibri" w:eastAsia="Calibri" w:hAnsi="Calibri"/>
          <w:b/>
          <w:bCs/>
          <w:sz w:val="22"/>
          <w:szCs w:val="22"/>
        </w:rPr>
        <w:t xml:space="preserve">: </w:t>
      </w:r>
      <w:r w:rsidR="004F7B97" w:rsidRPr="004F7B97">
        <w:rPr>
          <w:rFonts w:ascii="Calibri" w:eastAsia="Calibri" w:hAnsi="Calibri"/>
          <w:b/>
          <w:bCs/>
          <w:sz w:val="22"/>
          <w:szCs w:val="22"/>
        </w:rPr>
        <w:t>Response to RAN2 LS on IAB Guard Symbols</w:t>
      </w:r>
    </w:p>
    <w:p w14:paraId="041D18D1"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B4DC3B1" w14:textId="77777777" w:rsidR="00A64CF7" w:rsidRPr="00A11840" w:rsidRDefault="00A64CF7" w:rsidP="00424124">
      <w:pPr>
        <w:pStyle w:val="a7"/>
        <w:jc w:val="left"/>
        <w:rPr>
          <w:sz w:val="16"/>
          <w:szCs w:val="16"/>
        </w:rPr>
      </w:pPr>
    </w:p>
    <w:p w14:paraId="21595F3B" w14:textId="77777777" w:rsidR="00707D20" w:rsidRPr="00172743" w:rsidRDefault="00424124" w:rsidP="00326FF6">
      <w:pPr>
        <w:pStyle w:val="1"/>
      </w:pPr>
      <w:r w:rsidRPr="00172743">
        <w:t>Introduction</w:t>
      </w:r>
    </w:p>
    <w:p w14:paraId="7CA70CB5" w14:textId="77777777" w:rsidR="0051424F" w:rsidRDefault="003327F3" w:rsidP="003327F3">
      <w:pPr>
        <w:pStyle w:val="af2"/>
      </w:pPr>
      <w:r>
        <w:t xml:space="preserve">This contribution provides </w:t>
      </w:r>
      <w:r w:rsidR="00902C43">
        <w:t>s</w:t>
      </w:r>
      <w:r w:rsidR="00902C43" w:rsidRPr="00902C43">
        <w:t>ummary of</w:t>
      </w:r>
      <w:r w:rsidR="00902C43">
        <w:t xml:space="preserve"> email discussion</w:t>
      </w:r>
      <w:r w:rsidR="00902C43" w:rsidRPr="00902C43">
        <w:t xml:space="preserve"> [101-e-NR-IAB-01]: Response to RAN2 LS on IAB Guard Symbols</w:t>
      </w:r>
      <w:r w:rsidR="00902C43">
        <w:t>.</w:t>
      </w:r>
    </w:p>
    <w:p w14:paraId="2F9F7763" w14:textId="77777777" w:rsidR="00DE0E10" w:rsidRPr="00F4616A" w:rsidRDefault="00DE0E10" w:rsidP="00DE0E10">
      <w:pPr>
        <w:rPr>
          <w:rFonts w:ascii="Calibri" w:eastAsia="맑은 고딕" w:hAnsi="Calibri" w:cs="바탕"/>
          <w:lang w:val="en-GB" w:eastAsia="ko-KR"/>
        </w:rPr>
      </w:pPr>
    </w:p>
    <w:p w14:paraId="13B3DFB8" w14:textId="77777777" w:rsidR="003327F3" w:rsidRPr="00172743" w:rsidRDefault="00902C43" w:rsidP="003327F3">
      <w:pPr>
        <w:pStyle w:val="1"/>
      </w:pPr>
      <w:r w:rsidRPr="00902C43">
        <w:t>Response to RAN2 LS on IAB Guard Symbols</w:t>
      </w:r>
    </w:p>
    <w:p w14:paraId="769A45A5" w14:textId="77777777"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176EC6CD" w14:textId="77777777" w:rsidR="0073499F" w:rsidRDefault="0073499F" w:rsidP="00190804">
      <w:pPr>
        <w:rPr>
          <w:rFonts w:asciiTheme="minorHAnsi" w:hAnsiTheme="minorHAnsi" w:cstheme="minorHAnsi"/>
          <w:b/>
          <w:lang w:val="en-GB"/>
        </w:rPr>
      </w:pPr>
    </w:p>
    <w:p w14:paraId="0FCD63B1"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55764023" w14:textId="77777777" w:rsidR="007C47E8" w:rsidRDefault="007C47E8" w:rsidP="007C47E8">
      <w:pPr>
        <w:rPr>
          <w:rFonts w:ascii="Calibri" w:eastAsia="Calibri" w:hAnsi="Calibri"/>
          <w:sz w:val="22"/>
          <w:szCs w:val="22"/>
        </w:rPr>
      </w:pPr>
    </w:p>
    <w:p w14:paraId="34875974" w14:textId="77777777" w:rsidR="007C47E8" w:rsidRDefault="007C47E8" w:rsidP="007C47E8">
      <w:pPr>
        <w:pStyle w:val="ab"/>
        <w:rPr>
          <w:rFonts w:cs="Arial"/>
        </w:rPr>
      </w:pPr>
      <w:r>
        <w:rPr>
          <w:rFonts w:cs="Arial"/>
        </w:rPr>
        <w:t xml:space="preserve">     RAN1#99 agreement:</w:t>
      </w:r>
    </w:p>
    <w:p w14:paraId="477F8FB5" w14:textId="77777777" w:rsidR="007C47E8" w:rsidRPr="001A151A" w:rsidRDefault="007C47E8" w:rsidP="007C47E8">
      <w:pPr>
        <w:rPr>
          <w:rFonts w:ascii="Times" w:eastAsia="바탕" w:hAnsi="Times"/>
        </w:rPr>
      </w:pPr>
      <w:r w:rsidRPr="004B2424">
        <w:rPr>
          <w:rFonts w:ascii="Times" w:eastAsia="바탕" w:hAnsi="Times"/>
        </w:rPr>
        <w:t xml:space="preserve">    </w:t>
      </w:r>
      <w:r>
        <w:rPr>
          <w:rFonts w:ascii="Times" w:eastAsia="바탕" w:hAnsi="Times"/>
          <w:highlight w:val="green"/>
        </w:rPr>
        <w:t xml:space="preserve"> </w:t>
      </w:r>
      <w:r w:rsidRPr="001A151A">
        <w:rPr>
          <w:rFonts w:ascii="Times" w:eastAsia="바탕" w:hAnsi="Times"/>
          <w:highlight w:val="green"/>
        </w:rPr>
        <w:t>Agreements</w:t>
      </w:r>
      <w:r w:rsidRPr="001A151A">
        <w:rPr>
          <w:rFonts w:ascii="Times" w:eastAsia="바탕" w:hAnsi="Times"/>
        </w:rPr>
        <w:t>:</w:t>
      </w:r>
    </w:p>
    <w:p w14:paraId="03B8E10F" w14:textId="77777777" w:rsidR="007C47E8" w:rsidRPr="001A151A" w:rsidRDefault="007C47E8" w:rsidP="007C47E8">
      <w:pPr>
        <w:ind w:left="360"/>
        <w:rPr>
          <w:rFonts w:ascii="Times" w:eastAsia="바탕" w:hAnsi="Times"/>
          <w:bCs/>
        </w:rPr>
      </w:pPr>
      <w:r w:rsidRPr="001A151A">
        <w:rPr>
          <w:rFonts w:ascii="Times" w:eastAsia="바탕" w:hAnsi="Times"/>
          <w:bCs/>
          <w:i/>
          <w:iCs/>
        </w:rPr>
        <w:t xml:space="preserve">Desired Guard </w:t>
      </w:r>
      <w:r w:rsidRPr="001A151A">
        <w:rPr>
          <w:rFonts w:ascii="Times" w:eastAsia="바탕" w:hAnsi="Times"/>
          <w:bCs/>
        </w:rPr>
        <w:t>Symbols and</w:t>
      </w:r>
      <w:r w:rsidRPr="001A151A">
        <w:rPr>
          <w:rFonts w:ascii="Times" w:eastAsia="바탕" w:hAnsi="Times"/>
          <w:bCs/>
          <w:i/>
          <w:iCs/>
        </w:rPr>
        <w:t xml:space="preserve"> Provided Guard Symbols </w:t>
      </w:r>
      <w:r w:rsidRPr="001A151A">
        <w:rPr>
          <w:rFonts w:ascii="Times" w:eastAsia="바탕" w:hAnsi="Times"/>
          <w:bCs/>
        </w:rPr>
        <w:t>are provided per cell and use 3 bits for each of the 8 transitions to indicate the number of guard symbols.</w:t>
      </w:r>
    </w:p>
    <w:p w14:paraId="669EA8CE" w14:textId="77777777" w:rsidR="007C47E8" w:rsidRPr="001A151A" w:rsidRDefault="007C47E8" w:rsidP="008F19A4">
      <w:pPr>
        <w:numPr>
          <w:ilvl w:val="0"/>
          <w:numId w:val="20"/>
        </w:numPr>
        <w:contextualSpacing/>
        <w:rPr>
          <w:bCs/>
          <w:lang w:eastAsia="ja-JP"/>
        </w:rPr>
      </w:pPr>
      <w:r w:rsidRPr="001A151A">
        <w:rPr>
          <w:bCs/>
          <w:lang w:eastAsia="ja-JP"/>
        </w:rPr>
        <w:t>In Rel-16, a range of 0-4 symbols are supported for each transition. Additional entries are reserved for future use</w:t>
      </w:r>
    </w:p>
    <w:p w14:paraId="6FBED50E" w14:textId="77777777" w:rsidR="007C47E8" w:rsidRPr="001A151A" w:rsidRDefault="007C47E8" w:rsidP="008F19A4">
      <w:pPr>
        <w:numPr>
          <w:ilvl w:val="0"/>
          <w:numId w:val="20"/>
        </w:numPr>
        <w:contextualSpacing/>
        <w:rPr>
          <w:bCs/>
          <w:lang w:eastAsia="ja-JP"/>
        </w:rPr>
      </w:pPr>
      <w:r w:rsidRPr="001A151A">
        <w:rPr>
          <w:bCs/>
          <w:lang w:eastAsia="ja-JP"/>
        </w:rPr>
        <w:t xml:space="preserve">A new parameter </w:t>
      </w:r>
      <w:r w:rsidRPr="001A151A">
        <w:rPr>
          <w:bCs/>
          <w:i/>
          <w:iCs/>
          <w:lang w:eastAsia="ja-JP"/>
        </w:rPr>
        <w:t>GuardSymbol-SCS</w:t>
      </w:r>
      <w:r w:rsidRPr="001A151A">
        <w:rPr>
          <w:bCs/>
          <w:lang w:eastAsia="ja-JP"/>
        </w:rPr>
        <w:t xml:space="preserve"> is also provided which indicates the reference SCS (FR1: {15kHz, 30kHz, 60kHz}, FR2: {60kHz, 120kHz}) to be used for the guard symbols.</w:t>
      </w:r>
    </w:p>
    <w:p w14:paraId="07005B59" w14:textId="77777777" w:rsidR="007C47E8" w:rsidRDefault="007C47E8" w:rsidP="007C47E8">
      <w:pPr>
        <w:pStyle w:val="ab"/>
        <w:rPr>
          <w:rFonts w:cs="Arial"/>
        </w:rPr>
      </w:pPr>
    </w:p>
    <w:p w14:paraId="33BD101E" w14:textId="77777777" w:rsidR="007C47E8" w:rsidRDefault="007C47E8" w:rsidP="007C47E8">
      <w:pPr>
        <w:pStyle w:val="ab"/>
        <w:rPr>
          <w:rFonts w:cs="Arial"/>
        </w:rPr>
      </w:pPr>
    </w:p>
    <w:p w14:paraId="77201DDF" w14:textId="77777777" w:rsidR="007C47E8" w:rsidRDefault="007C47E8" w:rsidP="007C47E8">
      <w:pPr>
        <w:pStyle w:val="ab"/>
        <w:rPr>
          <w:rFonts w:cs="Arial"/>
        </w:rPr>
      </w:pPr>
      <w:r>
        <w:rPr>
          <w:rFonts w:cs="Arial"/>
        </w:rPr>
        <w:t xml:space="preserve">      </w:t>
      </w:r>
      <w:r w:rsidRPr="003151A8">
        <w:rPr>
          <w:rFonts w:cs="Arial"/>
        </w:rPr>
        <w:t xml:space="preserve">RAN2#109-e </w:t>
      </w:r>
      <w:r>
        <w:rPr>
          <w:rFonts w:cs="Arial"/>
        </w:rPr>
        <w:t>agreement:</w:t>
      </w:r>
    </w:p>
    <w:p w14:paraId="2626DF16" w14:textId="7777777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3C491833"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5B3221C2" w14:textId="77777777" w:rsidR="007C47E8" w:rsidRDefault="007C47E8" w:rsidP="007C47E8">
      <w:pPr>
        <w:rPr>
          <w:rFonts w:ascii="Calibri" w:eastAsia="Calibri" w:hAnsi="Calibri"/>
          <w:sz w:val="22"/>
          <w:szCs w:val="22"/>
        </w:rPr>
      </w:pPr>
    </w:p>
    <w:p w14:paraId="2D460963" w14:textId="77777777" w:rsidR="007C47E8" w:rsidRDefault="007C47E8" w:rsidP="007C47E8">
      <w:pPr>
        <w:pStyle w:val="ab"/>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72E2E2BE" w14:textId="77777777" w:rsidR="00B16D0D" w:rsidRPr="00B16D0D" w:rsidRDefault="00B16D0D" w:rsidP="007C47E8">
      <w:pPr>
        <w:rPr>
          <w:rFonts w:asciiTheme="minorHAnsi" w:hAnsiTheme="minorHAnsi" w:cstheme="minorHAnsi"/>
          <w:bCs/>
          <w:lang w:val="en-GB"/>
        </w:rPr>
      </w:pPr>
    </w:p>
    <w:p w14:paraId="052193AE" w14:textId="77777777" w:rsidR="004118BD" w:rsidRDefault="004118BD" w:rsidP="00551DFD">
      <w:pPr>
        <w:spacing w:beforeLines="50" w:before="120"/>
        <w:rPr>
          <w:rFonts w:asciiTheme="minorHAnsi" w:hAnsiTheme="minorHAnsi" w:cstheme="minorHAnsi"/>
          <w:b/>
          <w:lang w:val="en-GB"/>
        </w:rPr>
      </w:pPr>
    </w:p>
    <w:p w14:paraId="742B290A" w14:textId="77777777" w:rsidR="004118BD" w:rsidRDefault="004118BD" w:rsidP="00551DFD">
      <w:pPr>
        <w:spacing w:beforeLines="50" w:before="120"/>
        <w:rPr>
          <w:rFonts w:asciiTheme="minorHAnsi" w:hAnsiTheme="minorHAnsi" w:cstheme="minorHAnsi"/>
          <w:b/>
          <w:lang w:val="en-GB"/>
        </w:rPr>
      </w:pPr>
    </w:p>
    <w:p w14:paraId="36D252A1" w14:textId="77777777" w:rsidR="004118BD" w:rsidRDefault="004118BD" w:rsidP="00551DFD">
      <w:pPr>
        <w:spacing w:beforeLines="50" w:before="120"/>
        <w:rPr>
          <w:rFonts w:asciiTheme="minorHAnsi" w:hAnsiTheme="minorHAnsi" w:cstheme="minorHAnsi"/>
          <w:b/>
          <w:lang w:val="en-GB"/>
        </w:rPr>
      </w:pPr>
    </w:p>
    <w:p w14:paraId="3DB8B6D7" w14:textId="77777777" w:rsidR="00937173" w:rsidRDefault="007C47E8" w:rsidP="00551DFD">
      <w:pPr>
        <w:spacing w:beforeLines="50" w:before="120"/>
        <w:rPr>
          <w:rFonts w:ascii="Calibri" w:eastAsia="Calibri" w:hAnsi="Calibri"/>
          <w:sz w:val="22"/>
          <w:szCs w:val="22"/>
        </w:rPr>
      </w:pPr>
      <w:r>
        <w:rPr>
          <w:rFonts w:asciiTheme="minorHAnsi" w:hAnsiTheme="minorHAnsi" w:cstheme="minorHAnsi"/>
          <w:b/>
          <w:lang w:val="en-GB"/>
        </w:rPr>
        <w:lastRenderedPageBreak/>
        <w:t xml:space="preserve">FL Observation: </w:t>
      </w:r>
      <w:r w:rsidR="004118BD">
        <w:rPr>
          <w:rFonts w:ascii="Calibri" w:eastAsia="Calibri" w:hAnsi="Calibri"/>
          <w:sz w:val="22"/>
          <w:szCs w:val="22"/>
        </w:rPr>
        <w:t xml:space="preserve">During the preparation phase the following was proposal was made regarding the response to RAN2 about </w:t>
      </w:r>
      <w:r w:rsidR="004118BD" w:rsidRPr="004118BD">
        <w:rPr>
          <w:rFonts w:ascii="Calibri" w:eastAsia="Calibri" w:hAnsi="Calibri"/>
          <w:sz w:val="22"/>
          <w:szCs w:val="22"/>
        </w:rPr>
        <w:t>whether there is a requirement that Number of Guard Symbols should be applied to a specific cell, or if the Number of Guard Symbols applies across all the cells in the cell group</w:t>
      </w:r>
      <w:r w:rsidR="004118BD">
        <w:rPr>
          <w:rFonts w:ascii="Calibri" w:eastAsia="Calibri" w:hAnsi="Calibri"/>
          <w:sz w:val="22"/>
          <w:szCs w:val="22"/>
        </w:rPr>
        <w:t>:</w:t>
      </w:r>
    </w:p>
    <w:p w14:paraId="724B3377" w14:textId="77777777" w:rsidR="00937173" w:rsidRDefault="00937173" w:rsidP="00551DFD">
      <w:pPr>
        <w:spacing w:beforeLines="50" w:before="120"/>
        <w:rPr>
          <w:rFonts w:ascii="Calibri" w:eastAsia="Calibri" w:hAnsi="Calibri"/>
          <w:b/>
          <w:bCs/>
          <w:sz w:val="22"/>
          <w:szCs w:val="22"/>
        </w:rPr>
      </w:pPr>
    </w:p>
    <w:p w14:paraId="4A024282" w14:textId="77777777" w:rsidR="006D78C8" w:rsidRDefault="00937173" w:rsidP="00551DFD">
      <w:pPr>
        <w:spacing w:beforeLines="50" w:before="120"/>
        <w:ind w:left="720"/>
        <w:rPr>
          <w:rFonts w:ascii="Calibri" w:eastAsia="Calibri" w:hAnsi="Calibri"/>
          <w:b/>
          <w:bCs/>
          <w:sz w:val="22"/>
          <w:szCs w:val="22"/>
        </w:rPr>
      </w:pPr>
      <w:r w:rsidRPr="007C47E8">
        <w:rPr>
          <w:rFonts w:ascii="Calibri" w:eastAsia="Calibri" w:hAnsi="Calibri"/>
          <w:b/>
          <w:bCs/>
          <w:sz w:val="22"/>
          <w:szCs w:val="22"/>
          <w:highlight w:val="yellow"/>
        </w:rPr>
        <w:t>FL Proposal 2.1.</w:t>
      </w:r>
      <w:r w:rsidR="00D6271B" w:rsidRPr="00D6271B">
        <w:rPr>
          <w:rFonts w:ascii="Calibri" w:eastAsia="Calibri" w:hAnsi="Calibri"/>
          <w:b/>
          <w:bCs/>
          <w:sz w:val="22"/>
          <w:szCs w:val="22"/>
          <w:highlight w:val="yellow"/>
        </w:rPr>
        <w:t>2</w:t>
      </w:r>
      <w:r>
        <w:rPr>
          <w:rFonts w:ascii="Calibri" w:eastAsia="Calibri" w:hAnsi="Calibri"/>
          <w:b/>
          <w:bCs/>
          <w:sz w:val="22"/>
          <w:szCs w:val="22"/>
        </w:rPr>
        <w:t xml:space="preserve">: </w:t>
      </w:r>
    </w:p>
    <w:p w14:paraId="53BE4CD1" w14:textId="77777777" w:rsidR="006D78C8" w:rsidRDefault="006D78C8" w:rsidP="00551DFD">
      <w:pPr>
        <w:spacing w:beforeLines="50" w:before="120"/>
        <w:ind w:left="720"/>
        <w:rPr>
          <w:rFonts w:ascii="Calibri" w:eastAsia="Calibri" w:hAnsi="Calibri"/>
          <w:sz w:val="22"/>
          <w:szCs w:val="22"/>
        </w:rPr>
      </w:pPr>
      <w:r w:rsidRPr="006D78C8">
        <w:rPr>
          <w:rFonts w:ascii="Calibri" w:eastAsia="Calibri" w:hAnsi="Calibri"/>
          <w:b/>
          <w:bCs/>
          <w:sz w:val="22"/>
          <w:szCs w:val="22"/>
        </w:rPr>
        <w:t>RAN1 should confirm one of the following alternatives</w:t>
      </w:r>
      <w:r w:rsidR="004118BD">
        <w:rPr>
          <w:rFonts w:ascii="Calibri" w:eastAsia="Calibri" w:hAnsi="Calibri"/>
          <w:b/>
          <w:bCs/>
          <w:sz w:val="22"/>
          <w:szCs w:val="22"/>
        </w:rPr>
        <w:t xml:space="preserve"> and inform RAN2</w:t>
      </w:r>
      <w:r w:rsidRPr="006D78C8">
        <w:rPr>
          <w:rFonts w:ascii="Calibri" w:eastAsia="Calibri" w:hAnsi="Calibri"/>
          <w:b/>
          <w:bCs/>
          <w:sz w:val="22"/>
          <w:szCs w:val="22"/>
        </w:rPr>
        <w:t>:</w:t>
      </w:r>
    </w:p>
    <w:p w14:paraId="4695D4BA"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Alt. 1</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for a specific MT cell and is applied across all transitions with paired DU cells within and IAB-node</w:t>
      </w:r>
    </w:p>
    <w:p w14:paraId="7D0EC580" w14:textId="77777777" w:rsidR="006D78C8" w:rsidRDefault="006D78C8" w:rsidP="00551DFD">
      <w:pPr>
        <w:spacing w:beforeLines="50" w:before="120"/>
        <w:ind w:left="1440"/>
        <w:rPr>
          <w:rFonts w:ascii="Calibri" w:eastAsia="Calibri" w:hAnsi="Calibri"/>
          <w:b/>
          <w:bCs/>
          <w:sz w:val="22"/>
          <w:szCs w:val="22"/>
        </w:rPr>
      </w:pPr>
      <w:r w:rsidRPr="006D78C8">
        <w:rPr>
          <w:rFonts w:ascii="Calibri" w:eastAsia="Calibri" w:hAnsi="Calibri"/>
          <w:b/>
          <w:bCs/>
          <w:sz w:val="22"/>
          <w:szCs w:val="22"/>
        </w:rPr>
        <w:t xml:space="preserve">Alt. </w:t>
      </w:r>
      <w:r>
        <w:rPr>
          <w:rFonts w:ascii="Calibri" w:eastAsia="Calibri" w:hAnsi="Calibri"/>
          <w:b/>
          <w:bCs/>
          <w:sz w:val="22"/>
          <w:szCs w:val="22"/>
        </w:rPr>
        <w:t>2</w:t>
      </w:r>
      <w:r w:rsidR="00B66CB7">
        <w:rPr>
          <w:rFonts w:ascii="Calibri" w:eastAsia="Calibri" w:hAnsi="Calibri"/>
          <w:b/>
          <w:bCs/>
          <w:sz w:val="22"/>
          <w:szCs w:val="22"/>
        </w:rPr>
        <w:t>)</w:t>
      </w:r>
      <w:r w:rsidRPr="006D78C8">
        <w:rPr>
          <w:rFonts w:ascii="Calibri" w:eastAsia="Calibri" w:hAnsi="Calibri"/>
          <w:b/>
          <w:bCs/>
          <w:sz w:val="22"/>
          <w:szCs w:val="22"/>
        </w:rPr>
        <w:t xml:space="preserve"> </w:t>
      </w:r>
      <w:r w:rsidR="00B66CB7">
        <w:rPr>
          <w:rFonts w:ascii="Calibri" w:eastAsia="Calibri" w:hAnsi="Calibri"/>
          <w:b/>
          <w:bCs/>
          <w:sz w:val="22"/>
          <w:szCs w:val="22"/>
        </w:rPr>
        <w:t>T</w:t>
      </w:r>
      <w:r>
        <w:rPr>
          <w:rFonts w:ascii="Calibri" w:eastAsia="Calibri" w:hAnsi="Calibri"/>
          <w:b/>
          <w:bCs/>
          <w:sz w:val="22"/>
          <w:szCs w:val="22"/>
        </w:rPr>
        <w:t>he Number of Guard Symbols can be indicated and applied for a specific (MT cell, DU cell) pair within an IAB-node</w:t>
      </w:r>
    </w:p>
    <w:p w14:paraId="3ABBA8DA" w14:textId="77777777" w:rsidR="006D78C8" w:rsidRDefault="006D78C8" w:rsidP="004118BD">
      <w:pPr>
        <w:ind w:left="720"/>
        <w:rPr>
          <w:rFonts w:ascii="Calibri" w:eastAsia="Calibri" w:hAnsi="Calibri"/>
          <w:b/>
          <w:bCs/>
          <w:sz w:val="22"/>
          <w:szCs w:val="22"/>
        </w:rPr>
      </w:pPr>
    </w:p>
    <w:p w14:paraId="4C4975A8" w14:textId="77777777" w:rsidR="003E76BF" w:rsidRDefault="006D78C8" w:rsidP="004118BD">
      <w:pPr>
        <w:ind w:left="720"/>
        <w:rPr>
          <w:rFonts w:ascii="Calibri" w:eastAsia="Calibri" w:hAnsi="Calibri"/>
          <w:b/>
          <w:bCs/>
          <w:sz w:val="22"/>
          <w:szCs w:val="22"/>
        </w:rPr>
      </w:pPr>
      <w:r>
        <w:rPr>
          <w:rFonts w:ascii="Calibri" w:eastAsia="Calibri" w:hAnsi="Calibri"/>
          <w:b/>
          <w:bCs/>
          <w:sz w:val="22"/>
          <w:szCs w:val="22"/>
        </w:rPr>
        <w:t>Additionally i</w:t>
      </w:r>
      <w:r w:rsidR="00937173">
        <w:rPr>
          <w:rFonts w:ascii="Calibri" w:eastAsia="Calibri" w:hAnsi="Calibri"/>
          <w:b/>
          <w:bCs/>
          <w:sz w:val="22"/>
          <w:szCs w:val="22"/>
        </w:rPr>
        <w:t xml:space="preserve">nform RAN2 </w:t>
      </w:r>
      <w:r w:rsidR="003E76BF">
        <w:rPr>
          <w:rFonts w:ascii="Calibri" w:eastAsia="Calibri" w:hAnsi="Calibri"/>
          <w:b/>
          <w:bCs/>
          <w:sz w:val="22"/>
          <w:szCs w:val="22"/>
        </w:rPr>
        <w:t>of the following:</w:t>
      </w:r>
    </w:p>
    <w:p w14:paraId="39338C4B" w14:textId="77777777" w:rsidR="003E76BF" w:rsidRDefault="003E76BF" w:rsidP="004118BD">
      <w:pPr>
        <w:ind w:left="720"/>
        <w:rPr>
          <w:rFonts w:ascii="Calibri" w:eastAsia="Calibri" w:hAnsi="Calibri"/>
          <w:b/>
          <w:bCs/>
          <w:sz w:val="22"/>
          <w:szCs w:val="22"/>
        </w:rPr>
      </w:pPr>
    </w:p>
    <w:p w14:paraId="0999E00F" w14:textId="77777777" w:rsidR="00937173" w:rsidRPr="00A56032" w:rsidRDefault="003E76BF" w:rsidP="004118BD">
      <w:pPr>
        <w:ind w:left="1440"/>
        <w:rPr>
          <w:rFonts w:ascii="Calibri" w:eastAsia="Calibri" w:hAnsi="Calibri"/>
          <w:b/>
          <w:bCs/>
          <w:sz w:val="22"/>
          <w:szCs w:val="22"/>
        </w:rPr>
      </w:pPr>
      <w:r>
        <w:rPr>
          <w:rFonts w:ascii="Calibri" w:eastAsia="Calibri" w:hAnsi="Calibri"/>
          <w:b/>
          <w:bCs/>
          <w:sz w:val="22"/>
          <w:szCs w:val="22"/>
        </w:rPr>
        <w:t xml:space="preserve">From a RAN1 perspective, </w:t>
      </w:r>
      <w:r w:rsidR="00937173">
        <w:rPr>
          <w:rFonts w:ascii="Calibri" w:eastAsia="Calibri" w:hAnsi="Calibri"/>
          <w:b/>
          <w:bCs/>
          <w:sz w:val="22"/>
          <w:szCs w:val="22"/>
        </w:rPr>
        <w:t xml:space="preserve">the </w:t>
      </w:r>
      <w:r>
        <w:rPr>
          <w:rFonts w:ascii="Calibri" w:eastAsia="Calibri" w:hAnsi="Calibri"/>
          <w:b/>
          <w:bCs/>
          <w:sz w:val="22"/>
          <w:szCs w:val="22"/>
        </w:rPr>
        <w:t>Guard Symbols MAC CE</w:t>
      </w:r>
      <w:r w:rsidR="00937173">
        <w:rPr>
          <w:rFonts w:ascii="Calibri" w:eastAsia="Calibri" w:hAnsi="Calibri"/>
          <w:b/>
          <w:bCs/>
          <w:sz w:val="22"/>
          <w:szCs w:val="22"/>
        </w:rPr>
        <w:t xml:space="preserve"> should </w:t>
      </w:r>
      <w:r w:rsidR="006D78C8">
        <w:rPr>
          <w:rFonts w:ascii="Calibri" w:eastAsia="Calibri" w:hAnsi="Calibri"/>
          <w:b/>
          <w:bCs/>
          <w:sz w:val="22"/>
          <w:szCs w:val="22"/>
        </w:rPr>
        <w:t>support that</w:t>
      </w:r>
      <w:r w:rsidR="00937173">
        <w:rPr>
          <w:rFonts w:ascii="Calibri" w:eastAsia="Calibri" w:hAnsi="Calibri"/>
          <w:b/>
          <w:bCs/>
          <w:sz w:val="22"/>
          <w:szCs w:val="22"/>
        </w:rPr>
        <w:t xml:space="preserve"> </w:t>
      </w:r>
      <w:r>
        <w:rPr>
          <w:rFonts w:ascii="Calibri" w:eastAsia="Calibri" w:hAnsi="Calibri"/>
          <w:b/>
          <w:bCs/>
          <w:sz w:val="22"/>
          <w:szCs w:val="22"/>
        </w:rPr>
        <w:t>[</w:t>
      </w:r>
      <w:r w:rsidR="006D78C8">
        <w:rPr>
          <w:rFonts w:ascii="Calibri" w:eastAsia="Calibri" w:hAnsi="Calibri"/>
          <w:b/>
          <w:bCs/>
          <w:sz w:val="22"/>
          <w:szCs w:val="22"/>
        </w:rPr>
        <w:t>Alt 1. or Alt. 2.</w:t>
      </w:r>
      <w:r>
        <w:rPr>
          <w:rFonts w:ascii="Calibri" w:eastAsia="Calibri" w:hAnsi="Calibri"/>
          <w:b/>
          <w:bCs/>
          <w:sz w:val="22"/>
          <w:szCs w:val="22"/>
        </w:rPr>
        <w:t>].</w:t>
      </w:r>
      <w:r w:rsidR="00937173">
        <w:rPr>
          <w:rFonts w:ascii="Calibri" w:eastAsia="Calibri" w:hAnsi="Calibri"/>
          <w:b/>
          <w:bCs/>
          <w:sz w:val="22"/>
          <w:szCs w:val="22"/>
        </w:rPr>
        <w:t xml:space="preserve"> </w:t>
      </w:r>
      <w:r>
        <w:rPr>
          <w:rFonts w:ascii="Calibri" w:eastAsia="Calibri" w:hAnsi="Calibri"/>
          <w:b/>
          <w:bCs/>
          <w:sz w:val="22"/>
          <w:szCs w:val="22"/>
        </w:rPr>
        <w:t>RAN1 also acknowledges that</w:t>
      </w:r>
      <w:r w:rsidR="00B66CB7">
        <w:rPr>
          <w:rFonts w:ascii="Calibri" w:eastAsia="Calibri" w:hAnsi="Calibri"/>
          <w:b/>
          <w:bCs/>
          <w:sz w:val="22"/>
          <w:szCs w:val="22"/>
        </w:rPr>
        <w:t xml:space="preserve"> while</w:t>
      </w:r>
      <w:r>
        <w:rPr>
          <w:rFonts w:ascii="Calibri" w:eastAsia="Calibri" w:hAnsi="Calibri"/>
          <w:b/>
          <w:bCs/>
          <w:sz w:val="22"/>
          <w:szCs w:val="22"/>
        </w:rPr>
        <w:t xml:space="preserve"> in certain scenarios the Number of Guard Symbols could be the same for</w:t>
      </w:r>
      <w:r w:rsidR="00937173">
        <w:rPr>
          <w:rFonts w:ascii="Calibri" w:eastAsia="Calibri" w:hAnsi="Calibri"/>
          <w:b/>
          <w:bCs/>
          <w:sz w:val="22"/>
          <w:szCs w:val="22"/>
        </w:rPr>
        <w:t xml:space="preserve"> all the </w:t>
      </w:r>
      <w:r w:rsidR="006D78C8">
        <w:rPr>
          <w:rFonts w:ascii="Calibri" w:eastAsia="Calibri" w:hAnsi="Calibri"/>
          <w:b/>
          <w:bCs/>
          <w:sz w:val="22"/>
          <w:szCs w:val="22"/>
        </w:rPr>
        <w:t xml:space="preserve">MT </w:t>
      </w:r>
      <w:r w:rsidR="00937173">
        <w:rPr>
          <w:rFonts w:ascii="Calibri" w:eastAsia="Calibri" w:hAnsi="Calibri"/>
          <w:b/>
          <w:bCs/>
          <w:sz w:val="22"/>
          <w:szCs w:val="22"/>
        </w:rPr>
        <w:t xml:space="preserve">cells in </w:t>
      </w:r>
      <w:r w:rsidR="006D78C8">
        <w:rPr>
          <w:rFonts w:ascii="Calibri" w:eastAsia="Calibri" w:hAnsi="Calibri"/>
          <w:b/>
          <w:bCs/>
          <w:sz w:val="22"/>
          <w:szCs w:val="22"/>
        </w:rPr>
        <w:t>the</w:t>
      </w:r>
      <w:r w:rsidR="00937173">
        <w:rPr>
          <w:rFonts w:ascii="Calibri" w:eastAsia="Calibri" w:hAnsi="Calibri"/>
          <w:b/>
          <w:bCs/>
          <w:sz w:val="22"/>
          <w:szCs w:val="22"/>
        </w:rPr>
        <w:t xml:space="preserve"> cell group</w:t>
      </w:r>
      <w:r w:rsidR="00B66CB7">
        <w:rPr>
          <w:rFonts w:ascii="Calibri" w:eastAsia="Calibri" w:hAnsi="Calibri"/>
          <w:b/>
          <w:bCs/>
          <w:sz w:val="22"/>
          <w:szCs w:val="22"/>
        </w:rPr>
        <w:t>, this condition is not a requirement</w:t>
      </w:r>
      <w:r w:rsidR="00937173">
        <w:rPr>
          <w:rFonts w:ascii="Calibri" w:eastAsia="Calibri" w:hAnsi="Calibri"/>
          <w:b/>
          <w:bCs/>
          <w:sz w:val="22"/>
          <w:szCs w:val="22"/>
        </w:rPr>
        <w:t>.</w:t>
      </w:r>
    </w:p>
    <w:p w14:paraId="6F354583" w14:textId="77777777" w:rsidR="0047580F" w:rsidRDefault="0047580F">
      <w:pPr>
        <w:rPr>
          <w:rFonts w:ascii="Arial" w:hAnsi="Arial"/>
          <w:b/>
          <w:i/>
          <w:sz w:val="28"/>
          <w:szCs w:val="20"/>
          <w:lang w:val="en-GB"/>
        </w:rPr>
      </w:pPr>
    </w:p>
    <w:p w14:paraId="69B896EB" w14:textId="77777777" w:rsidR="004118BD" w:rsidRDefault="004118BD">
      <w:pPr>
        <w:rPr>
          <w:rFonts w:ascii="Calibri" w:eastAsia="Calibri" w:hAnsi="Calibri"/>
          <w:sz w:val="22"/>
          <w:szCs w:val="22"/>
        </w:rPr>
      </w:pPr>
      <w:r w:rsidRPr="004118BD">
        <w:rPr>
          <w:rFonts w:ascii="Calibri" w:eastAsia="Calibri" w:hAnsi="Calibri"/>
          <w:sz w:val="22"/>
          <w:szCs w:val="22"/>
        </w:rPr>
        <w:t xml:space="preserve">While Alt. 2 may be more aligned with the original RAN1 intention for the Guard Symbols, </w:t>
      </w:r>
      <w:r>
        <w:rPr>
          <w:rFonts w:ascii="Calibri" w:eastAsia="Calibri" w:hAnsi="Calibri"/>
          <w:sz w:val="22"/>
          <w:szCs w:val="22"/>
        </w:rPr>
        <w:t xml:space="preserve">during the preparation phase </w:t>
      </w:r>
      <w:r w:rsidRPr="004118BD">
        <w:rPr>
          <w:rFonts w:ascii="Calibri" w:eastAsia="Calibri" w:hAnsi="Calibri"/>
          <w:sz w:val="22"/>
          <w:szCs w:val="22"/>
        </w:rPr>
        <w:t>Huawei raised the following concern: “even if the number of Guard Symbols is indicated for each (MT cell, DU cell) pair, the parent node can only apply the Guard symbols for one given MT cell at one time. The parent node does not know which DU cell the IAB node will switch from or to, it has to always assume the worst case among the (MT cell, DU cell) pairs.”</w:t>
      </w:r>
    </w:p>
    <w:p w14:paraId="6982979A" w14:textId="77777777" w:rsidR="004118BD" w:rsidRDefault="004118BD">
      <w:pPr>
        <w:rPr>
          <w:rFonts w:ascii="Calibri" w:eastAsia="Calibri" w:hAnsi="Calibri"/>
          <w:sz w:val="22"/>
          <w:szCs w:val="22"/>
        </w:rPr>
      </w:pPr>
    </w:p>
    <w:p w14:paraId="51FECDCE" w14:textId="77777777" w:rsidR="004118BD" w:rsidRPr="004118BD" w:rsidRDefault="004118BD">
      <w:pPr>
        <w:rPr>
          <w:rFonts w:ascii="Calibri" w:eastAsia="Calibri" w:hAnsi="Calibri"/>
          <w:sz w:val="22"/>
          <w:szCs w:val="22"/>
        </w:rPr>
      </w:pPr>
      <w:r>
        <w:rPr>
          <w:rFonts w:ascii="Calibri" w:eastAsia="Calibri" w:hAnsi="Calibri"/>
          <w:sz w:val="22"/>
          <w:szCs w:val="22"/>
        </w:rPr>
        <w:t>Given this i</w:t>
      </w:r>
      <w:r w:rsidR="00816131">
        <w:rPr>
          <w:rFonts w:ascii="Calibri" w:eastAsia="Calibri" w:hAnsi="Calibri"/>
          <w:sz w:val="22"/>
          <w:szCs w:val="22"/>
        </w:rPr>
        <w:t>potential i</w:t>
      </w:r>
      <w:r>
        <w:rPr>
          <w:rFonts w:ascii="Calibri" w:eastAsia="Calibri" w:hAnsi="Calibri"/>
          <w:sz w:val="22"/>
          <w:szCs w:val="22"/>
        </w:rPr>
        <w:t>ssue with Alt. 2 and also the RAN2 agreement to indicate</w:t>
      </w:r>
      <w:r w:rsidR="00816131">
        <w:rPr>
          <w:rFonts w:ascii="Calibri" w:eastAsia="Calibri" w:hAnsi="Calibri"/>
          <w:sz w:val="22"/>
          <w:szCs w:val="22"/>
        </w:rPr>
        <w:t xml:space="preserve"> only a single set of the eight possible transition values, it appears that Alt. 1 is the most feasible option.</w:t>
      </w:r>
    </w:p>
    <w:p w14:paraId="372A3007" w14:textId="77777777" w:rsidR="004118BD" w:rsidRDefault="004118BD">
      <w:pPr>
        <w:rPr>
          <w:rFonts w:ascii="Arial" w:hAnsi="Arial"/>
          <w:b/>
          <w:i/>
          <w:sz w:val="28"/>
          <w:szCs w:val="20"/>
          <w:lang w:val="en-GB"/>
        </w:rPr>
      </w:pPr>
    </w:p>
    <w:p w14:paraId="68814E5D" w14:textId="77777777" w:rsidR="00365790" w:rsidRPr="00D33D72" w:rsidRDefault="00365790" w:rsidP="00365790">
      <w:pPr>
        <w:rPr>
          <w:rFonts w:asciiTheme="minorHAnsi" w:hAnsiTheme="minorHAnsi" w:cstheme="minorHAnsi"/>
          <w:b/>
          <w:lang w:val="en-GB"/>
        </w:rPr>
      </w:pPr>
      <w:r w:rsidRPr="00D33D72">
        <w:rPr>
          <w:rFonts w:asciiTheme="minorHAnsi" w:hAnsiTheme="minorHAnsi" w:cstheme="minorHAnsi"/>
          <w:b/>
          <w:lang w:val="en-GB"/>
        </w:rPr>
        <w:t>Discussion:</w:t>
      </w:r>
    </w:p>
    <w:tbl>
      <w:tblPr>
        <w:tblStyle w:val="af3"/>
        <w:tblW w:w="0" w:type="auto"/>
        <w:tblLook w:val="04A0" w:firstRow="1" w:lastRow="0" w:firstColumn="1" w:lastColumn="0" w:noHBand="0" w:noVBand="1"/>
      </w:tblPr>
      <w:tblGrid>
        <w:gridCol w:w="1696"/>
        <w:gridCol w:w="2265"/>
        <w:gridCol w:w="6109"/>
      </w:tblGrid>
      <w:tr w:rsidR="00365790" w:rsidRPr="008040F5" w14:paraId="63B33E39" w14:textId="77777777" w:rsidTr="006D78C8">
        <w:tc>
          <w:tcPr>
            <w:tcW w:w="1696" w:type="dxa"/>
          </w:tcPr>
          <w:p w14:paraId="43A82D1D"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5D77785" w14:textId="77777777" w:rsidR="00365790" w:rsidRPr="00EF0778" w:rsidRDefault="00816131" w:rsidP="006D78C8">
            <w:pPr>
              <w:rPr>
                <w:rFonts w:ascii="Calibri" w:eastAsia="Calibri" w:hAnsi="Calibri"/>
                <w:b/>
                <w:bCs/>
                <w:sz w:val="22"/>
                <w:szCs w:val="22"/>
              </w:rPr>
            </w:pPr>
            <w:r>
              <w:rPr>
                <w:rFonts w:ascii="Calibri" w:eastAsia="Calibri" w:hAnsi="Calibri"/>
                <w:b/>
                <w:bCs/>
                <w:sz w:val="22"/>
                <w:szCs w:val="22"/>
              </w:rPr>
              <w:t>Given the potential issues raised with Alt. 2, can Alt. 1 in Proposal 2.1.2 be agreed?</w:t>
            </w:r>
          </w:p>
        </w:tc>
        <w:tc>
          <w:tcPr>
            <w:tcW w:w="6109" w:type="dxa"/>
          </w:tcPr>
          <w:p w14:paraId="5610F5D1" w14:textId="77777777" w:rsidR="00365790" w:rsidRPr="00EF0778" w:rsidRDefault="00365790" w:rsidP="006D78C8">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DD63D2" w:rsidRPr="008040F5" w14:paraId="31F6EF50" w14:textId="77777777" w:rsidTr="006D78C8">
        <w:tc>
          <w:tcPr>
            <w:tcW w:w="1696" w:type="dxa"/>
          </w:tcPr>
          <w:p w14:paraId="6E66EEBD" w14:textId="77777777" w:rsidR="00DD63D2" w:rsidRPr="00DD63D2" w:rsidRDefault="00DD63D2" w:rsidP="006D78C8">
            <w:pPr>
              <w:rPr>
                <w:rFonts w:ascii="Calibri" w:eastAsia="Calibri" w:hAnsi="Calibri"/>
                <w:sz w:val="22"/>
                <w:szCs w:val="22"/>
              </w:rPr>
            </w:pPr>
            <w:r w:rsidRPr="00DD63D2">
              <w:rPr>
                <w:rFonts w:ascii="Calibri" w:eastAsia="Calibri" w:hAnsi="Calibri"/>
                <w:sz w:val="22"/>
                <w:szCs w:val="22"/>
              </w:rPr>
              <w:t>Qualcomm</w:t>
            </w:r>
          </w:p>
        </w:tc>
        <w:tc>
          <w:tcPr>
            <w:tcW w:w="2265" w:type="dxa"/>
          </w:tcPr>
          <w:p w14:paraId="7DE1C749" w14:textId="77777777" w:rsidR="00DD63D2" w:rsidRPr="00DD63D2" w:rsidRDefault="00DD63D2" w:rsidP="006D78C8">
            <w:pPr>
              <w:rPr>
                <w:rFonts w:ascii="Calibri" w:eastAsia="Calibri" w:hAnsi="Calibri"/>
                <w:sz w:val="22"/>
                <w:szCs w:val="22"/>
              </w:rPr>
            </w:pPr>
            <w:r>
              <w:rPr>
                <w:rFonts w:ascii="Calibri" w:eastAsia="Calibri" w:hAnsi="Calibri"/>
                <w:sz w:val="22"/>
                <w:szCs w:val="22"/>
              </w:rPr>
              <w:t>Yes</w:t>
            </w:r>
          </w:p>
        </w:tc>
        <w:tc>
          <w:tcPr>
            <w:tcW w:w="6109" w:type="dxa"/>
          </w:tcPr>
          <w:p w14:paraId="59A73AD2" w14:textId="77777777" w:rsidR="00DD63D2" w:rsidRDefault="00DD63D2" w:rsidP="006D78C8">
            <w:pPr>
              <w:rPr>
                <w:rFonts w:ascii="Calibri" w:eastAsia="Calibri" w:hAnsi="Calibri"/>
                <w:sz w:val="22"/>
                <w:szCs w:val="22"/>
              </w:rPr>
            </w:pPr>
            <w:r>
              <w:rPr>
                <w:rFonts w:ascii="Calibri" w:eastAsia="Calibri" w:hAnsi="Calibri"/>
                <w:sz w:val="22"/>
                <w:szCs w:val="22"/>
              </w:rPr>
              <w:t xml:space="preserve">In response to the concern raised with alt 2, it should be noted that the parent node is aware of the child DU configurations, hence </w:t>
            </w:r>
            <w:r w:rsidR="00492955">
              <w:rPr>
                <w:rFonts w:ascii="Calibri" w:eastAsia="Calibri" w:hAnsi="Calibri"/>
                <w:sz w:val="22"/>
                <w:szCs w:val="22"/>
              </w:rPr>
              <w:t>it could in principle determine if there is a MT</w:t>
            </w:r>
            <w:r w:rsidR="00492955" w:rsidRPr="00492955">
              <w:rPr>
                <w:rFonts w:ascii="Calibri" w:eastAsia="Calibri" w:hAnsi="Calibri"/>
                <w:sz w:val="22"/>
                <w:szCs w:val="22"/>
              </w:rPr>
              <w:sym w:font="Wingdings" w:char="F0DF"/>
            </w:r>
            <w:r w:rsidR="00492955" w:rsidRPr="00492955">
              <w:rPr>
                <w:rFonts w:ascii="Calibri" w:eastAsia="Calibri" w:hAnsi="Calibri"/>
                <w:sz w:val="22"/>
                <w:szCs w:val="22"/>
              </w:rPr>
              <w:sym w:font="Wingdings" w:char="F0E0"/>
            </w:r>
            <w:r w:rsidR="00492955">
              <w:rPr>
                <w:rFonts w:ascii="Calibri" w:eastAsia="Calibri" w:hAnsi="Calibri"/>
                <w:sz w:val="22"/>
                <w:szCs w:val="22"/>
              </w:rPr>
              <w:t>DU transition involving one cell (e.g. one DU cell is marked NA while the other is marked H at the transition) or both cells at the same time (e.g. both DU cells are configured as H at the transition).</w:t>
            </w:r>
          </w:p>
          <w:p w14:paraId="7F887B81" w14:textId="77777777" w:rsidR="00492955" w:rsidRPr="00DD63D2" w:rsidRDefault="00492955" w:rsidP="006D78C8">
            <w:pPr>
              <w:rPr>
                <w:rFonts w:ascii="Calibri" w:eastAsia="Calibri" w:hAnsi="Calibri"/>
                <w:sz w:val="22"/>
                <w:szCs w:val="22"/>
              </w:rPr>
            </w:pPr>
            <w:r>
              <w:rPr>
                <w:rFonts w:ascii="Calibri" w:eastAsia="Calibri" w:hAnsi="Calibri"/>
                <w:sz w:val="22"/>
                <w:szCs w:val="22"/>
              </w:rPr>
              <w:t>However, it is acknowledged this is probably a second order optimization, not required at the current stage of the WI, and hence</w:t>
            </w:r>
            <w:r w:rsidR="00CA7ECC">
              <w:rPr>
                <w:rFonts w:ascii="Calibri" w:eastAsia="Calibri" w:hAnsi="Calibri"/>
                <w:sz w:val="22"/>
                <w:szCs w:val="22"/>
              </w:rPr>
              <w:t>, also considering the RAN2 implications of Alt 2,</w:t>
            </w:r>
            <w:r>
              <w:rPr>
                <w:rFonts w:ascii="Calibri" w:eastAsia="Calibri" w:hAnsi="Calibri"/>
                <w:sz w:val="22"/>
                <w:szCs w:val="22"/>
              </w:rPr>
              <w:t xml:space="preserve"> </w:t>
            </w:r>
            <w:r w:rsidR="00CA7ECC">
              <w:rPr>
                <w:rFonts w:ascii="Calibri" w:eastAsia="Calibri" w:hAnsi="Calibri"/>
                <w:sz w:val="22"/>
                <w:szCs w:val="22"/>
              </w:rPr>
              <w:t xml:space="preserve">in this context </w:t>
            </w:r>
            <w:r>
              <w:rPr>
                <w:rFonts w:ascii="Calibri" w:eastAsia="Calibri" w:hAnsi="Calibri"/>
                <w:sz w:val="22"/>
                <w:szCs w:val="22"/>
              </w:rPr>
              <w:t>Alt 1 is perfectly acceptable</w:t>
            </w:r>
            <w:r w:rsidR="00CA7ECC">
              <w:rPr>
                <w:rFonts w:ascii="Calibri" w:eastAsia="Calibri" w:hAnsi="Calibri"/>
                <w:sz w:val="22"/>
                <w:szCs w:val="22"/>
              </w:rPr>
              <w:t>.</w:t>
            </w:r>
          </w:p>
        </w:tc>
      </w:tr>
      <w:tr w:rsidR="00551DFD" w:rsidRPr="008040F5" w14:paraId="6BF27EAC" w14:textId="77777777" w:rsidTr="006D78C8">
        <w:tc>
          <w:tcPr>
            <w:tcW w:w="1696" w:type="dxa"/>
          </w:tcPr>
          <w:p w14:paraId="694795D2" w14:textId="77777777" w:rsidR="00551DFD" w:rsidRPr="00EF0778" w:rsidRDefault="00551DFD" w:rsidP="006C11EF">
            <w:pPr>
              <w:rPr>
                <w:rFonts w:ascii="Calibri" w:eastAsia="Calibri" w:hAnsi="Calibri"/>
                <w:b/>
                <w:bCs/>
                <w:sz w:val="22"/>
                <w:szCs w:val="22"/>
              </w:rPr>
            </w:pPr>
            <w:r>
              <w:rPr>
                <w:rFonts w:ascii="Calibri" w:eastAsia="Calibri" w:hAnsi="Calibri"/>
                <w:b/>
                <w:bCs/>
                <w:sz w:val="22"/>
                <w:szCs w:val="22"/>
              </w:rPr>
              <w:t>ZTE, Sanechips</w:t>
            </w:r>
          </w:p>
        </w:tc>
        <w:tc>
          <w:tcPr>
            <w:tcW w:w="2265" w:type="dxa"/>
          </w:tcPr>
          <w:p w14:paraId="7A4B773F"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Neither is perfect. RAN1 does not seem to be asked by RAN2 the difference </w:t>
            </w:r>
            <w:r>
              <w:rPr>
                <w:rFonts w:ascii="Calibri" w:eastAsia="Calibri" w:hAnsi="Calibri"/>
                <w:b/>
                <w:bCs/>
                <w:sz w:val="22"/>
                <w:szCs w:val="22"/>
              </w:rPr>
              <w:lastRenderedPageBreak/>
              <w:t xml:space="preserve">between Alt1 and Alt2. </w:t>
            </w:r>
          </w:p>
        </w:tc>
        <w:tc>
          <w:tcPr>
            <w:tcW w:w="6109" w:type="dxa"/>
          </w:tcPr>
          <w:p w14:paraId="3C2AA38C" w14:textId="77777777" w:rsidR="00551DFD" w:rsidRDefault="00551DFD" w:rsidP="006C11EF">
            <w:pPr>
              <w:rPr>
                <w:rFonts w:ascii="Calibri" w:eastAsia="Calibri" w:hAnsi="Calibri"/>
                <w:b/>
                <w:bCs/>
                <w:sz w:val="22"/>
                <w:szCs w:val="22"/>
              </w:rPr>
            </w:pPr>
            <w:r>
              <w:rPr>
                <w:rFonts w:ascii="Calibri" w:eastAsia="Calibri" w:hAnsi="Calibri"/>
                <w:b/>
                <w:bCs/>
                <w:sz w:val="22"/>
                <w:szCs w:val="22"/>
              </w:rPr>
              <w:lastRenderedPageBreak/>
              <w:t>The Alt-2 indeed has the issue as what Huawei commented in the preparation phase. However, Alt-1 may have different issue. RAN1 agreed following in #98bis and RAN1 #99:</w:t>
            </w:r>
          </w:p>
          <w:p w14:paraId="4AD10ED8" w14:textId="77777777" w:rsidR="00551DFD" w:rsidRPr="002F3EFE" w:rsidRDefault="00551DFD" w:rsidP="006C11EF">
            <w:pPr>
              <w:pStyle w:val="maintext"/>
              <w:spacing w:before="0" w:after="0" w:line="240" w:lineRule="auto"/>
              <w:ind w:firstLineChars="0" w:firstLine="0"/>
              <w:jc w:val="left"/>
              <w:rPr>
                <w:rFonts w:eastAsia="Times New Roman" w:cs="Times New Roman"/>
                <w:b/>
                <w:bCs/>
                <w:i/>
                <w:sz w:val="18"/>
                <w:szCs w:val="18"/>
                <w:lang w:val="en-US" w:eastAsia="en-US"/>
              </w:rPr>
            </w:pPr>
            <w:r w:rsidRPr="002F3EFE">
              <w:rPr>
                <w:rFonts w:eastAsia="Times New Roman" w:cs="Times New Roman"/>
                <w:i/>
                <w:sz w:val="18"/>
                <w:szCs w:val="18"/>
                <w:highlight w:val="green"/>
                <w:lang w:val="en-US" w:eastAsia="en-US"/>
              </w:rPr>
              <w:t>Agreements</w:t>
            </w:r>
            <w:r w:rsidRPr="002F3EFE">
              <w:rPr>
                <w:rFonts w:eastAsia="Times New Roman" w:cs="Times New Roman"/>
                <w:b/>
                <w:bCs/>
                <w:i/>
                <w:sz w:val="18"/>
                <w:szCs w:val="18"/>
                <w:lang w:val="en-US" w:eastAsia="en-US"/>
              </w:rPr>
              <w:t>:</w:t>
            </w:r>
          </w:p>
          <w:p w14:paraId="51335E44" w14:textId="77777777" w:rsidR="00551DFD" w:rsidRPr="002F3EFE" w:rsidRDefault="00551DFD" w:rsidP="006C11EF">
            <w:pPr>
              <w:pStyle w:val="maintext"/>
              <w:spacing w:before="0" w:after="0" w:line="240" w:lineRule="auto"/>
              <w:ind w:firstLineChars="0" w:firstLine="0"/>
              <w:jc w:val="left"/>
              <w:rPr>
                <w:rFonts w:eastAsia="Times New Roman" w:cs="Times New Roman"/>
                <w:i/>
                <w:sz w:val="18"/>
                <w:szCs w:val="18"/>
                <w:lang w:val="en-US" w:eastAsia="en-US"/>
              </w:rPr>
            </w:pPr>
            <w:r>
              <w:rPr>
                <w:rFonts w:eastAsia="Times New Roman" w:cs="Times New Roman"/>
                <w:i/>
                <w:sz w:val="18"/>
                <w:szCs w:val="18"/>
                <w:lang w:val="en-US" w:eastAsia="en-US"/>
              </w:rPr>
              <w:lastRenderedPageBreak/>
              <w:t>[RAN1 #98bis]</w:t>
            </w:r>
            <w:r w:rsidRPr="002F3EFE">
              <w:rPr>
                <w:rFonts w:eastAsia="Times New Roman" w:cs="Times New Roman"/>
                <w:i/>
                <w:sz w:val="18"/>
                <w:szCs w:val="18"/>
                <w:lang w:val="en-US" w:eastAsia="en-US"/>
              </w:rPr>
              <w:t>The donor CU and the parent node can be made aware of the multiplexing capability between MT and DU (TDM required, TDM not required) of an IAB node to for any {MT CC, DU cell} pair.</w:t>
            </w:r>
            <w:r>
              <w:rPr>
                <w:rFonts w:eastAsia="Times New Roman" w:cs="Times New Roman"/>
                <w:i/>
                <w:sz w:val="18"/>
                <w:szCs w:val="18"/>
                <w:lang w:val="en-US" w:eastAsia="en-US"/>
              </w:rPr>
              <w:t xml:space="preserve"> </w:t>
            </w:r>
          </w:p>
          <w:p w14:paraId="3AB442D3" w14:textId="77777777" w:rsidR="00551DFD" w:rsidRPr="002F3EFE" w:rsidRDefault="00551DFD" w:rsidP="008F19A4">
            <w:pPr>
              <w:pStyle w:val="maintext"/>
              <w:numPr>
                <w:ilvl w:val="0"/>
                <w:numId w:val="22"/>
              </w:numPr>
              <w:spacing w:before="0" w:after="0" w:line="240" w:lineRule="auto"/>
              <w:ind w:firstLineChars="0"/>
              <w:jc w:val="left"/>
              <w:rPr>
                <w:rFonts w:eastAsia="Times New Roman" w:cs="Times New Roman"/>
                <w:i/>
                <w:sz w:val="18"/>
                <w:szCs w:val="18"/>
                <w:lang w:val="en-US" w:eastAsia="en-US"/>
              </w:rPr>
            </w:pPr>
            <w:r w:rsidRPr="002F3EFE">
              <w:rPr>
                <w:rFonts w:eastAsia="Times New Roman" w:cs="Times New Roman"/>
                <w:i/>
                <w:sz w:val="18"/>
                <w:szCs w:val="18"/>
                <w:lang w:val="en-US" w:eastAsia="en-US"/>
              </w:rPr>
              <w:t>Signaling details up to RAN2/RAN3.</w:t>
            </w:r>
          </w:p>
          <w:p w14:paraId="3074769D" w14:textId="77777777" w:rsidR="00551DFD" w:rsidRPr="002F3EFE" w:rsidRDefault="00551DFD" w:rsidP="006C11EF">
            <w:pPr>
              <w:pStyle w:val="Proposal"/>
              <w:numPr>
                <w:ilvl w:val="0"/>
                <w:numId w:val="0"/>
              </w:numPr>
              <w:spacing w:after="0"/>
              <w:rPr>
                <w:rFonts w:ascii="Times New Roman" w:hAnsi="Times New Roman"/>
                <w:b w:val="0"/>
                <w:bCs w:val="0"/>
                <w:i/>
                <w:sz w:val="18"/>
                <w:szCs w:val="18"/>
              </w:rPr>
            </w:pPr>
            <w:r>
              <w:rPr>
                <w:rFonts w:ascii="Times New Roman" w:hAnsi="Times New Roman"/>
                <w:b w:val="0"/>
                <w:bCs w:val="0"/>
                <w:i/>
                <w:sz w:val="18"/>
                <w:szCs w:val="18"/>
              </w:rPr>
              <w:t xml:space="preserve">[RAN1 #99] </w:t>
            </w:r>
            <w:r w:rsidRPr="002F3EFE">
              <w:rPr>
                <w:rFonts w:ascii="Times New Roman" w:hAnsi="Times New Roman"/>
                <w:b w:val="0"/>
                <w:bCs w:val="0"/>
                <w:i/>
                <w:sz w:val="18"/>
                <w:szCs w:val="18"/>
              </w:rPr>
              <w:t>The indication of the multiplexing capability for the case of no-TDM between IAB MT and IAB DU is additionally provided with respect to each transmission-direction combination (per MT CC/DU cell pair):</w:t>
            </w:r>
          </w:p>
          <w:p w14:paraId="7EF73654"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MT-TX/DU-TX</w:t>
            </w:r>
          </w:p>
          <w:p w14:paraId="6CEC37CA"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 xml:space="preserve">MT-TX/DU-RX </w:t>
            </w:r>
          </w:p>
          <w:p w14:paraId="3D252337"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MT-RX/DU-TX</w:t>
            </w:r>
          </w:p>
          <w:p w14:paraId="54C4BEEF" w14:textId="77777777" w:rsidR="00551DFD" w:rsidRPr="002F3EFE" w:rsidRDefault="00551DFD" w:rsidP="008F19A4">
            <w:pPr>
              <w:pStyle w:val="Proposal"/>
              <w:numPr>
                <w:ilvl w:val="0"/>
                <w:numId w:val="23"/>
              </w:numPr>
              <w:tabs>
                <w:tab w:val="clear" w:pos="1701"/>
              </w:tabs>
              <w:spacing w:after="0"/>
              <w:rPr>
                <w:rFonts w:ascii="Times New Roman" w:hAnsi="Times New Roman"/>
                <w:b w:val="0"/>
                <w:bCs w:val="0"/>
                <w:i/>
                <w:sz w:val="18"/>
                <w:szCs w:val="18"/>
              </w:rPr>
            </w:pPr>
            <w:r w:rsidRPr="002F3EFE">
              <w:rPr>
                <w:rFonts w:ascii="Times New Roman" w:hAnsi="Times New Roman"/>
                <w:b w:val="0"/>
                <w:bCs w:val="0"/>
                <w:i/>
                <w:sz w:val="18"/>
                <w:szCs w:val="18"/>
              </w:rPr>
              <w:t>MT-RX/DU-RX</w:t>
            </w:r>
          </w:p>
          <w:p w14:paraId="1ADDBB61" w14:textId="77777777" w:rsidR="00551DFD" w:rsidRDefault="00551DFD" w:rsidP="006C11EF">
            <w:pPr>
              <w:rPr>
                <w:b/>
                <w:bCs/>
              </w:rPr>
            </w:pPr>
            <w:r w:rsidRPr="002F3EFE">
              <w:rPr>
                <w:i/>
                <w:sz w:val="18"/>
                <w:szCs w:val="18"/>
              </w:rPr>
              <w:t>Note: This agreement does not require any additional specification impact in RAN1 in Rel-16, i.e. in Rel-16 the behaviour of the IAB node is only defined for TDM cases. The behaviour for no-TDM is left to IAB-node/network implementation in Rel-16.</w:t>
            </w:r>
          </w:p>
          <w:p w14:paraId="476A48F0"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 Alt-1 actually, by saying “all transitions”, means that the guard symbol is still present in case the transition falls into “no-TDM capability” category. However, as RAN1 agreed, any behavior relating to “no-TDM” is not specified in Rel-16. People may also not want to sacrifice performance by inserting unnecessary guard symbols. But on the other hand, as commented by Huawei for Alt-2, the parent node would not know whether the child node chooses a “TDM capable” DU or “no-TDM capable” DU at a moment. This seems to need more RAN1 discussion which somehow touches the thing out of Rel-16 scope. It is our preference NOT to make any spec footprint or even RAN1 agreement upon this issue. </w:t>
            </w:r>
          </w:p>
          <w:p w14:paraId="537CEAB7"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Meanwhile, the LS from RAN2 does not ask questions for DU-cell, but only asks questions for MT-cell (i.e., the guard symbol to be applied per single MT cell vs. all MT cells in a cell group). If RAN1 has the worry that the parent node may lack knowledge of child node behaviors relating to child DU cell, why should RAN1 include the relation with child DU-cell in the reply LS and propagate that uncertainty into RAN2? </w:t>
            </w:r>
          </w:p>
          <w:p w14:paraId="7A454BEA"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Therefore, the reply LS in our preference could include the following only, without mentioning DU cell: </w:t>
            </w:r>
          </w:p>
          <w:p w14:paraId="4F7E3D41" w14:textId="77777777" w:rsidR="00551DFD" w:rsidRDefault="00551DFD" w:rsidP="006C11EF">
            <w:pPr>
              <w:rPr>
                <w:rFonts w:ascii="Calibri" w:eastAsia="Calibri" w:hAnsi="Calibri"/>
                <w:b/>
                <w:bCs/>
                <w:sz w:val="22"/>
                <w:szCs w:val="22"/>
              </w:rPr>
            </w:pPr>
            <w:r>
              <w:rPr>
                <w:rFonts w:ascii="Calibri" w:eastAsia="Calibri" w:hAnsi="Calibri"/>
                <w:b/>
                <w:bCs/>
                <w:sz w:val="22"/>
                <w:szCs w:val="22"/>
              </w:rPr>
              <w:t xml:space="preserve">    </w:t>
            </w:r>
          </w:p>
          <w:p w14:paraId="3900BA29" w14:textId="77777777" w:rsidR="00551DFD" w:rsidRPr="00196DD8" w:rsidRDefault="00551DFD" w:rsidP="006C11EF">
            <w:pPr>
              <w:rPr>
                <w:rFonts w:ascii="Calibri" w:eastAsia="Calibri" w:hAnsi="Calibri"/>
                <w:bCs/>
                <w:i/>
                <w:sz w:val="22"/>
                <w:szCs w:val="22"/>
              </w:rPr>
            </w:pPr>
            <w:r w:rsidRPr="00196DD8">
              <w:rPr>
                <w:rFonts w:ascii="Calibri" w:eastAsia="Calibri" w:hAnsi="Calibri"/>
                <w:bCs/>
                <w:i/>
                <w:sz w:val="22"/>
                <w:szCs w:val="22"/>
              </w:rPr>
              <w:t>From a RAN1 perspective, the Number of Guard Symbols are indicated and applied for a specific MT cell. RAN1 also acknowledges that while in certain scenarios the Number of Guard Symbol for a given type of transition could be the same for all the MT cells in the cell group, this condition is not a requirement.</w:t>
            </w:r>
          </w:p>
        </w:tc>
      </w:tr>
      <w:tr w:rsidR="00F22CE3" w:rsidRPr="008040F5" w14:paraId="1FF3C626" w14:textId="77777777" w:rsidTr="006D78C8">
        <w:tc>
          <w:tcPr>
            <w:tcW w:w="1696" w:type="dxa"/>
          </w:tcPr>
          <w:p w14:paraId="50F28D23" w14:textId="77777777" w:rsidR="00F22CE3" w:rsidRDefault="00F22CE3" w:rsidP="006C11EF">
            <w:pPr>
              <w:rPr>
                <w:rFonts w:ascii="Calibri" w:eastAsia="Calibri" w:hAnsi="Calibri"/>
                <w:b/>
                <w:bCs/>
                <w:sz w:val="22"/>
                <w:szCs w:val="22"/>
              </w:rPr>
            </w:pPr>
            <w:r>
              <w:rPr>
                <w:rFonts w:ascii="Calibri" w:eastAsia="Calibri" w:hAnsi="Calibri"/>
                <w:b/>
                <w:bCs/>
                <w:sz w:val="22"/>
                <w:szCs w:val="22"/>
              </w:rPr>
              <w:lastRenderedPageBreak/>
              <w:t>Nokia</w:t>
            </w:r>
          </w:p>
        </w:tc>
        <w:tc>
          <w:tcPr>
            <w:tcW w:w="2265" w:type="dxa"/>
          </w:tcPr>
          <w:p w14:paraId="51F34C07" w14:textId="77777777" w:rsidR="009E6BEB" w:rsidRDefault="009E6BEB" w:rsidP="006C11EF">
            <w:pPr>
              <w:rPr>
                <w:rFonts w:ascii="Calibri" w:eastAsia="Calibri" w:hAnsi="Calibri"/>
                <w:b/>
                <w:bCs/>
                <w:sz w:val="22"/>
                <w:szCs w:val="22"/>
              </w:rPr>
            </w:pPr>
            <w:r>
              <w:rPr>
                <w:rFonts w:ascii="Calibri" w:eastAsia="Calibri" w:hAnsi="Calibri"/>
                <w:b/>
                <w:bCs/>
                <w:sz w:val="22"/>
                <w:szCs w:val="22"/>
              </w:rPr>
              <w:t>Based on Alt.2.</w:t>
            </w:r>
          </w:p>
          <w:p w14:paraId="75872345" w14:textId="49BF7B8A" w:rsidR="00F22CE3" w:rsidRDefault="009E6BEB" w:rsidP="006C11EF">
            <w:pPr>
              <w:rPr>
                <w:rFonts w:ascii="Calibri" w:eastAsia="Calibri" w:hAnsi="Calibri"/>
                <w:b/>
                <w:bCs/>
                <w:sz w:val="22"/>
                <w:szCs w:val="22"/>
              </w:rPr>
            </w:pPr>
            <w:r>
              <w:rPr>
                <w:rFonts w:ascii="Calibri" w:eastAsia="Calibri" w:hAnsi="Calibri"/>
                <w:b/>
                <w:bCs/>
                <w:sz w:val="22"/>
                <w:szCs w:val="22"/>
              </w:rPr>
              <w:t xml:space="preserve">  </w:t>
            </w:r>
          </w:p>
          <w:p w14:paraId="041D4CEA" w14:textId="1FC45361" w:rsidR="009E6BEB" w:rsidRDefault="009E6BEB" w:rsidP="006C11EF">
            <w:pPr>
              <w:rPr>
                <w:rFonts w:ascii="Calibri" w:eastAsia="Calibri" w:hAnsi="Calibri"/>
                <w:b/>
                <w:bCs/>
                <w:sz w:val="22"/>
                <w:szCs w:val="22"/>
              </w:rPr>
            </w:pPr>
            <w:r>
              <w:rPr>
                <w:rFonts w:ascii="Calibri" w:eastAsia="Calibri" w:hAnsi="Calibri"/>
                <w:b/>
                <w:bCs/>
                <w:sz w:val="22"/>
                <w:szCs w:val="22"/>
              </w:rPr>
              <w:t>The Number of Guard Symbols can be indicated and applied for a specific (MT cell)</w:t>
            </w:r>
          </w:p>
        </w:tc>
        <w:tc>
          <w:tcPr>
            <w:tcW w:w="6109" w:type="dxa"/>
          </w:tcPr>
          <w:p w14:paraId="33605A41" w14:textId="3D6CEBCE" w:rsidR="00F22CE3" w:rsidRPr="00F22CE3" w:rsidRDefault="00F22CE3" w:rsidP="006C11EF">
            <w:pPr>
              <w:rPr>
                <w:rFonts w:ascii="Calibri" w:eastAsia="Calibri" w:hAnsi="Calibri"/>
                <w:sz w:val="22"/>
                <w:szCs w:val="22"/>
              </w:rPr>
            </w:pPr>
            <w:r w:rsidRPr="00F22CE3">
              <w:rPr>
                <w:rFonts w:ascii="Calibri" w:eastAsia="Calibri" w:hAnsi="Calibri"/>
                <w:sz w:val="22"/>
                <w:szCs w:val="22"/>
              </w:rPr>
              <w:t xml:space="preserve">First, </w:t>
            </w:r>
            <w:r>
              <w:rPr>
                <w:rFonts w:ascii="Calibri" w:eastAsia="Calibri" w:hAnsi="Calibri"/>
                <w:sz w:val="22"/>
                <w:szCs w:val="22"/>
              </w:rPr>
              <w:t>Alt.2</w:t>
            </w:r>
            <w:r w:rsidRPr="00F22CE3">
              <w:rPr>
                <w:rFonts w:ascii="Calibri" w:eastAsia="Calibri" w:hAnsi="Calibri"/>
                <w:sz w:val="22"/>
                <w:szCs w:val="22"/>
              </w:rPr>
              <w:t xml:space="preserve"> align</w:t>
            </w:r>
            <w:r>
              <w:rPr>
                <w:rFonts w:ascii="Calibri" w:eastAsia="Calibri" w:hAnsi="Calibri"/>
                <w:sz w:val="22"/>
                <w:szCs w:val="22"/>
              </w:rPr>
              <w:t xml:space="preserve"> </w:t>
            </w:r>
            <w:r w:rsidRPr="00F22CE3">
              <w:rPr>
                <w:rFonts w:ascii="Calibri" w:eastAsia="Calibri" w:hAnsi="Calibri"/>
                <w:sz w:val="22"/>
                <w:szCs w:val="22"/>
              </w:rPr>
              <w:t xml:space="preserve">with </w:t>
            </w:r>
            <w:r>
              <w:rPr>
                <w:rFonts w:ascii="Calibri" w:eastAsia="Calibri" w:hAnsi="Calibri"/>
                <w:sz w:val="22"/>
                <w:szCs w:val="22"/>
              </w:rPr>
              <w:t xml:space="preserve">the </w:t>
            </w:r>
            <w:r w:rsidRPr="00F22CE3">
              <w:rPr>
                <w:rFonts w:ascii="Calibri" w:eastAsia="Calibri" w:hAnsi="Calibri"/>
                <w:sz w:val="22"/>
                <w:szCs w:val="22"/>
              </w:rPr>
              <w:t xml:space="preserve">Ran1 agreement. </w:t>
            </w:r>
          </w:p>
          <w:p w14:paraId="764C0E6F" w14:textId="081D0FA8" w:rsidR="00F22CE3" w:rsidRDefault="00F22CE3" w:rsidP="006C11EF">
            <w:pPr>
              <w:rPr>
                <w:rFonts w:ascii="Calibri" w:eastAsia="Calibri" w:hAnsi="Calibri"/>
                <w:b/>
                <w:bCs/>
                <w:sz w:val="22"/>
                <w:szCs w:val="22"/>
              </w:rPr>
            </w:pPr>
            <w:r w:rsidRPr="00F22CE3">
              <w:rPr>
                <w:rFonts w:ascii="Calibri" w:eastAsia="Calibri" w:hAnsi="Calibri"/>
                <w:sz w:val="22"/>
                <w:szCs w:val="22"/>
              </w:rPr>
              <w:t xml:space="preserve">Second, (MT cell, DU cell) pair was mentioned in many places as highlighted by ZTE. </w:t>
            </w:r>
            <w:r>
              <w:rPr>
                <w:rFonts w:ascii="Calibri" w:eastAsia="Calibri" w:hAnsi="Calibri"/>
                <w:sz w:val="22"/>
                <w:szCs w:val="22"/>
              </w:rPr>
              <w:t>O</w:t>
            </w:r>
            <w:r w:rsidRPr="00F22CE3">
              <w:rPr>
                <w:rFonts w:ascii="Calibri" w:eastAsia="Calibri" w:hAnsi="Calibri"/>
                <w:sz w:val="22"/>
                <w:szCs w:val="22"/>
              </w:rPr>
              <w:t xml:space="preserve">ur understanding is that </w:t>
            </w:r>
            <w:r>
              <w:rPr>
                <w:rFonts w:ascii="Calibri" w:eastAsia="Calibri" w:hAnsi="Calibri"/>
                <w:sz w:val="22"/>
                <w:szCs w:val="22"/>
              </w:rPr>
              <w:t>“MT cell”</w:t>
            </w:r>
            <w:r w:rsidRPr="00F22CE3">
              <w:rPr>
                <w:rFonts w:ascii="Calibri" w:eastAsia="Calibri" w:hAnsi="Calibri"/>
                <w:sz w:val="22"/>
                <w:szCs w:val="22"/>
              </w:rPr>
              <w:t xml:space="preserve"> </w:t>
            </w:r>
            <w:r>
              <w:rPr>
                <w:rFonts w:ascii="Calibri" w:eastAsia="Calibri" w:hAnsi="Calibri"/>
                <w:sz w:val="22"/>
                <w:szCs w:val="22"/>
              </w:rPr>
              <w:t xml:space="preserve">refers to a </w:t>
            </w:r>
            <w:r w:rsidRPr="00F22CE3">
              <w:rPr>
                <w:rFonts w:ascii="Calibri" w:eastAsia="Calibri" w:hAnsi="Calibri"/>
                <w:sz w:val="22"/>
                <w:szCs w:val="22"/>
              </w:rPr>
              <w:t>serving cell configured for the MT</w:t>
            </w:r>
            <w:r>
              <w:rPr>
                <w:rFonts w:ascii="Calibri" w:eastAsia="Calibri" w:hAnsi="Calibri"/>
                <w:sz w:val="22"/>
                <w:szCs w:val="22"/>
              </w:rPr>
              <w:t xml:space="preserve"> by the parent DU</w:t>
            </w:r>
            <w:r w:rsidRPr="00F22CE3">
              <w:rPr>
                <w:rFonts w:ascii="Calibri" w:eastAsia="Calibri" w:hAnsi="Calibri"/>
                <w:sz w:val="22"/>
                <w:szCs w:val="22"/>
              </w:rPr>
              <w:t>, and</w:t>
            </w:r>
            <w:r>
              <w:rPr>
                <w:rFonts w:ascii="Calibri" w:eastAsia="Calibri" w:hAnsi="Calibri"/>
                <w:sz w:val="22"/>
                <w:szCs w:val="22"/>
              </w:rPr>
              <w:t xml:space="preserve"> the (MT cell, DU cell) pair may refer to a</w:t>
            </w:r>
            <w:r w:rsidRPr="00F22CE3">
              <w:rPr>
                <w:rFonts w:ascii="Calibri" w:eastAsia="Calibri" w:hAnsi="Calibri"/>
                <w:sz w:val="22"/>
                <w:szCs w:val="22"/>
              </w:rPr>
              <w:t xml:space="preserve"> matching DU cell that uses </w:t>
            </w:r>
            <w:r>
              <w:rPr>
                <w:rFonts w:ascii="Calibri" w:eastAsia="Calibri" w:hAnsi="Calibri"/>
                <w:sz w:val="22"/>
                <w:szCs w:val="22"/>
              </w:rPr>
              <w:t xml:space="preserve">the </w:t>
            </w:r>
            <w:r w:rsidRPr="00F22CE3">
              <w:rPr>
                <w:rFonts w:ascii="Calibri" w:eastAsia="Calibri" w:hAnsi="Calibri"/>
                <w:sz w:val="22"/>
                <w:szCs w:val="22"/>
              </w:rPr>
              <w:t>same frequency and time resources.</w:t>
            </w:r>
            <w:r>
              <w:rPr>
                <w:rFonts w:ascii="Calibri" w:eastAsia="Calibri" w:hAnsi="Calibri"/>
                <w:b/>
                <w:bCs/>
                <w:sz w:val="22"/>
                <w:szCs w:val="22"/>
              </w:rPr>
              <w:t xml:space="preserve"> </w:t>
            </w:r>
          </w:p>
          <w:p w14:paraId="731C4E46" w14:textId="35F2628F" w:rsidR="00F22CE3" w:rsidRPr="00F22CE3" w:rsidRDefault="00F22CE3" w:rsidP="006C11EF">
            <w:pPr>
              <w:rPr>
                <w:rFonts w:ascii="Calibri" w:eastAsia="Calibri" w:hAnsi="Calibri"/>
                <w:b/>
                <w:bCs/>
                <w:sz w:val="22"/>
                <w:szCs w:val="22"/>
              </w:rPr>
            </w:pPr>
            <w:r>
              <w:rPr>
                <w:rFonts w:ascii="Calibri" w:eastAsia="Calibri" w:hAnsi="Calibri"/>
                <w:sz w:val="22"/>
                <w:szCs w:val="22"/>
              </w:rPr>
              <w:t>As this is more on using the same resources, t</w:t>
            </w:r>
            <w:r w:rsidRPr="00F22CE3">
              <w:rPr>
                <w:rFonts w:ascii="Calibri" w:eastAsia="Calibri" w:hAnsi="Calibri"/>
                <w:sz w:val="22"/>
                <w:szCs w:val="22"/>
              </w:rPr>
              <w:t xml:space="preserve">he parent does not have to </w:t>
            </w:r>
            <w:r>
              <w:rPr>
                <w:rFonts w:ascii="Calibri" w:eastAsia="Calibri" w:hAnsi="Calibri"/>
                <w:sz w:val="22"/>
                <w:szCs w:val="22"/>
              </w:rPr>
              <w:t>worry about</w:t>
            </w:r>
            <w:r w:rsidRPr="00F22CE3">
              <w:rPr>
                <w:rFonts w:ascii="Calibri" w:eastAsia="Calibri" w:hAnsi="Calibri"/>
                <w:sz w:val="22"/>
                <w:szCs w:val="22"/>
              </w:rPr>
              <w:t xml:space="preserve"> which DU cell(s) overlaps with the serving cell configured for the IAB MT</w:t>
            </w:r>
            <w:r>
              <w:rPr>
                <w:rFonts w:ascii="Calibri" w:eastAsia="Calibri" w:hAnsi="Calibri"/>
                <w:sz w:val="22"/>
                <w:szCs w:val="22"/>
              </w:rPr>
              <w:t>. W</w:t>
            </w:r>
            <w:r w:rsidRPr="00F22CE3">
              <w:rPr>
                <w:rFonts w:ascii="Calibri" w:eastAsia="Calibri" w:hAnsi="Calibri"/>
                <w:sz w:val="22"/>
                <w:szCs w:val="22"/>
              </w:rPr>
              <w:t>hat matters is the assumption of using the same resources</w:t>
            </w:r>
            <w:r>
              <w:rPr>
                <w:rFonts w:ascii="Calibri" w:eastAsia="Calibri" w:hAnsi="Calibri"/>
                <w:sz w:val="22"/>
                <w:szCs w:val="22"/>
              </w:rPr>
              <w:t>,</w:t>
            </w:r>
            <w:r w:rsidRPr="00F22CE3">
              <w:rPr>
                <w:rFonts w:ascii="Calibri" w:eastAsia="Calibri" w:hAnsi="Calibri"/>
                <w:sz w:val="22"/>
                <w:szCs w:val="22"/>
              </w:rPr>
              <w:t xml:space="preserve"> and TDM constraint shall be satisfied. </w:t>
            </w:r>
            <w:r w:rsidRPr="00F22CE3">
              <w:rPr>
                <w:rFonts w:ascii="Calibri" w:eastAsia="Calibri" w:hAnsi="Calibri"/>
                <w:sz w:val="22"/>
                <w:szCs w:val="22"/>
              </w:rPr>
              <w:lastRenderedPageBreak/>
              <w:t xml:space="preserve">For that, it is more than enough to indicate the guard symbols per MT cell. </w:t>
            </w:r>
          </w:p>
        </w:tc>
      </w:tr>
      <w:tr w:rsidR="003E3C95" w:rsidRPr="008040F5" w14:paraId="0E89CD81" w14:textId="77777777" w:rsidTr="006D78C8">
        <w:tc>
          <w:tcPr>
            <w:tcW w:w="1696" w:type="dxa"/>
          </w:tcPr>
          <w:p w14:paraId="5D5036D1" w14:textId="0D47E373"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C</w:t>
            </w:r>
            <w:r>
              <w:rPr>
                <w:rFonts w:ascii="Calibri" w:eastAsiaTheme="minorEastAsia" w:hAnsi="Calibri"/>
                <w:b/>
                <w:bCs/>
                <w:sz w:val="22"/>
                <w:szCs w:val="22"/>
                <w:lang w:eastAsia="zh-CN"/>
              </w:rPr>
              <w:t>MCC</w:t>
            </w:r>
          </w:p>
        </w:tc>
        <w:tc>
          <w:tcPr>
            <w:tcW w:w="2265" w:type="dxa"/>
          </w:tcPr>
          <w:p w14:paraId="6953CCAF" w14:textId="7506C98A" w:rsidR="003E3C95" w:rsidRPr="004103E1" w:rsidRDefault="004103E1" w:rsidP="006C11EF">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4EE050D5" w14:textId="71FF1BD8" w:rsidR="003E3C95" w:rsidRPr="004103E1" w:rsidRDefault="004103E1" w:rsidP="006C11EF">
            <w:pPr>
              <w:rPr>
                <w:rFonts w:ascii="Calibri" w:eastAsiaTheme="minorEastAsia" w:hAnsi="Calibri"/>
                <w:sz w:val="22"/>
                <w:szCs w:val="22"/>
                <w:lang w:eastAsia="zh-CN"/>
              </w:rPr>
            </w:pPr>
            <w:r>
              <w:rPr>
                <w:rFonts w:ascii="Calibri" w:eastAsiaTheme="minorEastAsia" w:hAnsi="Calibri"/>
                <w:sz w:val="22"/>
                <w:szCs w:val="22"/>
                <w:lang w:eastAsia="zh-CN"/>
              </w:rPr>
              <w:t>Alt 1 no doubt works, and it aligns with the original RAN1 agreements.</w:t>
            </w:r>
          </w:p>
        </w:tc>
      </w:tr>
      <w:tr w:rsidR="007C340A" w:rsidRPr="008040F5" w14:paraId="3C19F955" w14:textId="77777777" w:rsidTr="006D78C8">
        <w:tc>
          <w:tcPr>
            <w:tcW w:w="1696" w:type="dxa"/>
          </w:tcPr>
          <w:p w14:paraId="71AAFC59" w14:textId="419D00E0" w:rsidR="007C340A" w:rsidRDefault="007C340A" w:rsidP="007C340A">
            <w:pPr>
              <w:rPr>
                <w:rFonts w:ascii="Calibri" w:eastAsiaTheme="minorEastAsia" w:hAnsi="Calibri"/>
                <w:b/>
                <w:bCs/>
                <w:sz w:val="22"/>
                <w:szCs w:val="22"/>
                <w:lang w:eastAsia="zh-CN"/>
              </w:rPr>
            </w:pPr>
            <w:r w:rsidRPr="0079133E">
              <w:rPr>
                <w:rFonts w:ascii="Calibri" w:eastAsia="Calibri" w:hAnsi="Calibri"/>
                <w:bCs/>
                <w:sz w:val="22"/>
                <w:szCs w:val="22"/>
              </w:rPr>
              <w:t>NTT DOCOMO</w:t>
            </w:r>
          </w:p>
        </w:tc>
        <w:tc>
          <w:tcPr>
            <w:tcW w:w="2265" w:type="dxa"/>
          </w:tcPr>
          <w:p w14:paraId="479FE29C" w14:textId="3F37625F" w:rsidR="007C340A" w:rsidRDefault="007C340A" w:rsidP="007C340A">
            <w:pPr>
              <w:rPr>
                <w:rFonts w:ascii="Calibri" w:eastAsiaTheme="minorEastAsia" w:hAnsi="Calibri"/>
                <w:b/>
                <w:bCs/>
                <w:sz w:val="22"/>
                <w:szCs w:val="22"/>
                <w:lang w:eastAsia="zh-CN"/>
              </w:rPr>
            </w:pPr>
            <w:r w:rsidRPr="0079133E">
              <w:rPr>
                <w:rFonts w:ascii="Calibri" w:eastAsia="Yu Mincho" w:hAnsi="Calibri" w:hint="eastAsia"/>
                <w:bCs/>
                <w:sz w:val="22"/>
                <w:szCs w:val="22"/>
                <w:lang w:eastAsia="ja-JP"/>
              </w:rPr>
              <w:t>Yes</w:t>
            </w:r>
          </w:p>
        </w:tc>
        <w:tc>
          <w:tcPr>
            <w:tcW w:w="6109" w:type="dxa"/>
          </w:tcPr>
          <w:p w14:paraId="5BC55350" w14:textId="4AC5BDEA" w:rsidR="007C340A" w:rsidRDefault="007C340A" w:rsidP="007C340A">
            <w:pPr>
              <w:rPr>
                <w:rFonts w:ascii="Calibri" w:eastAsiaTheme="minorEastAsia" w:hAnsi="Calibri"/>
                <w:sz w:val="22"/>
                <w:szCs w:val="22"/>
                <w:lang w:eastAsia="zh-CN"/>
              </w:rPr>
            </w:pPr>
            <w:r>
              <w:rPr>
                <w:rFonts w:ascii="Calibri" w:eastAsia="Yu Mincho" w:hAnsi="Calibri"/>
                <w:sz w:val="22"/>
                <w:szCs w:val="22"/>
                <w:lang w:eastAsia="ja-JP"/>
              </w:rPr>
              <w:t>RAN1 may have the consensus that</w:t>
            </w:r>
            <w:r>
              <w:rPr>
                <w:rFonts w:ascii="Calibri" w:eastAsia="Yu Mincho" w:hAnsi="Calibri" w:hint="eastAsia"/>
                <w:sz w:val="22"/>
                <w:szCs w:val="22"/>
                <w:lang w:eastAsia="ja-JP"/>
              </w:rPr>
              <w:t xml:space="preserve"> </w:t>
            </w:r>
            <w:r>
              <w:rPr>
                <w:rFonts w:ascii="Calibri" w:eastAsia="Yu Mincho" w:hAnsi="Calibri"/>
                <w:sz w:val="22"/>
                <w:szCs w:val="22"/>
                <w:lang w:eastAsia="ja-JP"/>
              </w:rPr>
              <w:t>the answer to RAN2 question is “specific cell”, so we are also fine to answer this point only as ZTE mentioned. It seems that the discussion between Alt.1 and Alt.2 seems an implementation/behavior for a parent node, since a parent node can select the gap based on Alt.2 (specific MT-DU pair) or not, and it may indicate the gap for the all DUs (as in Alt.1) and the gap may be necessary for only specific DU (e.g. the DU resource is H).</w:t>
            </w:r>
          </w:p>
        </w:tc>
      </w:tr>
      <w:tr w:rsidR="00A20FBE" w:rsidRPr="008040F5" w14:paraId="2C428BBF" w14:textId="77777777" w:rsidTr="006D78C8">
        <w:tc>
          <w:tcPr>
            <w:tcW w:w="1696" w:type="dxa"/>
          </w:tcPr>
          <w:p w14:paraId="30FDF421" w14:textId="46A06742" w:rsidR="00A20FBE" w:rsidRPr="00A20FBE" w:rsidRDefault="00A20FBE" w:rsidP="007C340A">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198B6544" w14:textId="36498263" w:rsidR="00A20FBE" w:rsidRPr="0079133E" w:rsidRDefault="00A20FBE" w:rsidP="007C340A">
            <w:pPr>
              <w:rPr>
                <w:rFonts w:ascii="Calibri" w:eastAsia="Yu Mincho" w:hAnsi="Calibri"/>
                <w:bCs/>
                <w:sz w:val="22"/>
                <w:szCs w:val="22"/>
                <w:lang w:eastAsia="ja-JP"/>
              </w:rPr>
            </w:pPr>
            <w:r w:rsidRPr="00A20FBE">
              <w:rPr>
                <w:rFonts w:ascii="Calibri" w:eastAsiaTheme="minorEastAsia" w:hAnsi="Calibri"/>
                <w:b/>
                <w:bCs/>
                <w:sz w:val="22"/>
                <w:szCs w:val="22"/>
                <w:lang w:eastAsia="zh-CN"/>
              </w:rPr>
              <w:t>Y</w:t>
            </w:r>
            <w:r w:rsidRPr="00A20FBE">
              <w:rPr>
                <w:rFonts w:ascii="Calibri" w:eastAsiaTheme="minorEastAsia" w:hAnsi="Calibri" w:hint="eastAsia"/>
                <w:b/>
                <w:bCs/>
                <w:sz w:val="22"/>
                <w:szCs w:val="22"/>
                <w:lang w:eastAsia="zh-CN"/>
              </w:rPr>
              <w:t>es</w:t>
            </w:r>
            <w:r w:rsidR="002D6D3C">
              <w:rPr>
                <w:rFonts w:ascii="Calibri" w:eastAsiaTheme="minorEastAsia" w:hAnsi="Calibri"/>
                <w:b/>
                <w:bCs/>
                <w:sz w:val="22"/>
                <w:szCs w:val="22"/>
                <w:lang w:eastAsia="zh-CN"/>
              </w:rPr>
              <w:t xml:space="preserve"> </w:t>
            </w:r>
          </w:p>
        </w:tc>
        <w:tc>
          <w:tcPr>
            <w:tcW w:w="6109" w:type="dxa"/>
          </w:tcPr>
          <w:p w14:paraId="6754083F" w14:textId="33501AA9" w:rsidR="00A20FBE" w:rsidRDefault="00173E8B" w:rsidP="007C340A">
            <w:pPr>
              <w:rPr>
                <w:rFonts w:ascii="Calibri" w:eastAsia="Yu Mincho" w:hAnsi="Calibri"/>
                <w:sz w:val="22"/>
                <w:szCs w:val="22"/>
                <w:lang w:eastAsia="ja-JP"/>
              </w:rPr>
            </w:pPr>
            <w:r>
              <w:rPr>
                <w:rFonts w:ascii="Calibri" w:eastAsia="Yu Mincho" w:hAnsi="Calibri"/>
                <w:sz w:val="22"/>
                <w:szCs w:val="22"/>
                <w:lang w:eastAsia="ja-JP"/>
              </w:rPr>
              <w:t>W</w:t>
            </w:r>
            <w:r w:rsidR="002D6D3C" w:rsidRPr="002D6D3C">
              <w:rPr>
                <w:rFonts w:ascii="Calibri" w:eastAsia="Yu Mincho" w:hAnsi="Calibri"/>
                <w:sz w:val="22"/>
                <w:szCs w:val="22"/>
                <w:lang w:eastAsia="ja-JP"/>
              </w:rPr>
              <w:t xml:space="preserve">e </w:t>
            </w:r>
            <w:r w:rsidR="002D6D3C">
              <w:rPr>
                <w:rFonts w:ascii="Calibri" w:eastAsia="Yu Mincho" w:hAnsi="Calibri"/>
                <w:sz w:val="22"/>
                <w:szCs w:val="22"/>
                <w:lang w:eastAsia="ja-JP"/>
              </w:rPr>
              <w:t xml:space="preserve">are fine with </w:t>
            </w:r>
            <w:r w:rsidR="0037722F">
              <w:rPr>
                <w:rFonts w:ascii="Calibri" w:eastAsia="Yu Mincho" w:hAnsi="Calibri"/>
                <w:sz w:val="22"/>
                <w:szCs w:val="22"/>
                <w:lang w:eastAsia="ja-JP"/>
              </w:rPr>
              <w:t>proposed</w:t>
            </w:r>
            <w:r w:rsidR="002D6D3C">
              <w:rPr>
                <w:rFonts w:ascii="Calibri" w:eastAsia="Yu Mincho" w:hAnsi="Calibri"/>
                <w:sz w:val="22"/>
                <w:szCs w:val="22"/>
                <w:lang w:eastAsia="ja-JP"/>
              </w:rPr>
              <w:t xml:space="preserve"> </w:t>
            </w:r>
            <w:r>
              <w:rPr>
                <w:rFonts w:ascii="Calibri" w:eastAsia="Yu Mincho" w:hAnsi="Calibri"/>
                <w:sz w:val="22"/>
                <w:szCs w:val="22"/>
                <w:lang w:eastAsia="ja-JP"/>
              </w:rPr>
              <w:t>response</w:t>
            </w:r>
            <w:r w:rsidR="002D6D3C">
              <w:rPr>
                <w:rFonts w:ascii="Calibri" w:eastAsia="Yu Mincho" w:hAnsi="Calibri"/>
                <w:sz w:val="22"/>
                <w:szCs w:val="22"/>
                <w:lang w:eastAsia="ja-JP"/>
              </w:rPr>
              <w:t xml:space="preserve"> </w:t>
            </w:r>
            <w:r>
              <w:rPr>
                <w:rFonts w:ascii="Calibri" w:eastAsia="Yu Mincho" w:hAnsi="Calibri"/>
                <w:sz w:val="22"/>
                <w:szCs w:val="22"/>
                <w:lang w:eastAsia="ja-JP"/>
              </w:rPr>
              <w:t xml:space="preserve">to RAN2 </w:t>
            </w:r>
            <w:r w:rsidR="002D6D3C">
              <w:rPr>
                <w:rFonts w:ascii="Calibri" w:eastAsia="Yu Mincho" w:hAnsi="Calibri"/>
                <w:sz w:val="22"/>
                <w:szCs w:val="22"/>
                <w:lang w:eastAsia="ja-JP"/>
              </w:rPr>
              <w:t xml:space="preserve">from ZTE and Nokia. </w:t>
            </w:r>
          </w:p>
          <w:p w14:paraId="1DCD41CA" w14:textId="77777777" w:rsidR="00173E8B" w:rsidRDefault="00173E8B" w:rsidP="007C340A">
            <w:pPr>
              <w:rPr>
                <w:rFonts w:ascii="Calibri" w:eastAsia="Yu Mincho" w:hAnsi="Calibri"/>
                <w:sz w:val="22"/>
                <w:szCs w:val="22"/>
                <w:lang w:eastAsia="ja-JP"/>
              </w:rPr>
            </w:pPr>
          </w:p>
          <w:p w14:paraId="25AF6063" w14:textId="62A43771" w:rsidR="0037722F" w:rsidRDefault="0037722F" w:rsidP="007C340A">
            <w:pPr>
              <w:rPr>
                <w:rFonts w:ascii="Calibri" w:eastAsia="Yu Mincho" w:hAnsi="Calibri"/>
                <w:sz w:val="22"/>
                <w:szCs w:val="22"/>
                <w:lang w:eastAsia="ja-JP"/>
              </w:rPr>
            </w:pPr>
            <w:r>
              <w:rPr>
                <w:rFonts w:ascii="Calibri" w:eastAsia="Yu Mincho" w:hAnsi="Calibri"/>
                <w:sz w:val="22"/>
                <w:szCs w:val="22"/>
                <w:lang w:eastAsia="ja-JP"/>
              </w:rPr>
              <w:t>From RAN1 point of view</w:t>
            </w:r>
            <w:r w:rsidR="00C201C0">
              <w:rPr>
                <w:rFonts w:ascii="Calibri" w:eastAsia="Yu Mincho" w:hAnsi="Calibri"/>
                <w:sz w:val="22"/>
                <w:szCs w:val="22"/>
                <w:lang w:eastAsia="ja-JP"/>
              </w:rPr>
              <w:t>, we could check whether the following can be agreed</w:t>
            </w:r>
          </w:p>
          <w:p w14:paraId="0F112A76" w14:textId="3A00FC57" w:rsidR="00C201C0" w:rsidRPr="00C201C0" w:rsidRDefault="00C201C0" w:rsidP="008F19A4">
            <w:pPr>
              <w:pStyle w:val="a8"/>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Desired Guard Symbols</w:t>
            </w:r>
            <w:r w:rsidRPr="00C201C0">
              <w:rPr>
                <w:rFonts w:ascii="Calibri" w:eastAsia="Calibri" w:hAnsi="Calibri"/>
                <w:b/>
                <w:bCs/>
                <w:sz w:val="22"/>
                <w:szCs w:val="22"/>
              </w:rPr>
              <w:t xml:space="preserve"> is </w:t>
            </w:r>
            <w:r w:rsidR="00606736" w:rsidRPr="00C201C0">
              <w:rPr>
                <w:rFonts w:ascii="Calibri" w:eastAsia="Calibri" w:hAnsi="Calibri"/>
                <w:b/>
                <w:bCs/>
                <w:sz w:val="22"/>
                <w:szCs w:val="22"/>
              </w:rPr>
              <w:t xml:space="preserve">provided </w:t>
            </w:r>
            <w:r w:rsidRPr="00C201C0">
              <w:rPr>
                <w:rFonts w:ascii="Calibri" w:eastAsia="Calibri" w:hAnsi="Calibri"/>
                <w:b/>
                <w:bCs/>
                <w:sz w:val="22"/>
                <w:szCs w:val="22"/>
              </w:rPr>
              <w:t>for a specific (MT cell, DU cell) pair within an IAB-node</w:t>
            </w:r>
          </w:p>
          <w:p w14:paraId="13B89BED" w14:textId="1549B8A4" w:rsidR="00CA35EA" w:rsidRPr="00CA35EA" w:rsidRDefault="00C201C0" w:rsidP="00CA35EA">
            <w:pPr>
              <w:pStyle w:val="a8"/>
              <w:numPr>
                <w:ilvl w:val="0"/>
                <w:numId w:val="24"/>
              </w:numPr>
              <w:spacing w:beforeLines="50" w:before="120"/>
              <w:rPr>
                <w:rFonts w:ascii="Calibri" w:eastAsia="Calibri" w:hAnsi="Calibri"/>
                <w:b/>
                <w:bCs/>
                <w:sz w:val="22"/>
                <w:szCs w:val="22"/>
              </w:rPr>
            </w:pPr>
            <w:r w:rsidRPr="00C201C0">
              <w:rPr>
                <w:rFonts w:ascii="Calibri" w:eastAsia="Calibri" w:hAnsi="Calibri"/>
                <w:b/>
                <w:bCs/>
                <w:i/>
                <w:sz w:val="22"/>
                <w:szCs w:val="22"/>
              </w:rPr>
              <w:t>Provided Guard Symbols</w:t>
            </w:r>
            <w:r w:rsidRPr="00C201C0">
              <w:rPr>
                <w:rFonts w:ascii="Calibri" w:eastAsia="Calibri" w:hAnsi="Calibri"/>
                <w:b/>
                <w:bCs/>
                <w:sz w:val="22"/>
                <w:szCs w:val="22"/>
              </w:rPr>
              <w:t xml:space="preserve"> is</w:t>
            </w:r>
            <w:r w:rsidR="0037722F" w:rsidRPr="00C201C0">
              <w:rPr>
                <w:rFonts w:ascii="Calibri" w:eastAsia="Calibri" w:hAnsi="Calibri"/>
                <w:b/>
                <w:bCs/>
                <w:sz w:val="22"/>
                <w:szCs w:val="22"/>
              </w:rPr>
              <w:t xml:space="preserve"> </w:t>
            </w:r>
            <w:r w:rsidRPr="00C201C0">
              <w:rPr>
                <w:rFonts w:ascii="Calibri" w:eastAsia="Calibri" w:hAnsi="Calibri"/>
                <w:b/>
                <w:bCs/>
                <w:sz w:val="22"/>
                <w:szCs w:val="22"/>
              </w:rPr>
              <w:t>provided</w:t>
            </w:r>
            <w:r w:rsidR="0037722F" w:rsidRPr="00C201C0">
              <w:rPr>
                <w:rFonts w:ascii="Calibri" w:eastAsia="Calibri" w:hAnsi="Calibri"/>
                <w:b/>
                <w:bCs/>
                <w:sz w:val="22"/>
                <w:szCs w:val="22"/>
              </w:rPr>
              <w:t xml:space="preserve"> </w:t>
            </w:r>
            <w:r w:rsidRPr="00C201C0">
              <w:rPr>
                <w:rFonts w:ascii="Calibri" w:eastAsia="Calibri" w:hAnsi="Calibri"/>
                <w:b/>
                <w:bCs/>
                <w:sz w:val="22"/>
                <w:szCs w:val="22"/>
              </w:rPr>
              <w:t xml:space="preserve">for a specific MT cell </w:t>
            </w:r>
          </w:p>
        </w:tc>
      </w:tr>
      <w:tr w:rsidR="006A78B9" w:rsidRPr="008040F5" w14:paraId="326A99C7" w14:textId="77777777" w:rsidTr="006D78C8">
        <w:tc>
          <w:tcPr>
            <w:tcW w:w="1696" w:type="dxa"/>
          </w:tcPr>
          <w:p w14:paraId="1C8913C0" w14:textId="7695484E" w:rsidR="006A78B9" w:rsidRPr="006A78B9" w:rsidRDefault="006A78B9" w:rsidP="007C340A">
            <w:pPr>
              <w:rPr>
                <w:rFonts w:ascii="Calibri" w:eastAsia="Yu Mincho" w:hAnsi="Calibri"/>
                <w:sz w:val="22"/>
                <w:szCs w:val="22"/>
                <w:lang w:eastAsia="ja-JP"/>
              </w:rPr>
            </w:pPr>
            <w:r w:rsidRPr="006A78B9">
              <w:rPr>
                <w:rFonts w:ascii="Calibri" w:eastAsia="Yu Mincho" w:hAnsi="Calibri"/>
                <w:sz w:val="22"/>
                <w:szCs w:val="22"/>
                <w:lang w:eastAsia="ja-JP"/>
              </w:rPr>
              <w:t>V</w:t>
            </w:r>
            <w:r w:rsidRPr="006A78B9">
              <w:rPr>
                <w:rFonts w:ascii="Calibri" w:eastAsia="Yu Mincho" w:hAnsi="Calibri" w:hint="eastAsia"/>
                <w:sz w:val="22"/>
                <w:szCs w:val="22"/>
                <w:lang w:eastAsia="ja-JP"/>
              </w:rPr>
              <w:t>ivo</w:t>
            </w:r>
          </w:p>
        </w:tc>
        <w:tc>
          <w:tcPr>
            <w:tcW w:w="2265" w:type="dxa"/>
          </w:tcPr>
          <w:p w14:paraId="51C76625" w14:textId="26D35517" w:rsidR="006A78B9" w:rsidRPr="006A78B9" w:rsidRDefault="006A78B9" w:rsidP="007C340A">
            <w:pPr>
              <w:rPr>
                <w:rFonts w:ascii="Calibri" w:eastAsia="Yu Mincho" w:hAnsi="Calibri"/>
                <w:sz w:val="22"/>
                <w:szCs w:val="22"/>
                <w:lang w:eastAsia="ja-JP"/>
              </w:rPr>
            </w:pPr>
            <w:r w:rsidRPr="006A78B9">
              <w:rPr>
                <w:rFonts w:ascii="Calibri" w:eastAsia="Yu Mincho" w:hAnsi="Calibri" w:hint="eastAsia"/>
                <w:sz w:val="22"/>
                <w:szCs w:val="22"/>
                <w:lang w:eastAsia="ja-JP"/>
              </w:rPr>
              <w:t>Yes</w:t>
            </w:r>
          </w:p>
        </w:tc>
        <w:tc>
          <w:tcPr>
            <w:tcW w:w="6109" w:type="dxa"/>
          </w:tcPr>
          <w:p w14:paraId="69A67886" w14:textId="23D92BD1" w:rsidR="006A78B9" w:rsidRDefault="006A78B9" w:rsidP="006A78B9">
            <w:pPr>
              <w:rPr>
                <w:rFonts w:ascii="Calibri" w:eastAsia="Yu Mincho" w:hAnsi="Calibri"/>
                <w:sz w:val="22"/>
                <w:szCs w:val="22"/>
                <w:lang w:eastAsia="ja-JP"/>
              </w:rPr>
            </w:pPr>
            <w:r>
              <w:rPr>
                <w:rFonts w:ascii="Calibri" w:eastAsia="Yu Mincho" w:hAnsi="Calibri"/>
                <w:sz w:val="22"/>
                <w:szCs w:val="22"/>
                <w:lang w:eastAsia="ja-JP"/>
              </w:rPr>
              <w:t xml:space="preserve">In our understanding, both alternative can works. </w:t>
            </w:r>
            <w:r w:rsidRPr="006A78B9">
              <w:rPr>
                <w:rFonts w:ascii="Calibri" w:eastAsia="Yu Mincho" w:hAnsi="Calibri"/>
                <w:sz w:val="22"/>
                <w:szCs w:val="22"/>
                <w:lang w:eastAsia="ja-JP"/>
              </w:rPr>
              <w:t>Alt. 2 is the one which matches the original intention, however, we can accept a simple solution which does not scarify too much performance, i.e., Alt. 1-like</w:t>
            </w:r>
          </w:p>
        </w:tc>
      </w:tr>
      <w:tr w:rsidR="00AA2FF1" w:rsidRPr="008040F5" w14:paraId="08E448CE" w14:textId="77777777" w:rsidTr="006D78C8">
        <w:tc>
          <w:tcPr>
            <w:tcW w:w="1696" w:type="dxa"/>
          </w:tcPr>
          <w:p w14:paraId="116D8686" w14:textId="6BC4239C" w:rsidR="00AA2FF1" w:rsidRPr="006A78B9" w:rsidRDefault="00AA2FF1" w:rsidP="00AA2FF1">
            <w:pPr>
              <w:rPr>
                <w:rFonts w:ascii="Calibri" w:eastAsia="Yu Mincho" w:hAnsi="Calibri"/>
                <w:sz w:val="22"/>
                <w:szCs w:val="22"/>
                <w:lang w:eastAsia="ja-JP"/>
              </w:rPr>
            </w:pPr>
            <w:r>
              <w:rPr>
                <w:rFonts w:ascii="Calibri" w:eastAsia="맑은 고딕" w:hAnsi="Calibri" w:hint="eastAsia"/>
                <w:bCs/>
                <w:sz w:val="22"/>
                <w:szCs w:val="22"/>
                <w:lang w:eastAsia="ko-KR"/>
              </w:rPr>
              <w:t>Samsung</w:t>
            </w:r>
          </w:p>
        </w:tc>
        <w:tc>
          <w:tcPr>
            <w:tcW w:w="2265" w:type="dxa"/>
          </w:tcPr>
          <w:p w14:paraId="31CE7E06" w14:textId="5E97145A" w:rsidR="00AA2FF1" w:rsidRPr="006A78B9" w:rsidRDefault="00AA2FF1" w:rsidP="00AA2FF1">
            <w:pPr>
              <w:rPr>
                <w:rFonts w:ascii="Calibri" w:eastAsia="Yu Mincho" w:hAnsi="Calibri"/>
                <w:sz w:val="22"/>
                <w:szCs w:val="22"/>
                <w:lang w:eastAsia="ja-JP"/>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w:t>
            </w:r>
          </w:p>
        </w:tc>
        <w:tc>
          <w:tcPr>
            <w:tcW w:w="6109" w:type="dxa"/>
          </w:tcPr>
          <w:p w14:paraId="59C5809F" w14:textId="64F4A420" w:rsidR="00AA2FF1" w:rsidRDefault="00AA2FF1" w:rsidP="00AA2FF1">
            <w:pPr>
              <w:rPr>
                <w:rFonts w:ascii="Calibri" w:eastAsia="Yu Mincho" w:hAnsi="Calibri"/>
                <w:sz w:val="22"/>
                <w:szCs w:val="22"/>
                <w:lang w:eastAsia="ja-JP"/>
              </w:rPr>
            </w:pPr>
            <w:r>
              <w:rPr>
                <w:rFonts w:ascii="Calibri" w:eastAsia="맑은 고딕" w:hAnsi="Calibri"/>
                <w:sz w:val="22"/>
                <w:szCs w:val="22"/>
                <w:lang w:eastAsia="ko-KR"/>
              </w:rPr>
              <w:t>W</w:t>
            </w:r>
            <w:r>
              <w:rPr>
                <w:rFonts w:ascii="Calibri" w:eastAsia="맑은 고딕" w:hAnsi="Calibri" w:hint="eastAsia"/>
                <w:sz w:val="22"/>
                <w:szCs w:val="22"/>
                <w:lang w:eastAsia="ko-KR"/>
              </w:rPr>
              <w:t xml:space="preserve">e </w:t>
            </w:r>
            <w:r>
              <w:rPr>
                <w:rFonts w:ascii="Calibri" w:eastAsia="맑은 고딕" w:hAnsi="Calibri"/>
                <w:sz w:val="22"/>
                <w:szCs w:val="22"/>
                <w:lang w:eastAsia="ko-KR"/>
              </w:rPr>
              <w:t>supports</w:t>
            </w:r>
            <w:r>
              <w:rPr>
                <w:rFonts w:ascii="Calibri" w:eastAsia="맑은 고딕" w:hAnsi="Calibri" w:hint="eastAsia"/>
                <w:sz w:val="22"/>
                <w:szCs w:val="22"/>
                <w:lang w:eastAsia="ko-KR"/>
              </w:rPr>
              <w:t xml:space="preserve"> Alt.1 </w:t>
            </w:r>
            <w:r>
              <w:rPr>
                <w:rFonts w:ascii="Calibri" w:eastAsia="맑은 고딕" w:hAnsi="Calibri"/>
                <w:sz w:val="22"/>
                <w:szCs w:val="22"/>
                <w:lang w:eastAsia="ko-KR"/>
              </w:rPr>
              <w:t>to address the concern. But, even if we go with “specific cell”, the same value for all MT cells can be applied by parent IAB implementation for some scenarios as commented by ZTE. So, we are also fine with ZTE’s suggestion.</w:t>
            </w:r>
          </w:p>
        </w:tc>
      </w:tr>
      <w:tr w:rsidR="005737F6" w14:paraId="4279DB11" w14:textId="77777777" w:rsidTr="00937460">
        <w:tc>
          <w:tcPr>
            <w:tcW w:w="1696" w:type="dxa"/>
          </w:tcPr>
          <w:p w14:paraId="2D5EFC07" w14:textId="2834C509" w:rsidR="005737F6" w:rsidRPr="006A78B9" w:rsidRDefault="00C530D0" w:rsidP="005737F6">
            <w:pPr>
              <w:rPr>
                <w:rFonts w:ascii="Calibri" w:eastAsia="Yu Mincho" w:hAnsi="Calibri"/>
                <w:sz w:val="22"/>
                <w:szCs w:val="22"/>
                <w:lang w:eastAsia="ja-JP"/>
              </w:rPr>
            </w:pPr>
            <w:r>
              <w:br w:type="page"/>
            </w:r>
            <w:r w:rsidR="005737F6">
              <w:rPr>
                <w:rFonts w:ascii="Calibri" w:eastAsia="맑은 고딕" w:hAnsi="Calibri"/>
                <w:bCs/>
                <w:sz w:val="22"/>
                <w:szCs w:val="22"/>
                <w:lang w:eastAsia="ko-KR"/>
              </w:rPr>
              <w:t>LG</w:t>
            </w:r>
          </w:p>
        </w:tc>
        <w:tc>
          <w:tcPr>
            <w:tcW w:w="2265" w:type="dxa"/>
          </w:tcPr>
          <w:p w14:paraId="2FF76EC9" w14:textId="77777777" w:rsidR="005737F6" w:rsidRPr="006A78B9" w:rsidRDefault="005737F6" w:rsidP="00937460">
            <w:pPr>
              <w:rPr>
                <w:rFonts w:ascii="Calibri" w:eastAsia="Yu Mincho" w:hAnsi="Calibri"/>
                <w:sz w:val="22"/>
                <w:szCs w:val="22"/>
                <w:lang w:eastAsia="ja-JP"/>
              </w:rPr>
            </w:pPr>
            <w:r>
              <w:rPr>
                <w:rFonts w:ascii="Calibri" w:eastAsia="맑은 고딕" w:hAnsi="Calibri" w:hint="eastAsia"/>
                <w:b/>
                <w:bCs/>
                <w:sz w:val="22"/>
                <w:szCs w:val="22"/>
                <w:lang w:eastAsia="ko-KR"/>
              </w:rPr>
              <w:t>Y</w:t>
            </w:r>
            <w:r>
              <w:rPr>
                <w:rFonts w:ascii="Calibri" w:eastAsia="맑은 고딕" w:hAnsi="Calibri"/>
                <w:b/>
                <w:bCs/>
                <w:sz w:val="22"/>
                <w:szCs w:val="22"/>
                <w:lang w:eastAsia="ko-KR"/>
              </w:rPr>
              <w:t>es</w:t>
            </w:r>
          </w:p>
        </w:tc>
        <w:tc>
          <w:tcPr>
            <w:tcW w:w="6109" w:type="dxa"/>
          </w:tcPr>
          <w:p w14:paraId="4261F17B" w14:textId="18C68BE9" w:rsidR="005737F6" w:rsidRPr="005737F6" w:rsidRDefault="005737F6" w:rsidP="00E9072F">
            <w:pPr>
              <w:rPr>
                <w:rFonts w:ascii="Calibri" w:eastAsia="맑은 고딕" w:hAnsi="Calibri" w:hint="eastAsia"/>
                <w:sz w:val="22"/>
                <w:szCs w:val="22"/>
                <w:lang w:eastAsia="ko-KR"/>
              </w:rPr>
            </w:pPr>
            <w:r>
              <w:rPr>
                <w:rFonts w:ascii="Calibri" w:eastAsia="맑은 고딕" w:hAnsi="Calibri" w:hint="eastAsia"/>
                <w:sz w:val="22"/>
                <w:szCs w:val="22"/>
                <w:lang w:eastAsia="ko-KR"/>
              </w:rPr>
              <w:t xml:space="preserve">We </w:t>
            </w:r>
            <w:r w:rsidR="00E9072F">
              <w:rPr>
                <w:rFonts w:ascii="Calibri" w:eastAsia="맑은 고딕" w:hAnsi="Calibri"/>
                <w:sz w:val="22"/>
                <w:szCs w:val="22"/>
                <w:lang w:eastAsia="ko-KR"/>
              </w:rPr>
              <w:t xml:space="preserve">are </w:t>
            </w:r>
            <w:r>
              <w:rPr>
                <w:rFonts w:ascii="Calibri" w:eastAsia="맑은 고딕" w:hAnsi="Calibri"/>
                <w:sz w:val="22"/>
                <w:szCs w:val="22"/>
                <w:lang w:eastAsia="ko-KR"/>
              </w:rPr>
              <w:t xml:space="preserve">also </w:t>
            </w:r>
            <w:r w:rsidR="00E9072F">
              <w:rPr>
                <w:rFonts w:ascii="Calibri" w:eastAsia="맑은 고딕" w:hAnsi="Calibri"/>
                <w:sz w:val="22"/>
                <w:szCs w:val="22"/>
                <w:lang w:eastAsia="ko-KR"/>
              </w:rPr>
              <w:t>fine with</w:t>
            </w:r>
            <w:bookmarkStart w:id="2" w:name="_GoBack"/>
            <w:bookmarkEnd w:id="2"/>
            <w:r>
              <w:rPr>
                <w:rFonts w:ascii="Calibri" w:eastAsia="맑은 고딕" w:hAnsi="Calibri"/>
                <w:sz w:val="22"/>
                <w:szCs w:val="22"/>
                <w:lang w:eastAsia="ko-KR"/>
              </w:rPr>
              <w:t xml:space="preserve"> </w:t>
            </w:r>
            <w:r>
              <w:rPr>
                <w:rFonts w:ascii="Calibri" w:eastAsia="맑은 고딕" w:hAnsi="Calibri" w:hint="eastAsia"/>
                <w:sz w:val="22"/>
                <w:szCs w:val="22"/>
                <w:lang w:eastAsia="ko-KR"/>
              </w:rPr>
              <w:t>Z</w:t>
            </w:r>
            <w:r>
              <w:rPr>
                <w:rFonts w:ascii="Calibri" w:eastAsia="맑은 고딕" w:hAnsi="Calibri"/>
                <w:sz w:val="22"/>
                <w:szCs w:val="22"/>
                <w:lang w:eastAsia="ko-KR"/>
              </w:rPr>
              <w:t xml:space="preserve">TE’s proposed response to RAN2 without mentioning “DU-cell”. </w:t>
            </w:r>
          </w:p>
        </w:tc>
      </w:tr>
    </w:tbl>
    <w:p w14:paraId="660556E0" w14:textId="4B789DDA" w:rsidR="00C530D0" w:rsidRDefault="00C530D0">
      <w:pPr>
        <w:rPr>
          <w:rFonts w:ascii="Arial" w:hAnsi="Arial"/>
          <w:b/>
          <w:sz w:val="32"/>
          <w:szCs w:val="20"/>
        </w:rPr>
      </w:pPr>
    </w:p>
    <w:p w14:paraId="4775BCFE" w14:textId="77777777" w:rsidR="005737F6" w:rsidRDefault="005737F6">
      <w:pPr>
        <w:rPr>
          <w:rFonts w:ascii="Arial" w:hAnsi="Arial"/>
          <w:b/>
          <w:sz w:val="32"/>
          <w:szCs w:val="20"/>
        </w:rPr>
      </w:pPr>
    </w:p>
    <w:p w14:paraId="0AE0463A" w14:textId="77777777" w:rsidR="005737F6" w:rsidRDefault="005737F6">
      <w:pPr>
        <w:rPr>
          <w:rFonts w:ascii="Arial" w:hAnsi="Arial"/>
          <w:b/>
          <w:sz w:val="32"/>
          <w:szCs w:val="20"/>
        </w:rPr>
      </w:pPr>
    </w:p>
    <w:p w14:paraId="58F2CC67" w14:textId="77777777" w:rsidR="005737F6" w:rsidRDefault="005737F6">
      <w:pPr>
        <w:rPr>
          <w:rFonts w:ascii="Arial" w:hAnsi="Arial"/>
          <w:b/>
          <w:sz w:val="32"/>
          <w:szCs w:val="20"/>
        </w:rPr>
      </w:pPr>
    </w:p>
    <w:p w14:paraId="75986122" w14:textId="77777777" w:rsidR="005737F6" w:rsidRDefault="005737F6">
      <w:pPr>
        <w:rPr>
          <w:rFonts w:ascii="Arial" w:hAnsi="Arial"/>
          <w:b/>
          <w:sz w:val="32"/>
          <w:szCs w:val="20"/>
        </w:rPr>
      </w:pPr>
    </w:p>
    <w:p w14:paraId="71D34DC2" w14:textId="77777777" w:rsidR="005737F6" w:rsidRDefault="005737F6">
      <w:pPr>
        <w:rPr>
          <w:rFonts w:ascii="Arial" w:hAnsi="Arial"/>
          <w:b/>
          <w:sz w:val="32"/>
          <w:szCs w:val="20"/>
        </w:rPr>
      </w:pPr>
    </w:p>
    <w:p w14:paraId="525B07C8" w14:textId="77777777" w:rsidR="005737F6" w:rsidRDefault="005737F6">
      <w:pPr>
        <w:rPr>
          <w:rFonts w:ascii="Arial" w:hAnsi="Arial"/>
          <w:b/>
          <w:sz w:val="32"/>
          <w:szCs w:val="20"/>
        </w:rPr>
      </w:pPr>
    </w:p>
    <w:p w14:paraId="09466AB0" w14:textId="77777777" w:rsidR="005737F6" w:rsidRDefault="005737F6">
      <w:pPr>
        <w:rPr>
          <w:rFonts w:ascii="Arial" w:hAnsi="Arial"/>
          <w:b/>
          <w:sz w:val="32"/>
          <w:szCs w:val="20"/>
        </w:rPr>
      </w:pPr>
    </w:p>
    <w:p w14:paraId="6D778C0B" w14:textId="77777777" w:rsidR="005737F6" w:rsidRDefault="005737F6">
      <w:pPr>
        <w:rPr>
          <w:rFonts w:ascii="Arial" w:hAnsi="Arial"/>
          <w:b/>
          <w:sz w:val="32"/>
          <w:szCs w:val="20"/>
        </w:rPr>
      </w:pPr>
    </w:p>
    <w:p w14:paraId="1E448559" w14:textId="77777777" w:rsidR="005737F6" w:rsidRDefault="005737F6">
      <w:pPr>
        <w:rPr>
          <w:rFonts w:ascii="Arial" w:hAnsi="Arial"/>
          <w:b/>
          <w:sz w:val="32"/>
          <w:szCs w:val="20"/>
        </w:rPr>
      </w:pPr>
    </w:p>
    <w:p w14:paraId="45BC6AD8" w14:textId="77777777" w:rsidR="005737F6" w:rsidRDefault="005737F6">
      <w:pPr>
        <w:rPr>
          <w:rFonts w:ascii="Arial" w:hAnsi="Arial"/>
          <w:b/>
          <w:sz w:val="32"/>
          <w:szCs w:val="20"/>
        </w:rPr>
      </w:pPr>
    </w:p>
    <w:p w14:paraId="75E2BC9E" w14:textId="77777777" w:rsidR="002F634C" w:rsidRPr="00156B89" w:rsidRDefault="002F634C" w:rsidP="002F634C">
      <w:pPr>
        <w:pStyle w:val="1"/>
      </w:pPr>
      <w:r>
        <w:t>Summary</w:t>
      </w:r>
    </w:p>
    <w:p w14:paraId="166AF329" w14:textId="77777777" w:rsidR="000114C1" w:rsidRDefault="00CA6B25">
      <w:pPr>
        <w:rPr>
          <w:rFonts w:ascii="Arial" w:hAnsi="Arial"/>
          <w:b/>
          <w:sz w:val="32"/>
          <w:szCs w:val="20"/>
        </w:rPr>
      </w:pPr>
      <w:r w:rsidRPr="00CA6B25">
        <w:rPr>
          <w:rFonts w:ascii="Calibri" w:hAnsi="Calibri" w:cs="Calibri"/>
          <w:color w:val="000000"/>
          <w:sz w:val="22"/>
          <w:szCs w:val="22"/>
          <w:highlight w:val="yellow"/>
        </w:rPr>
        <w:t>TBD</w:t>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897CF" w14:textId="77777777" w:rsidR="00F05B65" w:rsidRDefault="00F05B65" w:rsidP="00424124">
      <w:r>
        <w:separator/>
      </w:r>
    </w:p>
  </w:endnote>
  <w:endnote w:type="continuationSeparator" w:id="0">
    <w:p w14:paraId="1731B38C" w14:textId="77777777" w:rsidR="00F05B65" w:rsidRDefault="00F05B65" w:rsidP="00424124">
      <w:r>
        <w:continuationSeparator/>
      </w:r>
    </w:p>
  </w:endnote>
  <w:endnote w:type="continuationNotice" w:id="1">
    <w:p w14:paraId="6AA9D229" w14:textId="77777777" w:rsidR="00F05B65" w:rsidRDefault="00F05B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SimSun"/>
    <w:charset w:val="86"/>
    <w:family w:val="auto"/>
    <w:pitch w:val="default"/>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DengXian Light">
    <w:altName w:val="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87E74" w14:textId="77777777" w:rsidR="00F05B65" w:rsidRDefault="00F05B65" w:rsidP="00424124">
      <w:r>
        <w:separator/>
      </w:r>
    </w:p>
  </w:footnote>
  <w:footnote w:type="continuationSeparator" w:id="0">
    <w:p w14:paraId="1728A28D" w14:textId="77777777" w:rsidR="00F05B65" w:rsidRDefault="00F05B65" w:rsidP="00424124">
      <w:r>
        <w:continuationSeparator/>
      </w:r>
    </w:p>
  </w:footnote>
  <w:footnote w:type="continuationNotice" w:id="1">
    <w:p w14:paraId="073D0848" w14:textId="77777777" w:rsidR="00F05B65" w:rsidRDefault="00F05B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060AB"/>
    <w:multiLevelType w:val="hybridMultilevel"/>
    <w:tmpl w:val="DDD4A0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9747A"/>
    <w:multiLevelType w:val="multilevel"/>
    <w:tmpl w:val="93DAB54E"/>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Arial" w:hAnsi="Arial" w:cs="Arial" w:hint="default"/>
        <w:b/>
        <w:bCs/>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9"/>
  </w:num>
  <w:num w:numId="5">
    <w:abstractNumId w:val="13"/>
  </w:num>
  <w:num w:numId="6">
    <w:abstractNumId w:val="19"/>
  </w:num>
  <w:num w:numId="7">
    <w:abstractNumId w:val="1"/>
  </w:num>
  <w:num w:numId="8">
    <w:abstractNumId w:val="20"/>
  </w:num>
  <w:num w:numId="9">
    <w:abstractNumId w:val="3"/>
  </w:num>
  <w:num w:numId="10">
    <w:abstractNumId w:val="2"/>
  </w:num>
  <w:num w:numId="11">
    <w:abstractNumId w:val="12"/>
  </w:num>
  <w:num w:numId="12">
    <w:abstractNumId w:val="22"/>
  </w:num>
  <w:num w:numId="13">
    <w:abstractNumId w:val="21"/>
  </w:num>
  <w:num w:numId="14">
    <w:abstractNumId w:val="17"/>
  </w:num>
  <w:num w:numId="15">
    <w:abstractNumId w:val="4"/>
  </w:num>
  <w:num w:numId="16">
    <w:abstractNumId w:val="23"/>
  </w:num>
  <w:num w:numId="17">
    <w:abstractNumId w:val="7"/>
  </w:num>
  <w:num w:numId="18">
    <w:abstractNumId w:val="18"/>
  </w:num>
  <w:num w:numId="19">
    <w:abstractNumId w:val="0"/>
  </w:num>
  <w:num w:numId="20">
    <w:abstractNumId w:val="11"/>
  </w:num>
  <w:num w:numId="21">
    <w:abstractNumId w:val="16"/>
  </w:num>
  <w:num w:numId="22">
    <w:abstractNumId w:val="14"/>
  </w:num>
  <w:num w:numId="23">
    <w:abstractNumId w:val="8"/>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2F5"/>
    <w:rsid w:val="000865E3"/>
    <w:rsid w:val="00086B67"/>
    <w:rsid w:val="00087221"/>
    <w:rsid w:val="000876F7"/>
    <w:rsid w:val="0009083E"/>
    <w:rsid w:val="000916AE"/>
    <w:rsid w:val="000917C5"/>
    <w:rsid w:val="000941D9"/>
    <w:rsid w:val="000942F8"/>
    <w:rsid w:val="000947BA"/>
    <w:rsid w:val="00095DEF"/>
    <w:rsid w:val="00096A5A"/>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CB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3E8B"/>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46D3"/>
    <w:rsid w:val="001D5889"/>
    <w:rsid w:val="001E0229"/>
    <w:rsid w:val="001E05E8"/>
    <w:rsid w:val="001E0CE1"/>
    <w:rsid w:val="001E154E"/>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D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0AB4"/>
    <w:rsid w:val="0036306A"/>
    <w:rsid w:val="00363E35"/>
    <w:rsid w:val="00364DAE"/>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7722F"/>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0B5"/>
    <w:rsid w:val="003C0833"/>
    <w:rsid w:val="003C0E86"/>
    <w:rsid w:val="003C1AEB"/>
    <w:rsid w:val="003C2392"/>
    <w:rsid w:val="003C2BD4"/>
    <w:rsid w:val="003C2E75"/>
    <w:rsid w:val="003C3F61"/>
    <w:rsid w:val="003C4448"/>
    <w:rsid w:val="003C49AC"/>
    <w:rsid w:val="003C4AA5"/>
    <w:rsid w:val="003C4FCF"/>
    <w:rsid w:val="003C74DD"/>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1304"/>
    <w:rsid w:val="003E188D"/>
    <w:rsid w:val="003E1ADA"/>
    <w:rsid w:val="003E35D4"/>
    <w:rsid w:val="003E37FA"/>
    <w:rsid w:val="003E3826"/>
    <w:rsid w:val="003E3C95"/>
    <w:rsid w:val="003E47F9"/>
    <w:rsid w:val="003E483B"/>
    <w:rsid w:val="003E6264"/>
    <w:rsid w:val="003E70AF"/>
    <w:rsid w:val="003E7121"/>
    <w:rsid w:val="003E764E"/>
    <w:rsid w:val="003E76BF"/>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3E1"/>
    <w:rsid w:val="00410CA7"/>
    <w:rsid w:val="004110A4"/>
    <w:rsid w:val="0041140E"/>
    <w:rsid w:val="004118BD"/>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2955"/>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4F7B97"/>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1DFD"/>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7F6"/>
    <w:rsid w:val="00573EF9"/>
    <w:rsid w:val="0057464C"/>
    <w:rsid w:val="00574A72"/>
    <w:rsid w:val="00574D3A"/>
    <w:rsid w:val="0057524A"/>
    <w:rsid w:val="005758E7"/>
    <w:rsid w:val="00575B41"/>
    <w:rsid w:val="00575F96"/>
    <w:rsid w:val="00576183"/>
    <w:rsid w:val="00576449"/>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B74D7"/>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06736"/>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A78B9"/>
    <w:rsid w:val="006B0CA8"/>
    <w:rsid w:val="006B0FD2"/>
    <w:rsid w:val="006B213F"/>
    <w:rsid w:val="006B443B"/>
    <w:rsid w:val="006B4635"/>
    <w:rsid w:val="006B7301"/>
    <w:rsid w:val="006B7661"/>
    <w:rsid w:val="006C0D24"/>
    <w:rsid w:val="006C0E70"/>
    <w:rsid w:val="006C452E"/>
    <w:rsid w:val="006C487C"/>
    <w:rsid w:val="006C6EFA"/>
    <w:rsid w:val="006C7DB7"/>
    <w:rsid w:val="006D0FAE"/>
    <w:rsid w:val="006D1D1B"/>
    <w:rsid w:val="006D472D"/>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544"/>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0A"/>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B6F"/>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5EA5"/>
    <w:rsid w:val="00807A3E"/>
    <w:rsid w:val="00810A73"/>
    <w:rsid w:val="00811A1B"/>
    <w:rsid w:val="00814815"/>
    <w:rsid w:val="00815C9F"/>
    <w:rsid w:val="00816131"/>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9F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CE"/>
    <w:rsid w:val="00852A84"/>
    <w:rsid w:val="00853591"/>
    <w:rsid w:val="008539B9"/>
    <w:rsid w:val="00854FBB"/>
    <w:rsid w:val="008550EC"/>
    <w:rsid w:val="008552AB"/>
    <w:rsid w:val="00856E8A"/>
    <w:rsid w:val="008627AC"/>
    <w:rsid w:val="008646AB"/>
    <w:rsid w:val="008661BA"/>
    <w:rsid w:val="00867074"/>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2DB0"/>
    <w:rsid w:val="008A44D1"/>
    <w:rsid w:val="008A46BC"/>
    <w:rsid w:val="008A629B"/>
    <w:rsid w:val="008B0378"/>
    <w:rsid w:val="008B1683"/>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C66"/>
    <w:rsid w:val="008D7C83"/>
    <w:rsid w:val="008E110D"/>
    <w:rsid w:val="008E258C"/>
    <w:rsid w:val="008E2BDA"/>
    <w:rsid w:val="008E2ED7"/>
    <w:rsid w:val="008E48C2"/>
    <w:rsid w:val="008E51A2"/>
    <w:rsid w:val="008E5938"/>
    <w:rsid w:val="008E5CA7"/>
    <w:rsid w:val="008E6220"/>
    <w:rsid w:val="008E7BDD"/>
    <w:rsid w:val="008E7D11"/>
    <w:rsid w:val="008F19A4"/>
    <w:rsid w:val="008F1E3E"/>
    <w:rsid w:val="008F2160"/>
    <w:rsid w:val="008F43CE"/>
    <w:rsid w:val="008F4934"/>
    <w:rsid w:val="008F538D"/>
    <w:rsid w:val="008F5F3D"/>
    <w:rsid w:val="00900F00"/>
    <w:rsid w:val="009029FC"/>
    <w:rsid w:val="00902C43"/>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3BD0"/>
    <w:rsid w:val="00966A49"/>
    <w:rsid w:val="009676E8"/>
    <w:rsid w:val="00967723"/>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E6BEB"/>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FBE"/>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2FF1"/>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3A63"/>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1C0"/>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35EA"/>
    <w:rsid w:val="00CA4F5E"/>
    <w:rsid w:val="00CA6B25"/>
    <w:rsid w:val="00CA6EA3"/>
    <w:rsid w:val="00CA707C"/>
    <w:rsid w:val="00CA7EC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0DC7"/>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91A"/>
    <w:rsid w:val="00D86CEF"/>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3D2"/>
    <w:rsid w:val="00DD68E5"/>
    <w:rsid w:val="00DD74EF"/>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072F"/>
    <w:rsid w:val="00E9139D"/>
    <w:rsid w:val="00E915BF"/>
    <w:rsid w:val="00E92487"/>
    <w:rsid w:val="00E93625"/>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4F9"/>
    <w:rsid w:val="00EE6981"/>
    <w:rsid w:val="00EE75D2"/>
    <w:rsid w:val="00EE77BD"/>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5B65"/>
    <w:rsid w:val="00F064E5"/>
    <w:rsid w:val="00F07460"/>
    <w:rsid w:val="00F10C43"/>
    <w:rsid w:val="00F10FFC"/>
    <w:rsid w:val="00F114BF"/>
    <w:rsid w:val="00F12C1B"/>
    <w:rsid w:val="00F14A31"/>
    <w:rsid w:val="00F15319"/>
    <w:rsid w:val="00F154D0"/>
    <w:rsid w:val="00F15566"/>
    <w:rsid w:val="00F15B21"/>
    <w:rsid w:val="00F15C63"/>
    <w:rsid w:val="00F22CE3"/>
    <w:rsid w:val="00F236E7"/>
    <w:rsid w:val="00F23A08"/>
    <w:rsid w:val="00F23B93"/>
    <w:rsid w:val="00F251D9"/>
    <w:rsid w:val="00F261D6"/>
    <w:rsid w:val="00F2694E"/>
    <w:rsid w:val="00F26D45"/>
    <w:rsid w:val="00F31A7E"/>
    <w:rsid w:val="00F31F2B"/>
    <w:rsid w:val="00F33570"/>
    <w:rsid w:val="00F33DD9"/>
    <w:rsid w:val="00F342AD"/>
    <w:rsid w:val="00F349AF"/>
    <w:rsid w:val="00F35911"/>
    <w:rsid w:val="00F36A15"/>
    <w:rsid w:val="00F36B48"/>
    <w:rsid w:val="00F36BE3"/>
    <w:rsid w:val="00F37A1B"/>
    <w:rsid w:val="00F4127C"/>
    <w:rsid w:val="00F41C32"/>
    <w:rsid w:val="00F42D43"/>
    <w:rsid w:val="00F44C0E"/>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40D1"/>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647BB"/>
  <w15:docId w15:val="{F4FD724B-F91C-4420-A77D-60161132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D7C36"/>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a0"/>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rPr>
  </w:style>
  <w:style w:type="character" w:customStyle="1" w:styleId="Charc">
    <w:name w:val="날짜 Char"/>
    <w:basedOn w:val="a1"/>
    <w:link w:val="aff"/>
    <w:rsid w:val="00984F1E"/>
    <w:rPr>
      <w:rFonts w:ascii="Times" w:eastAsia="바탕"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0"/>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a">
    <w:name w:val="List Bullet"/>
    <w:basedOn w:val="a0"/>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17"/>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rPr>
  </w:style>
  <w:style w:type="character" w:customStyle="1" w:styleId="Chard">
    <w:name w:val="글자만 Char"/>
    <w:basedOn w:val="a1"/>
    <w:link w:val="aff1"/>
    <w:uiPriority w:val="99"/>
    <w:rsid w:val="00984F1E"/>
    <w:rPr>
      <w:rFonts w:ascii="Arial" w:eastAsia="MS Gothic" w:hAnsi="Arial"/>
      <w:color w:val="000000"/>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5"/>
      </w:numPr>
    </w:pPr>
  </w:style>
  <w:style w:type="numbering" w:customStyle="1" w:styleId="StyleBulletedSymbolsymbolLeft025Hanging0251">
    <w:name w:val="Style Bulleted Symbol (symbol) Left:  0.25&quot; Hanging:  0.25&quot;1"/>
    <w:basedOn w:val="a3"/>
    <w:rsid w:val="00984F1E"/>
    <w:pPr>
      <w:numPr>
        <w:numId w:val="16"/>
      </w:numPr>
    </w:pPr>
  </w:style>
  <w:style w:type="numbering" w:customStyle="1" w:styleId="StyleBulletedSymbolsymbolLeft025Hanging0252">
    <w:name w:val="Style Bulleted Symbol (symbol) Left:  0.25&quot; Hanging:  0.25&quot;2"/>
    <w:basedOn w:val="a3"/>
    <w:rsid w:val="00984F1E"/>
    <w:pPr>
      <w:numPr>
        <w:numId w:val="18"/>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a0"/>
    <w:next w:val="Doc-text2"/>
    <w:qFormat/>
    <w:rsid w:val="007C47E8"/>
    <w:pPr>
      <w:numPr>
        <w:numId w:val="21"/>
      </w:numPr>
      <w:spacing w:before="60"/>
    </w:pPr>
    <w:rPr>
      <w:rFonts w:ascii="Arial" w:eastAsia="MS Mincho" w:hAnsi="Arial"/>
      <w:b/>
      <w:sz w:val="20"/>
      <w:lang w:val="en-GB" w:eastAsia="en-GB"/>
    </w:rPr>
  </w:style>
  <w:style w:type="paragraph" w:customStyle="1" w:styleId="EW">
    <w:name w:val="EW"/>
    <w:basedOn w:val="a0"/>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FC0DC-BD1E-4A93-BCF0-515E84FD8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7519</Characters>
  <Application>Microsoft Office Word</Application>
  <DocSecurity>0</DocSecurity>
  <Lines>62</Lines>
  <Paragraphs>17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박해욱/책임연구원/미래기술센터 C&amp;M표준(연)5G무선통신표준Task(haewook.park@lge.com)</cp:lastModifiedBy>
  <cp:revision>2</cp:revision>
  <cp:lastPrinted>2016-02-23T10:51:00Z</cp:lastPrinted>
  <dcterms:created xsi:type="dcterms:W3CDTF">2020-05-26T09:33:00Z</dcterms:created>
  <dcterms:modified xsi:type="dcterms:W3CDTF">2020-05-26T09:33:00Z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(3)BeoofSDyNxgC7nggj8TBcIW+OLjWocZ0Zo5B7cea+9+Hym3++QZhvfVRaAOoO04A1BwKy3w7
p9vgMNdSmFhFbNe55hUjMYgGM7ut3YndBkqU7vLxV0hmRLuQHxIYX2Z4ZJKqp5ElNvbk9vNS
FCsaRUP7jc7EqWyV4V8ngOiuoOmE1mAy8WT0UjEh7m1B7cqd5cG0MLuUDiDtbWKLhmFjfU7a
eNkV5qHhV/bptKDZtC</vt:lpwstr>
  </property>
  <property fmtid="{D5CDD505-2E9C-101B-9397-08002B2CF9AE}" pid="4" name="_2015_ms_pID_7253431">
    <vt:lpwstr>HpMqdkXrsMdH+Ij94G5IPGtmzsQn9G/uiv5sbgHXCTbMgD7NR7czAQ
76ckWDR+/fcskZ1gepqSTrC2nao/ZPh9SdPfVrNnvjtyxvUyLXswBh1LZI4gweO2Pc9hoLVJ
DKOBCkR9lM8VlHbnxrwljY3WLQK2ERRzKaZJ6Ix7y7TceYKC8sXQgZwxr140i82Sq+ZRWfE1
u7bk8NFFyabHSYK9qe4jolHQ9YoF6SAGVitp</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JQ==</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