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a7"/>
        <w:jc w:val="left"/>
        <w:rPr>
          <w:sz w:val="16"/>
          <w:szCs w:val="16"/>
        </w:rPr>
      </w:pPr>
    </w:p>
    <w:p w14:paraId="21595F3B" w14:textId="77777777" w:rsidR="00707D20" w:rsidRPr="00172743" w:rsidRDefault="00424124" w:rsidP="00326FF6">
      <w:pPr>
        <w:pStyle w:val="1"/>
      </w:pPr>
      <w:r w:rsidRPr="00172743">
        <w:t>Introduction</w:t>
      </w:r>
    </w:p>
    <w:p w14:paraId="7CA70CB5" w14:textId="77777777" w:rsidR="0051424F" w:rsidRDefault="003327F3" w:rsidP="003327F3">
      <w:pPr>
        <w:pStyle w:val="af2"/>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맑은 고딕" w:hAnsi="Calibri" w:cs="바탕"/>
          <w:lang w:val="en-GB" w:eastAsia="ko-KR"/>
        </w:rPr>
      </w:pPr>
    </w:p>
    <w:p w14:paraId="13B3DFB8" w14:textId="77777777" w:rsidR="003327F3" w:rsidRPr="00172743" w:rsidRDefault="00902C43" w:rsidP="003327F3">
      <w:pPr>
        <w:pStyle w:val="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ab"/>
        <w:rPr>
          <w:rFonts w:cs="Arial"/>
        </w:rPr>
      </w:pPr>
      <w:r>
        <w:rPr>
          <w:rFonts w:cs="Arial"/>
        </w:rPr>
        <w:t xml:space="preserve">     RAN1#99 agreement:</w:t>
      </w:r>
    </w:p>
    <w:p w14:paraId="477F8FB5" w14:textId="77777777" w:rsidR="007C47E8" w:rsidRPr="001A151A" w:rsidRDefault="007C47E8" w:rsidP="007C47E8">
      <w:pPr>
        <w:rPr>
          <w:rFonts w:ascii="Times" w:eastAsia="바탕" w:hAnsi="Times"/>
        </w:rPr>
      </w:pPr>
      <w:r w:rsidRPr="004B2424">
        <w:rPr>
          <w:rFonts w:ascii="Times" w:eastAsia="바탕" w:hAnsi="Times"/>
        </w:rPr>
        <w:t xml:space="preserve">    </w:t>
      </w:r>
      <w:r>
        <w:rPr>
          <w:rFonts w:ascii="Times" w:eastAsia="바탕" w:hAnsi="Times"/>
          <w:highlight w:val="green"/>
        </w:rPr>
        <w:t xml:space="preserve"> </w:t>
      </w:r>
      <w:r w:rsidRPr="001A151A">
        <w:rPr>
          <w:rFonts w:ascii="Times" w:eastAsia="바탕" w:hAnsi="Times"/>
          <w:highlight w:val="green"/>
        </w:rPr>
        <w:t>Agreements</w:t>
      </w:r>
      <w:r w:rsidRPr="001A151A">
        <w:rPr>
          <w:rFonts w:ascii="Times" w:eastAsia="바탕" w:hAnsi="Times"/>
        </w:rPr>
        <w:t>:</w:t>
      </w:r>
    </w:p>
    <w:p w14:paraId="03B8E10F" w14:textId="77777777" w:rsidR="007C47E8" w:rsidRPr="001A151A" w:rsidRDefault="007C47E8" w:rsidP="007C47E8">
      <w:pPr>
        <w:ind w:left="360"/>
        <w:rPr>
          <w:rFonts w:ascii="Times" w:eastAsia="바탕" w:hAnsi="Times"/>
          <w:bCs/>
        </w:rPr>
      </w:pPr>
      <w:r w:rsidRPr="001A151A">
        <w:rPr>
          <w:rFonts w:ascii="Times" w:eastAsia="바탕" w:hAnsi="Times"/>
          <w:bCs/>
          <w:i/>
          <w:iCs/>
        </w:rPr>
        <w:t xml:space="preserve">Desired Guard </w:t>
      </w:r>
      <w:r w:rsidRPr="001A151A">
        <w:rPr>
          <w:rFonts w:ascii="Times" w:eastAsia="바탕" w:hAnsi="Times"/>
          <w:bCs/>
        </w:rPr>
        <w:t>Symbols and</w:t>
      </w:r>
      <w:r w:rsidRPr="001A151A">
        <w:rPr>
          <w:rFonts w:ascii="Times" w:eastAsia="바탕" w:hAnsi="Times"/>
          <w:bCs/>
          <w:i/>
          <w:iCs/>
        </w:rPr>
        <w:t xml:space="preserve"> Provided Guard Symbols </w:t>
      </w:r>
      <w:r w:rsidRPr="001A151A">
        <w:rPr>
          <w:rFonts w:ascii="Times" w:eastAsia="바탕" w:hAnsi="Times"/>
          <w:bCs/>
        </w:rPr>
        <w:t>are provided per cell and use 3 bits for each of the 8 transitions to indicate the number of guard symbols.</w:t>
      </w:r>
    </w:p>
    <w:p w14:paraId="669EA8CE" w14:textId="77777777" w:rsidR="007C47E8" w:rsidRPr="001A151A" w:rsidRDefault="007C47E8" w:rsidP="008F19A4">
      <w:pPr>
        <w:numPr>
          <w:ilvl w:val="0"/>
          <w:numId w:val="20"/>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8F19A4">
      <w:pPr>
        <w:numPr>
          <w:ilvl w:val="0"/>
          <w:numId w:val="20"/>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ab"/>
        <w:rPr>
          <w:rFonts w:cs="Arial"/>
        </w:rPr>
      </w:pPr>
    </w:p>
    <w:p w14:paraId="33BD101E" w14:textId="77777777" w:rsidR="007C47E8" w:rsidRDefault="007C47E8" w:rsidP="007C47E8">
      <w:pPr>
        <w:pStyle w:val="ab"/>
        <w:rPr>
          <w:rFonts w:cs="Arial"/>
        </w:rPr>
      </w:pPr>
    </w:p>
    <w:p w14:paraId="77201DDF" w14:textId="77777777"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Given this i</w:t>
      </w:r>
      <w:r w:rsidR="00816131">
        <w:rPr>
          <w:rFonts w:ascii="Calibri" w:eastAsia="Calibri" w:hAnsi="Calibri"/>
          <w:sz w:val="22"/>
          <w:szCs w:val="22"/>
        </w:rPr>
        <w:t>potential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ZTE, Sanechips</w:t>
            </w:r>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#98bis]</w:t>
            </w:r>
            <w:r w:rsidRPr="002F3EFE">
              <w:rPr>
                <w:rFonts w:eastAsia="Times New Roman" w:cs="Times New Roman"/>
                <w:i/>
                <w:sz w:val="18"/>
                <w:szCs w:val="18"/>
                <w:lang w:val="en-US" w:eastAsia="en-US"/>
              </w:rPr>
              <w:t>The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8F19A4">
            <w:pPr>
              <w:pStyle w:val="maintext"/>
              <w:numPr>
                <w:ilvl w:val="0"/>
                <w:numId w:val="22"/>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Note: This agreement does not require any additional specification impact in RAN1 in Rel-16, i.e. in Rel-16 the behaviour of the IAB node is only defined for TDM cases. The behaviour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r w:rsidRPr="00F22CE3">
              <w:rPr>
                <w:rFonts w:ascii="Calibri" w:eastAsia="Calibri" w:hAnsi="Calibri"/>
                <w:sz w:val="22"/>
                <w:szCs w:val="22"/>
              </w:rPr>
              <w:t>same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r w:rsidR="003E3C95" w:rsidRPr="008040F5" w14:paraId="0E89CD81" w14:textId="77777777" w:rsidTr="006D78C8">
        <w:tc>
          <w:tcPr>
            <w:tcW w:w="1696" w:type="dxa"/>
          </w:tcPr>
          <w:p w14:paraId="5D5036D1" w14:textId="0D47E373"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C</w:t>
            </w:r>
            <w:r>
              <w:rPr>
                <w:rFonts w:ascii="Calibri" w:eastAsiaTheme="minorEastAsia" w:hAnsi="Calibri"/>
                <w:b/>
                <w:bCs/>
                <w:sz w:val="22"/>
                <w:szCs w:val="22"/>
                <w:lang w:eastAsia="zh-CN"/>
              </w:rPr>
              <w:t>MCC</w:t>
            </w:r>
          </w:p>
        </w:tc>
        <w:tc>
          <w:tcPr>
            <w:tcW w:w="2265" w:type="dxa"/>
          </w:tcPr>
          <w:p w14:paraId="6953CCAF" w14:textId="7506C98A"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E050D5" w14:textId="71FF1BD8" w:rsidR="003E3C95" w:rsidRPr="004103E1" w:rsidRDefault="004103E1" w:rsidP="006C11EF">
            <w:pPr>
              <w:rPr>
                <w:rFonts w:ascii="Calibri" w:eastAsiaTheme="minorEastAsia" w:hAnsi="Calibri"/>
                <w:sz w:val="22"/>
                <w:szCs w:val="22"/>
                <w:lang w:eastAsia="zh-CN"/>
              </w:rPr>
            </w:pPr>
            <w:r>
              <w:rPr>
                <w:rFonts w:ascii="Calibri" w:eastAsiaTheme="minorEastAsia" w:hAnsi="Calibri"/>
                <w:sz w:val="22"/>
                <w:szCs w:val="22"/>
                <w:lang w:eastAsia="zh-CN"/>
              </w:rPr>
              <w:t>Alt 1 no doubt works, and it aligns with the original RAN1 agreements.</w:t>
            </w:r>
          </w:p>
        </w:tc>
      </w:tr>
      <w:tr w:rsidR="007C340A" w:rsidRPr="008040F5" w14:paraId="3C19F955" w14:textId="77777777" w:rsidTr="006D78C8">
        <w:tc>
          <w:tcPr>
            <w:tcW w:w="1696" w:type="dxa"/>
          </w:tcPr>
          <w:p w14:paraId="71AAFC59" w14:textId="419D00E0" w:rsidR="007C340A" w:rsidRDefault="007C340A" w:rsidP="007C340A">
            <w:pPr>
              <w:rPr>
                <w:rFonts w:ascii="Calibri" w:eastAsiaTheme="minorEastAsia" w:hAnsi="Calibri"/>
                <w:b/>
                <w:bCs/>
                <w:sz w:val="22"/>
                <w:szCs w:val="22"/>
                <w:lang w:eastAsia="zh-CN"/>
              </w:rPr>
            </w:pPr>
            <w:r w:rsidRPr="0079133E">
              <w:rPr>
                <w:rFonts w:ascii="Calibri" w:eastAsia="Calibri" w:hAnsi="Calibri"/>
                <w:bCs/>
                <w:sz w:val="22"/>
                <w:szCs w:val="22"/>
              </w:rPr>
              <w:t>NTT DOCOMO</w:t>
            </w:r>
          </w:p>
        </w:tc>
        <w:tc>
          <w:tcPr>
            <w:tcW w:w="2265" w:type="dxa"/>
          </w:tcPr>
          <w:p w14:paraId="479FE29C" w14:textId="3F37625F" w:rsidR="007C340A" w:rsidRDefault="007C340A" w:rsidP="007C340A">
            <w:pPr>
              <w:rPr>
                <w:rFonts w:ascii="Calibri" w:eastAsiaTheme="minorEastAsia" w:hAnsi="Calibri"/>
                <w:b/>
                <w:bCs/>
                <w:sz w:val="22"/>
                <w:szCs w:val="22"/>
                <w:lang w:eastAsia="zh-CN"/>
              </w:rPr>
            </w:pPr>
            <w:r w:rsidRPr="0079133E">
              <w:rPr>
                <w:rFonts w:ascii="Calibri" w:eastAsia="Yu Mincho" w:hAnsi="Calibri" w:hint="eastAsia"/>
                <w:bCs/>
                <w:sz w:val="22"/>
                <w:szCs w:val="22"/>
                <w:lang w:eastAsia="ja-JP"/>
              </w:rPr>
              <w:t>Yes</w:t>
            </w:r>
          </w:p>
        </w:tc>
        <w:tc>
          <w:tcPr>
            <w:tcW w:w="6109" w:type="dxa"/>
          </w:tcPr>
          <w:p w14:paraId="5BC55350" w14:textId="4AC5BDEA" w:rsidR="007C340A" w:rsidRDefault="007C340A" w:rsidP="007C340A">
            <w:pPr>
              <w:rPr>
                <w:rFonts w:ascii="Calibri" w:eastAsiaTheme="minorEastAsia" w:hAnsi="Calibri"/>
                <w:sz w:val="22"/>
                <w:szCs w:val="22"/>
                <w:lang w:eastAsia="zh-CN"/>
              </w:rPr>
            </w:pPr>
            <w:r>
              <w:rPr>
                <w:rFonts w:ascii="Calibri" w:eastAsia="Yu Mincho" w:hAnsi="Calibri"/>
                <w:sz w:val="22"/>
                <w:szCs w:val="22"/>
                <w:lang w:eastAsia="ja-JP"/>
              </w:rPr>
              <w:t>RAN1 may have the consensus that</w:t>
            </w:r>
            <w:r>
              <w:rPr>
                <w:rFonts w:ascii="Calibri" w:eastAsia="Yu Mincho" w:hAnsi="Calibri" w:hint="eastAsia"/>
                <w:sz w:val="22"/>
                <w:szCs w:val="22"/>
                <w:lang w:eastAsia="ja-JP"/>
              </w:rPr>
              <w:t xml:space="preserve"> </w:t>
            </w:r>
            <w:r>
              <w:rPr>
                <w:rFonts w:ascii="Calibri" w:eastAsia="Yu Mincho" w:hAnsi="Calibri"/>
                <w:sz w:val="22"/>
                <w:szCs w:val="22"/>
                <w:lang w:eastAsia="ja-JP"/>
              </w:rPr>
              <w:t>the answer to RAN2 question is “specific cell”, so we are also fine to answer this point only as ZTE mentioned. It seems that the discussion between Alt.1 and Alt.2 seems an implementation/behavior for a parent node, since a parent node can select the gap based on Alt.2 (specific MT-DU pair) or not, and it may indicate the gap for the all DUs (as in Alt.1) and the gap may be necessary for only specific DU (e.g. the DU resource is H).</w:t>
            </w:r>
          </w:p>
        </w:tc>
      </w:tr>
      <w:tr w:rsidR="00A20FBE" w:rsidRPr="008040F5" w14:paraId="2C428BBF" w14:textId="77777777" w:rsidTr="006D78C8">
        <w:tc>
          <w:tcPr>
            <w:tcW w:w="1696" w:type="dxa"/>
          </w:tcPr>
          <w:p w14:paraId="30FDF421" w14:textId="46A06742" w:rsidR="00A20FBE" w:rsidRPr="00A20FBE" w:rsidRDefault="00A20FBE" w:rsidP="007C340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198B6544" w14:textId="36498263" w:rsidR="00A20FBE" w:rsidRPr="0079133E" w:rsidRDefault="00A20FBE" w:rsidP="007C340A">
            <w:pPr>
              <w:rPr>
                <w:rFonts w:ascii="Calibri" w:eastAsia="Yu Mincho" w:hAnsi="Calibri"/>
                <w:bCs/>
                <w:sz w:val="22"/>
                <w:szCs w:val="22"/>
                <w:lang w:eastAsia="ja-JP"/>
              </w:rPr>
            </w:pPr>
            <w:r w:rsidRPr="00A20FBE">
              <w:rPr>
                <w:rFonts w:ascii="Calibri" w:eastAsiaTheme="minorEastAsia" w:hAnsi="Calibri"/>
                <w:b/>
                <w:bCs/>
                <w:sz w:val="22"/>
                <w:szCs w:val="22"/>
                <w:lang w:eastAsia="zh-CN"/>
              </w:rPr>
              <w:t>Y</w:t>
            </w:r>
            <w:r w:rsidRPr="00A20FBE">
              <w:rPr>
                <w:rFonts w:ascii="Calibri" w:eastAsiaTheme="minorEastAsia" w:hAnsi="Calibri" w:hint="eastAsia"/>
                <w:b/>
                <w:bCs/>
                <w:sz w:val="22"/>
                <w:szCs w:val="22"/>
                <w:lang w:eastAsia="zh-CN"/>
              </w:rPr>
              <w:t>es</w:t>
            </w:r>
            <w:r w:rsidR="002D6D3C">
              <w:rPr>
                <w:rFonts w:ascii="Calibri" w:eastAsiaTheme="minorEastAsia" w:hAnsi="Calibri"/>
                <w:b/>
                <w:bCs/>
                <w:sz w:val="22"/>
                <w:szCs w:val="22"/>
                <w:lang w:eastAsia="zh-CN"/>
              </w:rPr>
              <w:t xml:space="preserve"> </w:t>
            </w:r>
          </w:p>
        </w:tc>
        <w:tc>
          <w:tcPr>
            <w:tcW w:w="6109" w:type="dxa"/>
          </w:tcPr>
          <w:p w14:paraId="6754083F" w14:textId="33501AA9" w:rsidR="00A20FBE" w:rsidRDefault="00173E8B" w:rsidP="007C340A">
            <w:pPr>
              <w:rPr>
                <w:rFonts w:ascii="Calibri" w:eastAsia="Yu Mincho" w:hAnsi="Calibri"/>
                <w:sz w:val="22"/>
                <w:szCs w:val="22"/>
                <w:lang w:eastAsia="ja-JP"/>
              </w:rPr>
            </w:pPr>
            <w:r>
              <w:rPr>
                <w:rFonts w:ascii="Calibri" w:eastAsia="Yu Mincho" w:hAnsi="Calibri"/>
                <w:sz w:val="22"/>
                <w:szCs w:val="22"/>
                <w:lang w:eastAsia="ja-JP"/>
              </w:rPr>
              <w:t>W</w:t>
            </w:r>
            <w:r w:rsidR="002D6D3C" w:rsidRPr="002D6D3C">
              <w:rPr>
                <w:rFonts w:ascii="Calibri" w:eastAsia="Yu Mincho" w:hAnsi="Calibri"/>
                <w:sz w:val="22"/>
                <w:szCs w:val="22"/>
                <w:lang w:eastAsia="ja-JP"/>
              </w:rPr>
              <w:t xml:space="preserve">e </w:t>
            </w:r>
            <w:r w:rsidR="002D6D3C">
              <w:rPr>
                <w:rFonts w:ascii="Calibri" w:eastAsia="Yu Mincho" w:hAnsi="Calibri"/>
                <w:sz w:val="22"/>
                <w:szCs w:val="22"/>
                <w:lang w:eastAsia="ja-JP"/>
              </w:rPr>
              <w:t xml:space="preserve">are fine with </w:t>
            </w:r>
            <w:r w:rsidR="0037722F">
              <w:rPr>
                <w:rFonts w:ascii="Calibri" w:eastAsia="Yu Mincho" w:hAnsi="Calibri"/>
                <w:sz w:val="22"/>
                <w:szCs w:val="22"/>
                <w:lang w:eastAsia="ja-JP"/>
              </w:rPr>
              <w:t>proposed</w:t>
            </w:r>
            <w:r w:rsidR="002D6D3C">
              <w:rPr>
                <w:rFonts w:ascii="Calibri" w:eastAsia="Yu Mincho" w:hAnsi="Calibri"/>
                <w:sz w:val="22"/>
                <w:szCs w:val="22"/>
                <w:lang w:eastAsia="ja-JP"/>
              </w:rPr>
              <w:t xml:space="preserve"> </w:t>
            </w:r>
            <w:r>
              <w:rPr>
                <w:rFonts w:ascii="Calibri" w:eastAsia="Yu Mincho" w:hAnsi="Calibri"/>
                <w:sz w:val="22"/>
                <w:szCs w:val="22"/>
                <w:lang w:eastAsia="ja-JP"/>
              </w:rPr>
              <w:t>response</w:t>
            </w:r>
            <w:r w:rsidR="002D6D3C">
              <w:rPr>
                <w:rFonts w:ascii="Calibri" w:eastAsia="Yu Mincho" w:hAnsi="Calibri"/>
                <w:sz w:val="22"/>
                <w:szCs w:val="22"/>
                <w:lang w:eastAsia="ja-JP"/>
              </w:rPr>
              <w:t xml:space="preserve"> </w:t>
            </w:r>
            <w:r>
              <w:rPr>
                <w:rFonts w:ascii="Calibri" w:eastAsia="Yu Mincho" w:hAnsi="Calibri"/>
                <w:sz w:val="22"/>
                <w:szCs w:val="22"/>
                <w:lang w:eastAsia="ja-JP"/>
              </w:rPr>
              <w:t xml:space="preserve">to RAN2 </w:t>
            </w:r>
            <w:r w:rsidR="002D6D3C">
              <w:rPr>
                <w:rFonts w:ascii="Calibri" w:eastAsia="Yu Mincho" w:hAnsi="Calibri"/>
                <w:sz w:val="22"/>
                <w:szCs w:val="22"/>
                <w:lang w:eastAsia="ja-JP"/>
              </w:rPr>
              <w:t xml:space="preserve">from ZTE and Nokia. </w:t>
            </w:r>
          </w:p>
          <w:p w14:paraId="1DCD41CA" w14:textId="77777777" w:rsidR="00173E8B" w:rsidRDefault="00173E8B" w:rsidP="007C340A">
            <w:pPr>
              <w:rPr>
                <w:rFonts w:ascii="Calibri" w:eastAsia="Yu Mincho" w:hAnsi="Calibri"/>
                <w:sz w:val="22"/>
                <w:szCs w:val="22"/>
                <w:lang w:eastAsia="ja-JP"/>
              </w:rPr>
            </w:pPr>
          </w:p>
          <w:p w14:paraId="25AF6063" w14:textId="62A43771" w:rsidR="0037722F" w:rsidRDefault="0037722F" w:rsidP="007C340A">
            <w:pPr>
              <w:rPr>
                <w:rFonts w:ascii="Calibri" w:eastAsia="Yu Mincho" w:hAnsi="Calibri"/>
                <w:sz w:val="22"/>
                <w:szCs w:val="22"/>
                <w:lang w:eastAsia="ja-JP"/>
              </w:rPr>
            </w:pPr>
            <w:r>
              <w:rPr>
                <w:rFonts w:ascii="Calibri" w:eastAsia="Yu Mincho" w:hAnsi="Calibri"/>
                <w:sz w:val="22"/>
                <w:szCs w:val="22"/>
                <w:lang w:eastAsia="ja-JP"/>
              </w:rPr>
              <w:t>From RAN1 point of view</w:t>
            </w:r>
            <w:r w:rsidR="00C201C0">
              <w:rPr>
                <w:rFonts w:ascii="Calibri" w:eastAsia="Yu Mincho" w:hAnsi="Calibri"/>
                <w:sz w:val="22"/>
                <w:szCs w:val="22"/>
                <w:lang w:eastAsia="ja-JP"/>
              </w:rPr>
              <w:t>, we could check whether the following can be agreed</w:t>
            </w:r>
          </w:p>
          <w:p w14:paraId="0F112A76" w14:textId="3A00FC57" w:rsidR="00C201C0" w:rsidRPr="00C201C0" w:rsidRDefault="00C201C0" w:rsidP="008F19A4">
            <w:pPr>
              <w:pStyle w:val="a8"/>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Desired Guard Symbols</w:t>
            </w:r>
            <w:r w:rsidRPr="00C201C0">
              <w:rPr>
                <w:rFonts w:ascii="Calibri" w:eastAsia="Calibri" w:hAnsi="Calibri"/>
                <w:b/>
                <w:bCs/>
                <w:sz w:val="22"/>
                <w:szCs w:val="22"/>
              </w:rPr>
              <w:t xml:space="preserve"> is </w:t>
            </w:r>
            <w:r w:rsidR="00606736" w:rsidRPr="00C201C0">
              <w:rPr>
                <w:rFonts w:ascii="Calibri" w:eastAsia="Calibri" w:hAnsi="Calibri"/>
                <w:b/>
                <w:bCs/>
                <w:sz w:val="22"/>
                <w:szCs w:val="22"/>
              </w:rPr>
              <w:t xml:space="preserve">provided </w:t>
            </w:r>
            <w:r w:rsidRPr="00C201C0">
              <w:rPr>
                <w:rFonts w:ascii="Calibri" w:eastAsia="Calibri" w:hAnsi="Calibri"/>
                <w:b/>
                <w:bCs/>
                <w:sz w:val="22"/>
                <w:szCs w:val="22"/>
              </w:rPr>
              <w:t>for a specific (MT cell, DU cell) pair within an IAB-node</w:t>
            </w:r>
          </w:p>
          <w:p w14:paraId="13B89BED" w14:textId="1549B8A4" w:rsidR="00CA35EA" w:rsidRPr="00CA35EA" w:rsidRDefault="00C201C0" w:rsidP="00CA35EA">
            <w:pPr>
              <w:pStyle w:val="a8"/>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Provided Guard Symbols</w:t>
            </w:r>
            <w:r w:rsidRPr="00C201C0">
              <w:rPr>
                <w:rFonts w:ascii="Calibri" w:eastAsia="Calibri" w:hAnsi="Calibri"/>
                <w:b/>
                <w:bCs/>
                <w:sz w:val="22"/>
                <w:szCs w:val="22"/>
              </w:rPr>
              <w:t xml:space="preserve"> is</w:t>
            </w:r>
            <w:r w:rsidR="0037722F" w:rsidRPr="00C201C0">
              <w:rPr>
                <w:rFonts w:ascii="Calibri" w:eastAsia="Calibri" w:hAnsi="Calibri"/>
                <w:b/>
                <w:bCs/>
                <w:sz w:val="22"/>
                <w:szCs w:val="22"/>
              </w:rPr>
              <w:t xml:space="preserve"> </w:t>
            </w:r>
            <w:r w:rsidRPr="00C201C0">
              <w:rPr>
                <w:rFonts w:ascii="Calibri" w:eastAsia="Calibri" w:hAnsi="Calibri"/>
                <w:b/>
                <w:bCs/>
                <w:sz w:val="22"/>
                <w:szCs w:val="22"/>
              </w:rPr>
              <w:t>provided</w:t>
            </w:r>
            <w:r w:rsidR="0037722F" w:rsidRPr="00C201C0">
              <w:rPr>
                <w:rFonts w:ascii="Calibri" w:eastAsia="Calibri" w:hAnsi="Calibri"/>
                <w:b/>
                <w:bCs/>
                <w:sz w:val="22"/>
                <w:szCs w:val="22"/>
              </w:rPr>
              <w:t xml:space="preserve"> </w:t>
            </w:r>
            <w:r w:rsidRPr="00C201C0">
              <w:rPr>
                <w:rFonts w:ascii="Calibri" w:eastAsia="Calibri" w:hAnsi="Calibri"/>
                <w:b/>
                <w:bCs/>
                <w:sz w:val="22"/>
                <w:szCs w:val="22"/>
              </w:rPr>
              <w:t xml:space="preserve">for a specific MT cell </w:t>
            </w:r>
          </w:p>
        </w:tc>
      </w:tr>
      <w:tr w:rsidR="006A78B9" w:rsidRPr="008040F5" w14:paraId="326A99C7" w14:textId="77777777" w:rsidTr="006D78C8">
        <w:tc>
          <w:tcPr>
            <w:tcW w:w="1696" w:type="dxa"/>
          </w:tcPr>
          <w:p w14:paraId="1C8913C0" w14:textId="7695484E" w:rsidR="006A78B9" w:rsidRPr="006A78B9" w:rsidRDefault="006A78B9" w:rsidP="007C340A">
            <w:pPr>
              <w:rPr>
                <w:rFonts w:ascii="Calibri" w:eastAsia="Yu Mincho" w:hAnsi="Calibri"/>
                <w:sz w:val="22"/>
                <w:szCs w:val="22"/>
                <w:lang w:eastAsia="ja-JP"/>
              </w:rPr>
            </w:pPr>
            <w:r w:rsidRPr="006A78B9">
              <w:rPr>
                <w:rFonts w:ascii="Calibri" w:eastAsia="Yu Mincho" w:hAnsi="Calibri"/>
                <w:sz w:val="22"/>
                <w:szCs w:val="22"/>
                <w:lang w:eastAsia="ja-JP"/>
              </w:rPr>
              <w:t>V</w:t>
            </w:r>
            <w:r w:rsidRPr="006A78B9">
              <w:rPr>
                <w:rFonts w:ascii="Calibri" w:eastAsia="Yu Mincho" w:hAnsi="Calibri" w:hint="eastAsia"/>
                <w:sz w:val="22"/>
                <w:szCs w:val="22"/>
                <w:lang w:eastAsia="ja-JP"/>
              </w:rPr>
              <w:t>ivo</w:t>
            </w:r>
          </w:p>
        </w:tc>
        <w:tc>
          <w:tcPr>
            <w:tcW w:w="2265" w:type="dxa"/>
          </w:tcPr>
          <w:p w14:paraId="51C76625" w14:textId="26D35517" w:rsidR="006A78B9" w:rsidRPr="006A78B9" w:rsidRDefault="006A78B9" w:rsidP="007C340A">
            <w:pPr>
              <w:rPr>
                <w:rFonts w:ascii="Calibri" w:eastAsia="Yu Mincho" w:hAnsi="Calibri"/>
                <w:sz w:val="22"/>
                <w:szCs w:val="22"/>
                <w:lang w:eastAsia="ja-JP"/>
              </w:rPr>
            </w:pPr>
            <w:r w:rsidRPr="006A78B9">
              <w:rPr>
                <w:rFonts w:ascii="Calibri" w:eastAsia="Yu Mincho" w:hAnsi="Calibri" w:hint="eastAsia"/>
                <w:sz w:val="22"/>
                <w:szCs w:val="22"/>
                <w:lang w:eastAsia="ja-JP"/>
              </w:rPr>
              <w:t>Yes</w:t>
            </w:r>
          </w:p>
        </w:tc>
        <w:tc>
          <w:tcPr>
            <w:tcW w:w="6109" w:type="dxa"/>
          </w:tcPr>
          <w:p w14:paraId="69A67886" w14:textId="23D92BD1" w:rsidR="006A78B9" w:rsidRDefault="006A78B9" w:rsidP="006A78B9">
            <w:pPr>
              <w:rPr>
                <w:rFonts w:ascii="Calibri" w:eastAsia="Yu Mincho" w:hAnsi="Calibri"/>
                <w:sz w:val="22"/>
                <w:szCs w:val="22"/>
                <w:lang w:eastAsia="ja-JP"/>
              </w:rPr>
            </w:pPr>
            <w:r>
              <w:rPr>
                <w:rFonts w:ascii="Calibri" w:eastAsia="Yu Mincho" w:hAnsi="Calibri"/>
                <w:sz w:val="22"/>
                <w:szCs w:val="22"/>
                <w:lang w:eastAsia="ja-JP"/>
              </w:rPr>
              <w:t xml:space="preserve">In our understanding, both alternative can works. </w:t>
            </w:r>
            <w:r w:rsidRPr="006A78B9">
              <w:rPr>
                <w:rFonts w:ascii="Calibri" w:eastAsia="Yu Mincho" w:hAnsi="Calibri"/>
                <w:sz w:val="22"/>
                <w:szCs w:val="22"/>
                <w:lang w:eastAsia="ja-JP"/>
              </w:rPr>
              <w:t>Alt. 2 is the one which matches the original intention, however, we can accept a simple solution which does not scarify too much performance, i.e., Alt. 1-like</w:t>
            </w:r>
          </w:p>
        </w:tc>
      </w:tr>
      <w:tr w:rsidR="00AA2FF1" w:rsidRPr="008040F5" w14:paraId="08E448CE" w14:textId="77777777" w:rsidTr="006D78C8">
        <w:tc>
          <w:tcPr>
            <w:tcW w:w="1696" w:type="dxa"/>
          </w:tcPr>
          <w:p w14:paraId="116D8686" w14:textId="6BC4239C" w:rsidR="00AA2FF1" w:rsidRPr="006A78B9" w:rsidRDefault="00AA2FF1" w:rsidP="00AA2FF1">
            <w:pPr>
              <w:rPr>
                <w:rFonts w:ascii="Calibri" w:eastAsia="Yu Mincho" w:hAnsi="Calibri"/>
                <w:sz w:val="22"/>
                <w:szCs w:val="22"/>
                <w:lang w:eastAsia="ja-JP"/>
              </w:rPr>
            </w:pPr>
            <w:r>
              <w:rPr>
                <w:rFonts w:ascii="Calibri" w:eastAsia="맑은 고딕" w:hAnsi="Calibri" w:hint="eastAsia"/>
                <w:bCs/>
                <w:sz w:val="22"/>
                <w:szCs w:val="22"/>
                <w:lang w:eastAsia="ko-KR"/>
              </w:rPr>
              <w:t>Samsung</w:t>
            </w:r>
          </w:p>
        </w:tc>
        <w:tc>
          <w:tcPr>
            <w:tcW w:w="2265" w:type="dxa"/>
          </w:tcPr>
          <w:p w14:paraId="31CE7E06" w14:textId="5E97145A" w:rsidR="00AA2FF1" w:rsidRPr="006A78B9" w:rsidRDefault="00AA2FF1" w:rsidP="00AA2FF1">
            <w:pPr>
              <w:rPr>
                <w:rFonts w:ascii="Calibri" w:eastAsia="Yu Mincho" w:hAnsi="Calibri" w:hint="eastAsia"/>
                <w:sz w:val="22"/>
                <w:szCs w:val="22"/>
                <w:lang w:eastAsia="ja-JP"/>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w:t>
            </w:r>
          </w:p>
        </w:tc>
        <w:tc>
          <w:tcPr>
            <w:tcW w:w="6109" w:type="dxa"/>
          </w:tcPr>
          <w:p w14:paraId="59C5809F" w14:textId="64F4A420" w:rsidR="00AA2FF1" w:rsidRDefault="00AA2FF1" w:rsidP="00AA2FF1">
            <w:pPr>
              <w:rPr>
                <w:rFonts w:ascii="Calibri" w:eastAsia="Yu Mincho" w:hAnsi="Calibri"/>
                <w:sz w:val="22"/>
                <w:szCs w:val="22"/>
                <w:lang w:eastAsia="ja-JP"/>
              </w:rPr>
            </w:pPr>
            <w:r>
              <w:rPr>
                <w:rFonts w:ascii="Calibri" w:eastAsia="맑은 고딕" w:hAnsi="Calibri"/>
                <w:sz w:val="22"/>
                <w:szCs w:val="22"/>
                <w:lang w:eastAsia="ko-KR"/>
              </w:rPr>
              <w:t>W</w:t>
            </w:r>
            <w:r>
              <w:rPr>
                <w:rFonts w:ascii="Calibri" w:eastAsia="맑은 고딕" w:hAnsi="Calibri" w:hint="eastAsia"/>
                <w:sz w:val="22"/>
                <w:szCs w:val="22"/>
                <w:lang w:eastAsia="ko-KR"/>
              </w:rPr>
              <w:t xml:space="preserve">e </w:t>
            </w:r>
            <w:r>
              <w:rPr>
                <w:rFonts w:ascii="Calibri" w:eastAsia="맑은 고딕" w:hAnsi="Calibri"/>
                <w:sz w:val="22"/>
                <w:szCs w:val="22"/>
                <w:lang w:eastAsia="ko-KR"/>
              </w:rPr>
              <w:t>supports</w:t>
            </w:r>
            <w:r>
              <w:rPr>
                <w:rFonts w:ascii="Calibri" w:eastAsia="맑은 고딕" w:hAnsi="Calibri" w:hint="eastAsia"/>
                <w:sz w:val="22"/>
                <w:szCs w:val="22"/>
                <w:lang w:eastAsia="ko-KR"/>
              </w:rPr>
              <w:t xml:space="preserve"> Alt.1 </w:t>
            </w:r>
            <w:r>
              <w:rPr>
                <w:rFonts w:ascii="Calibri" w:eastAsia="맑은 고딕" w:hAnsi="Calibri"/>
                <w:sz w:val="22"/>
                <w:szCs w:val="22"/>
                <w:lang w:eastAsia="ko-KR"/>
              </w:rPr>
              <w:t>to address the concern. But, even if we go with “specific cell”, the same value for all MT cells can be applied by parent IAB implementation for some scenarios as com</w:t>
            </w:r>
            <w:bookmarkStart w:id="2" w:name="_GoBack"/>
            <w:bookmarkEnd w:id="2"/>
            <w:r>
              <w:rPr>
                <w:rFonts w:ascii="Calibri" w:eastAsia="맑은 고딕" w:hAnsi="Calibri"/>
                <w:sz w:val="22"/>
                <w:szCs w:val="22"/>
                <w:lang w:eastAsia="ko-KR"/>
              </w:rPr>
              <w:t>mented by ZTE. So, we are also fine with ZTE’s suggestion.</w:t>
            </w:r>
          </w:p>
        </w:tc>
      </w:tr>
    </w:tbl>
    <w:p w14:paraId="660556E0" w14:textId="77777777" w:rsidR="00C530D0" w:rsidRDefault="00C530D0">
      <w:pPr>
        <w:rPr>
          <w:rFonts w:ascii="Arial" w:hAnsi="Arial"/>
          <w:b/>
          <w:sz w:val="32"/>
          <w:szCs w:val="20"/>
        </w:rPr>
      </w:pPr>
      <w:r>
        <w:br w:type="page"/>
      </w:r>
    </w:p>
    <w:p w14:paraId="75E2BC9E" w14:textId="77777777" w:rsidR="002F634C" w:rsidRPr="00156B89" w:rsidRDefault="002F634C" w:rsidP="002F634C">
      <w:pPr>
        <w:pStyle w:val="1"/>
      </w:pPr>
      <w:r>
        <w:lastRenderedPageBreak/>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797D" w14:textId="77777777" w:rsidR="008A44D1" w:rsidRDefault="008A44D1" w:rsidP="00424124">
      <w:r>
        <w:separator/>
      </w:r>
    </w:p>
  </w:endnote>
  <w:endnote w:type="continuationSeparator" w:id="0">
    <w:p w14:paraId="599D5D3A" w14:textId="77777777" w:rsidR="008A44D1" w:rsidRDefault="008A44D1" w:rsidP="00424124">
      <w:r>
        <w:continuationSeparator/>
      </w:r>
    </w:p>
  </w:endnote>
  <w:endnote w:type="continuationNotice" w:id="1">
    <w:p w14:paraId="162B0FFA" w14:textId="77777777" w:rsidR="008A44D1" w:rsidRDefault="008A4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97E0" w14:textId="77777777" w:rsidR="008A44D1" w:rsidRDefault="008A44D1" w:rsidP="00424124">
      <w:r>
        <w:separator/>
      </w:r>
    </w:p>
  </w:footnote>
  <w:footnote w:type="continuationSeparator" w:id="0">
    <w:p w14:paraId="1D1EC851" w14:textId="77777777" w:rsidR="008A44D1" w:rsidRDefault="008A44D1" w:rsidP="00424124">
      <w:r>
        <w:continuationSeparator/>
      </w:r>
    </w:p>
  </w:footnote>
  <w:footnote w:type="continuationNotice" w:id="1">
    <w:p w14:paraId="73504421" w14:textId="77777777" w:rsidR="008A44D1" w:rsidRDefault="008A44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060AB"/>
    <w:multiLevelType w:val="hybridMultilevel"/>
    <w:tmpl w:val="DDD4A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9"/>
  </w:num>
  <w:num w:numId="5">
    <w:abstractNumId w:val="13"/>
  </w:num>
  <w:num w:numId="6">
    <w:abstractNumId w:val="19"/>
  </w:num>
  <w:num w:numId="7">
    <w:abstractNumId w:val="1"/>
  </w:num>
  <w:num w:numId="8">
    <w:abstractNumId w:val="20"/>
  </w:num>
  <w:num w:numId="9">
    <w:abstractNumId w:val="3"/>
  </w:num>
  <w:num w:numId="10">
    <w:abstractNumId w:val="2"/>
  </w:num>
  <w:num w:numId="11">
    <w:abstractNumId w:val="12"/>
  </w:num>
  <w:num w:numId="12">
    <w:abstractNumId w:val="22"/>
  </w:num>
  <w:num w:numId="13">
    <w:abstractNumId w:val="21"/>
  </w:num>
  <w:num w:numId="14">
    <w:abstractNumId w:val="17"/>
  </w:num>
  <w:num w:numId="15">
    <w:abstractNumId w:val="4"/>
  </w:num>
  <w:num w:numId="16">
    <w:abstractNumId w:val="23"/>
  </w:num>
  <w:num w:numId="17">
    <w:abstractNumId w:val="7"/>
  </w:num>
  <w:num w:numId="18">
    <w:abstractNumId w:val="18"/>
  </w:num>
  <w:num w:numId="19">
    <w:abstractNumId w:val="0"/>
  </w:num>
  <w:num w:numId="20">
    <w:abstractNumId w:val="11"/>
  </w:num>
  <w:num w:numId="21">
    <w:abstractNumId w:val="16"/>
  </w:num>
  <w:num w:numId="22">
    <w:abstractNumId w:val="14"/>
  </w:num>
  <w:num w:numId="23">
    <w:abstractNumId w:val="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CB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3E8B"/>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D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4DAE"/>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7722F"/>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3C95"/>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3E1"/>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4D7"/>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06736"/>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A78B9"/>
    <w:rsid w:val="006B0CA8"/>
    <w:rsid w:val="006B0FD2"/>
    <w:rsid w:val="006B213F"/>
    <w:rsid w:val="006B443B"/>
    <w:rsid w:val="006B4635"/>
    <w:rsid w:val="006B7301"/>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544"/>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0A"/>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074"/>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4D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C66"/>
    <w:rsid w:val="008D7C83"/>
    <w:rsid w:val="008E110D"/>
    <w:rsid w:val="008E258C"/>
    <w:rsid w:val="008E2BDA"/>
    <w:rsid w:val="008E2ED7"/>
    <w:rsid w:val="008E48C2"/>
    <w:rsid w:val="008E51A2"/>
    <w:rsid w:val="008E5938"/>
    <w:rsid w:val="008E5CA7"/>
    <w:rsid w:val="008E6220"/>
    <w:rsid w:val="008E7BDD"/>
    <w:rsid w:val="008E7D11"/>
    <w:rsid w:val="008F19A4"/>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FBE"/>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2FF1"/>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1C0"/>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35EA"/>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7BD"/>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1"/>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2EEB-7ED1-45C5-8FF6-2DFE697B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7431</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최승훈/표준연구팀(SR)/Principal Engineer/삼성전자</cp:lastModifiedBy>
  <cp:revision>2</cp:revision>
  <cp:lastPrinted>2016-02-23T10:51:00Z</cp:lastPrinted>
  <dcterms:created xsi:type="dcterms:W3CDTF">2020-05-26T08:38:00Z</dcterms:created>
  <dcterms:modified xsi:type="dcterms:W3CDTF">2020-05-26T08:38:00Z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