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AC3836" w:rsidRPr="004C05A3" w:rsidRDefault="00AC3836"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AC3836" w:rsidRDefault="00AC3836"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AC3836" w:rsidRPr="004C05A3" w:rsidRDefault="00AC3836"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AC3836" w:rsidRDefault="00AC3836"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AC3836" w:rsidRPr="002625EB" w:rsidRDefault="00AC3836"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9.65pt" o:ole="">
                                  <v:imagedata r:id="rId13" o:title=""/>
                                </v:shape>
                                <o:OLEObject Type="Embed" ProgID="Equation.3" ShapeID="_x0000_i1027" DrawAspect="Content" ObjectID="_1652186294" r:id="rId14"/>
                              </w:object>
                            </w:r>
                            <w:r w:rsidRPr="002625EB">
                              <w:rPr>
                                <w:rFonts w:hint="eastAsia"/>
                              </w:rPr>
                              <w:t xml:space="preserve"> bits</w:t>
                            </w:r>
                          </w:p>
                          <w:p w14:paraId="661DF2C2" w14:textId="2253D7F1" w:rsidR="00AC3836" w:rsidRDefault="00AC3836"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5" o:title=""/>
                                </v:shape>
                                <o:OLEObject Type="Embed" ProgID="Equation.3" ShapeID="_x0000_i1028" DrawAspect="Content" ObjectID="_1652186295"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AC3836" w:rsidRPr="002625EB" w:rsidRDefault="00AC3836"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5pt;height:19.65pt" o:ole="">
                            <v:imagedata r:id="rId17" o:title=""/>
                          </v:shape>
                          <o:OLEObject Type="Embed" ProgID="Equation.3" ShapeID="_x0000_i1027" DrawAspect="Content" ObjectID="_1652185969" r:id="rId18"/>
                        </w:object>
                      </w:r>
                      <w:r w:rsidRPr="002625EB">
                        <w:rPr>
                          <w:rFonts w:hint="eastAsia"/>
                        </w:rPr>
                        <w:t xml:space="preserve"> bits</w:t>
                      </w:r>
                    </w:p>
                    <w:p w14:paraId="661DF2C2" w14:textId="2253D7F1" w:rsidR="00AC3836" w:rsidRDefault="00AC3836"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9" o:title=""/>
                          </v:shape>
                          <o:OLEObject Type="Embed" ProgID="Equation.3" ShapeID="_x0000_i1028" DrawAspect="Content" ObjectID="_1652185970"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AC3836" w:rsidRPr="005A68FE" w:rsidRDefault="00AC3836">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AC3836" w:rsidRPr="005A68FE" w:rsidRDefault="00AC3836">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宋体"/>
          <w:i/>
        </w:rPr>
        <w:t>useInterlacePUCCH-PUSCH</w:t>
      </w:r>
      <w:r w:rsidR="004A2D82" w:rsidRPr="004A2D82">
        <w:rPr>
          <w:rFonts w:eastAsia="宋体"/>
          <w:iCs/>
        </w:rPr>
        <w:t xml:space="preserve"> in </w:t>
      </w:r>
      <w:r w:rsidR="004A2D82" w:rsidRPr="004A2D82">
        <w:rPr>
          <w:rFonts w:eastAsia="宋体"/>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9"/>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r>
        <w:rPr>
          <w:rFonts w:eastAsia="宋体"/>
          <w:i/>
        </w:rPr>
        <w:t>pucch-ResourceCommon</w:t>
      </w:r>
      <w:r>
        <w:rPr>
          <w:rFonts w:eastAsia="宋体"/>
        </w:rPr>
        <w:t xml:space="preserve"> and is provided </w:t>
      </w:r>
      <w:r>
        <w:rPr>
          <w:rFonts w:eastAsia="宋体"/>
          <w:i/>
        </w:rPr>
        <w:t>useInterlacePUCCH-PUSCH</w:t>
      </w:r>
      <w:r>
        <w:rPr>
          <w:rFonts w:eastAsia="宋体"/>
          <w:iCs/>
        </w:rPr>
        <w:t xml:space="preserve"> in </w:t>
      </w:r>
      <w:r>
        <w:rPr>
          <w:rFonts w:eastAsia="宋体"/>
          <w:i/>
        </w:rPr>
        <w:t>BWP-UplinkCommon</w:t>
      </w:r>
    </w:p>
    <w:p w14:paraId="23E9D934" w14:textId="77777777" w:rsidR="00FF63A5" w:rsidRDefault="00FF63A5" w:rsidP="00FF63A5">
      <w:pPr>
        <w:spacing w:line="240" w:lineRule="auto"/>
        <w:ind w:left="568" w:hanging="284"/>
        <w:rPr>
          <w:rFonts w:eastAsia="宋体"/>
          <w:lang w:val="en-US"/>
        </w:rPr>
      </w:pPr>
      <w:r>
        <w:rPr>
          <w:rFonts w:eastAsia="宋体"/>
          <w:lang w:val="x-none"/>
        </w:rPr>
        <w:lastRenderedPageBreak/>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af9"/>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r>
        <w:rPr>
          <w:rFonts w:eastAsia="宋体"/>
          <w:i/>
          <w:lang w:val="x-none"/>
        </w:rPr>
        <w:t>pucch-ResourceCommon</w:t>
      </w:r>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r>
        <w:rPr>
          <w:rFonts w:eastAsia="宋体"/>
          <w:i/>
          <w:lang w:val="x-none"/>
        </w:rPr>
        <w:t>pucch-ResourceCommon</w:t>
      </w:r>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1"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af9"/>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a6"/>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af9"/>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af9"/>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a6"/>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Please provide your company view in light of these new solution alternative</w:t>
      </w:r>
      <w:r w:rsidR="00B26203">
        <w:rPr>
          <w:rFonts w:ascii="Arial" w:hAnsi="Arial"/>
          <w:lang w:eastAsia="zh-CN"/>
        </w:rPr>
        <w:t>s.</w:t>
      </w:r>
    </w:p>
    <w:tbl>
      <w:tblPr>
        <w:tblStyle w:val="af3"/>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a6"/>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a6"/>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a6"/>
              <w:rPr>
                <w:rFonts w:eastAsiaTheme="minorEastAsia"/>
                <w:sz w:val="20"/>
                <w:szCs w:val="20"/>
                <w:lang w:val="de-DE"/>
              </w:rPr>
            </w:pPr>
          </w:p>
          <w:p w14:paraId="58749998" w14:textId="77777777" w:rsidR="00230FB2" w:rsidRPr="008F540D" w:rsidRDefault="00230FB2" w:rsidP="00A009BB">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0C354F3D" w14:textId="77777777" w:rsidR="00230FB2" w:rsidRPr="00230FB2" w:rsidRDefault="00230FB2" w:rsidP="00A009BB">
            <w:pPr>
              <w:pStyle w:val="a6"/>
              <w:rPr>
                <w:rFonts w:eastAsiaTheme="minorEastAsia"/>
                <w:sz w:val="20"/>
                <w:szCs w:val="20"/>
                <w:lang w:val="de-DE"/>
              </w:rPr>
            </w:pP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PUSCH is allocated to RB set 0 of the active UL BWP if the RB set indicated by the Y-bit is not within the active UL BWP</w:t>
            </w:r>
          </w:p>
          <w:p w14:paraId="3DAFBB25" w14:textId="77777777" w:rsidR="00A009BB" w:rsidRPr="002C7184" w:rsidRDefault="00A009BB" w:rsidP="00A009BB">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lastRenderedPageBreak/>
              <w:t>And we slightly modify some wording for consistency with the above Alt #1, and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a6"/>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a6"/>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proofErr w:type="gramStart"/>
            <w:r>
              <w:rPr>
                <w:rFonts w:eastAsiaTheme="minorEastAsia" w:hint="eastAsia"/>
                <w:sz w:val="20"/>
                <w:szCs w:val="20"/>
                <w:lang w:val="de-DE"/>
              </w:rPr>
              <w:t>’</w:t>
            </w:r>
            <w:proofErr w:type="gramEnd"/>
            <w:r>
              <w:rPr>
                <w:rFonts w:eastAsiaTheme="minorEastAsia"/>
                <w:sz w:val="20"/>
                <w:szCs w:val="20"/>
                <w:lang w:val="de-DE"/>
              </w:rPr>
              <w:t>, but we are fine with Alt-2</w:t>
            </w:r>
            <w:proofErr w:type="gramStart"/>
            <w:r>
              <w:rPr>
                <w:rFonts w:eastAsiaTheme="minorEastAsia" w:hint="eastAsia"/>
                <w:sz w:val="20"/>
                <w:szCs w:val="20"/>
                <w:lang w:val="de-DE"/>
              </w:rPr>
              <w:t>’</w:t>
            </w:r>
            <w:proofErr w:type="gramEnd"/>
            <w:r>
              <w:rPr>
                <w:rFonts w:eastAsiaTheme="minorEastAsia"/>
                <w:sz w:val="20"/>
                <w:szCs w:val="20"/>
                <w:lang w:val="de-DE"/>
              </w:rPr>
              <w:t xml:space="preserve"> if it</w:t>
            </w:r>
            <w:proofErr w:type="gramStart"/>
            <w:r>
              <w:rPr>
                <w:rFonts w:eastAsiaTheme="minorEastAsia"/>
                <w:sz w:val="20"/>
                <w:szCs w:val="20"/>
                <w:lang w:val="de-DE"/>
              </w:rPr>
              <w:t>’</w:t>
            </w:r>
            <w:proofErr w:type="gramEnd"/>
            <w:r>
              <w:rPr>
                <w:rFonts w:eastAsiaTheme="minorEastAsia"/>
                <w:sz w:val="20"/>
                <w:szCs w:val="20"/>
                <w:lang w:val="de-DE"/>
              </w:rPr>
              <w:t xml:space="preserve">s the majority view. </w:t>
            </w:r>
          </w:p>
          <w:p w14:paraId="7B000DA5" w14:textId="77777777" w:rsidR="00183F3E" w:rsidRPr="00070224" w:rsidRDefault="00183F3E" w:rsidP="00183F3E">
            <w:pPr>
              <w:pStyle w:val="a6"/>
              <w:spacing w:after="0"/>
              <w:jc w:val="left"/>
              <w:rPr>
                <w:rFonts w:eastAsiaTheme="minorEastAsia"/>
                <w:sz w:val="20"/>
                <w:szCs w:val="20"/>
                <w:lang w:val="de-DE"/>
              </w:rPr>
            </w:pPr>
          </w:p>
          <w:p w14:paraId="4C187A56"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Secondly, both Alt #2 and Alt #3 are with consideration that initial UL BWP may include multiple RB sets. If we do agree to revert the previous agreement to support that initial UL BWP can include multiple RB sets, between the 2 alternatives, we prefer Alt #2 for its s</w:t>
            </w:r>
            <w:bookmarkStart w:id="27" w:name="_GoBack"/>
            <w:bookmarkEnd w:id="27"/>
            <w:r>
              <w:rPr>
                <w:rFonts w:eastAsiaTheme="minorEastAsia"/>
                <w:sz w:val="20"/>
                <w:szCs w:val="20"/>
                <w:lang w:val="de-DE"/>
              </w:rPr>
              <w:t xml:space="preserve">implicity as we commented in the 1st round discussion. </w:t>
            </w:r>
          </w:p>
          <w:p w14:paraId="621A17C5" w14:textId="77777777" w:rsidR="00183F3E" w:rsidRPr="004C0C98" w:rsidRDefault="00183F3E" w:rsidP="00183F3E">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a6"/>
              <w:spacing w:after="0"/>
              <w:rPr>
                <w:rFonts w:eastAsiaTheme="minorEastAsia" w:hint="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83F3E" w14:paraId="53A912D2" w14:textId="77777777" w:rsidTr="00A009BB">
        <w:tc>
          <w:tcPr>
            <w:tcW w:w="1525" w:type="dxa"/>
          </w:tcPr>
          <w:p w14:paraId="4B8F5B99" w14:textId="76E0796A" w:rsidR="00183F3E" w:rsidRPr="00D11A4A" w:rsidRDefault="00183F3E" w:rsidP="00183F3E">
            <w:pPr>
              <w:pStyle w:val="a6"/>
              <w:spacing w:after="0"/>
              <w:rPr>
                <w:sz w:val="20"/>
                <w:szCs w:val="20"/>
                <w:lang w:val="de-DE"/>
              </w:rPr>
            </w:pPr>
          </w:p>
        </w:tc>
        <w:tc>
          <w:tcPr>
            <w:tcW w:w="7560" w:type="dxa"/>
          </w:tcPr>
          <w:p w14:paraId="55B9CAE2" w14:textId="6601A3DD" w:rsidR="00183F3E" w:rsidRPr="00D11A4A" w:rsidRDefault="00183F3E" w:rsidP="00183F3E">
            <w:pPr>
              <w:pStyle w:val="a6"/>
              <w:spacing w:after="0"/>
              <w:rPr>
                <w:sz w:val="20"/>
                <w:szCs w:val="20"/>
                <w:lang w:val="de-DE"/>
              </w:rPr>
            </w:pPr>
          </w:p>
        </w:tc>
      </w:tr>
    </w:tbl>
    <w:p w14:paraId="117AC087" w14:textId="77777777" w:rsidR="008166A1" w:rsidRPr="00BF59FA" w:rsidRDefault="008166A1" w:rsidP="00BF59FA">
      <w:pPr>
        <w:rPr>
          <w:rFonts w:ascii="Arial" w:hAnsi="Arial"/>
          <w:lang w:eastAsia="zh-CN"/>
        </w:rPr>
      </w:pP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8" w:name="OLE_LINK7"/>
      <w:bookmarkStart w:id="29" w:name="_Ref40774674"/>
      <w:r w:rsidRPr="00761D88">
        <w:rPr>
          <w:rFonts w:ascii="Arial" w:hAnsi="Arial" w:cs="Arial"/>
          <w:sz w:val="20"/>
          <w:szCs w:val="20"/>
          <w:lang w:val="en-US" w:eastAsia="x-none"/>
        </w:rPr>
        <w:t>R1-2003369</w:t>
      </w:r>
      <w:bookmarkEnd w:id="28"/>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9"/>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0"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0"/>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1"/>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2"/>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3"/>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4"/>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057553"/>
      <w:r w:rsidRPr="00761D88">
        <w:rPr>
          <w:rFonts w:ascii="Arial" w:hAnsi="Arial" w:cs="Arial"/>
          <w:sz w:val="20"/>
          <w:szCs w:val="20"/>
          <w:lang w:val="en-US" w:eastAsia="x-none"/>
        </w:rPr>
        <w:lastRenderedPageBreak/>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5"/>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6"/>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7"/>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0774687"/>
      <w:bookmarkStart w:id="39" w:name="_Ref41125946"/>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9"/>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0"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1"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1"/>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AC3836" w:rsidRPr="004C05A3" w:rsidRDefault="00AC3836"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AC3836" w:rsidRDefault="00AC3836"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AC3836" w:rsidRPr="004C05A3" w:rsidRDefault="00AC3836"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AC3836" w:rsidRDefault="00AC3836"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w:t>
      </w:r>
      <w:r>
        <w:rPr>
          <w:rStyle w:val="Char"/>
        </w:rPr>
        <w:lastRenderedPageBreak/>
        <w:t xml:space="preserve">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2"/>
      <w:r>
        <w:rPr>
          <w:rFonts w:ascii="Times New Roman" w:eastAsia="宋体" w:hAnsi="Times New Roman"/>
          <w:color w:val="FF0000"/>
        </w:rPr>
        <w:t xml:space="preserve">CORESET in which the </w:t>
      </w:r>
      <w:commentRangeStart w:id="43"/>
      <w:r>
        <w:rPr>
          <w:rFonts w:ascii="Times New Roman" w:eastAsia="宋体" w:hAnsi="Times New Roman"/>
          <w:color w:val="FF0000"/>
        </w:rPr>
        <w:t xml:space="preserve">DCI format </w:t>
      </w:r>
      <w:commentRangeEnd w:id="43"/>
      <w:r>
        <w:rPr>
          <w:rStyle w:val="af9"/>
        </w:rPr>
        <w:commentReference w:id="43"/>
      </w:r>
      <w:r>
        <w:rPr>
          <w:rFonts w:ascii="Times New Roman" w:eastAsia="宋体" w:hAnsi="Times New Roman"/>
          <w:color w:val="FF0000"/>
        </w:rPr>
        <w:t>is detected</w:t>
      </w:r>
      <w:commentRangeEnd w:id="42"/>
      <w:r>
        <w:rPr>
          <w:rStyle w:val="af9"/>
        </w:rPr>
        <w:commentReference w:id="42"/>
      </w:r>
      <w:r>
        <w:rPr>
          <w:rFonts w:ascii="Times New Roman" w:eastAsia="宋体" w:hAnsi="Times New Roman"/>
          <w:color w:val="FF0000"/>
        </w:rPr>
        <w:t>. [</w:t>
      </w:r>
      <w:commentRangeStart w:id="44"/>
      <w:r>
        <w:rPr>
          <w:rFonts w:ascii="Times New Roman" w:eastAsia="宋体" w:hAnsi="Times New Roman"/>
          <w:color w:val="FF0000"/>
        </w:rPr>
        <w:t>If there is no intersection</w:t>
      </w:r>
      <w:commentRangeEnd w:id="44"/>
      <w:r>
        <w:rPr>
          <w:rStyle w:val="af9"/>
        </w:rPr>
        <w:commentReference w:id="44"/>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6"/>
          <w:footerReference w:type="default" r:id="rId27"/>
          <w:footnotePr>
            <w:numRestart w:val="eachSect"/>
          </w:footnotePr>
          <w:pgSz w:w="11907" w:h="16840"/>
          <w:pgMar w:top="1440" w:right="1440" w:bottom="1440" w:left="1440" w:header="680" w:footer="567" w:gutter="0"/>
          <w:cols w:space="720"/>
          <w:docGrid w:linePitch="272"/>
        </w:sectPr>
      </w:pPr>
      <w:r>
        <w:rPr>
          <w:lang w:val="en-US"/>
        </w:rPr>
        <w:lastRenderedPageBreak/>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5"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5"/>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6" w:name="_Toc20426305"/>
      <w:bookmarkStart w:id="47" w:name="_Toc29321702"/>
      <w:bookmarkStart w:id="48" w:name="_Toc36757574"/>
      <w:bookmarkStart w:id="49" w:name="_Toc36837115"/>
      <w:bookmarkStart w:id="50" w:name="_Toc36844092"/>
      <w:bookmarkStart w:id="51"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6"/>
      <w:bookmarkEnd w:id="47"/>
      <w:bookmarkEnd w:id="48"/>
      <w:bookmarkEnd w:id="49"/>
      <w:bookmarkEnd w:id="50"/>
      <w:bookmarkEnd w:id="51"/>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05pt" o:ole="">
            <v:imagedata r:id="rId29" o:title=""/>
          </v:shape>
          <o:OLEObject Type="Embed" ProgID="Visio.Drawing.15" ShapeID="_x0000_i1025" DrawAspect="Content" ObjectID="_1652186292" r:id="rId30"/>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35pt" o:ole="">
            <v:imagedata r:id="rId31" o:title=""/>
          </v:shape>
          <o:OLEObject Type="Embed" ProgID="Visio.Drawing.15" ShapeID="_x0000_i1026" DrawAspect="Content" ObjectID="_1652186293" r:id="rId32"/>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3"/>
      <w:footerReference w:type="default" r:id="rId34"/>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AC3836" w:rsidRDefault="00AC3836">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AC3836" w:rsidRDefault="00AC3836">
      <w:pPr>
        <w:pStyle w:val="a9"/>
      </w:pPr>
    </w:p>
    <w:p w14:paraId="4999AF06" w14:textId="42A2E36F" w:rsidR="00AC3836" w:rsidRDefault="00AC3836">
      <w:pPr>
        <w:pStyle w:val="a9"/>
      </w:pPr>
      <w:r>
        <w:t>This is consistent with the Rel-15 specifications for the DL that restrict Msg2 and 4 to the bandwidth location of CORESET0.</w:t>
      </w:r>
    </w:p>
  </w:comment>
  <w:comment w:id="18" w:author="Stephen Grant" w:date="2020-05-25T10:22:00Z" w:initials="SG">
    <w:p w14:paraId="6A568845" w14:textId="77777777" w:rsidR="00AC3836" w:rsidRDefault="00AC3836"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AC3836" w:rsidRDefault="00AC3836" w:rsidP="009E2A1F">
      <w:pPr>
        <w:pStyle w:val="a9"/>
      </w:pPr>
    </w:p>
    <w:p w14:paraId="39DCE8B2" w14:textId="3F874640" w:rsidR="00AC3836" w:rsidRDefault="00AC3836" w:rsidP="009E2A1F">
      <w:pPr>
        <w:pStyle w:val="a9"/>
      </w:pPr>
      <w:r>
        <w:t>This is consistent with the Rel-15 specifications for the DL that restrict Msg2 and 4 to the bandwidth location of CORESET0.</w:t>
      </w:r>
    </w:p>
  </w:comment>
  <w:comment w:id="19" w:author="Stephen Grant" w:date="2020-05-19T08:16:00Z" w:initials="SG">
    <w:p w14:paraId="68850CE7" w14:textId="77777777" w:rsidR="00AC3836" w:rsidRDefault="00AC3836" w:rsidP="00FF63A5">
      <w:pPr>
        <w:pStyle w:val="a9"/>
      </w:pPr>
      <w:r>
        <w:rPr>
          <w:rStyle w:val="af9"/>
        </w:rPr>
        <w:annotationRef/>
      </w:r>
      <w:r>
        <w:t>Earlier in Section 9.2.1 the following text clarifies what DCI format the UE detects:</w:t>
      </w:r>
    </w:p>
    <w:p w14:paraId="534CE0A5" w14:textId="77777777" w:rsidR="00AC3836" w:rsidRDefault="00AC3836" w:rsidP="00FF63A5">
      <w:pPr>
        <w:pStyle w:val="a9"/>
      </w:pPr>
    </w:p>
    <w:p w14:paraId="4752F4E7" w14:textId="77777777" w:rsidR="00AC3836" w:rsidRPr="00DA007B" w:rsidRDefault="00AC3836"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AC3836" w:rsidRDefault="00AC3836" w:rsidP="005E321A">
      <w:pPr>
        <w:pStyle w:val="a9"/>
      </w:pPr>
      <w:r>
        <w:rPr>
          <w:rStyle w:val="af9"/>
        </w:rPr>
        <w:annotationRef/>
      </w:r>
      <w:r>
        <w:t>Note: TC-RNTI to be addressed separately (Issue #1)</w:t>
      </w:r>
    </w:p>
  </w:comment>
  <w:comment w:id="23" w:author="Stephen Grant" w:date="2020-05-23T08:36:00Z" w:initials="SG">
    <w:p w14:paraId="3996847D" w14:textId="77777777" w:rsidR="00AC3836" w:rsidRDefault="00AC3836" w:rsidP="00004759">
      <w:pPr>
        <w:pStyle w:val="a9"/>
      </w:pPr>
      <w:r>
        <w:rPr>
          <w:rStyle w:val="af9"/>
        </w:rPr>
        <w:annotationRef/>
      </w:r>
      <w:r>
        <w:t>Note: TC-RNTI to be addressed separately (Issue #1)</w:t>
      </w:r>
    </w:p>
  </w:comment>
  <w:comment w:id="24" w:author="Stephen Grant" w:date="2020-05-23T08:36:00Z" w:initials="SG">
    <w:p w14:paraId="4CF48340" w14:textId="77777777" w:rsidR="00AC3836" w:rsidRDefault="00AC3836" w:rsidP="00004759">
      <w:pPr>
        <w:pStyle w:val="a9"/>
      </w:pPr>
      <w:r>
        <w:rPr>
          <w:rStyle w:val="af9"/>
        </w:rPr>
        <w:annotationRef/>
      </w:r>
      <w:r>
        <w:t>Note: TC-RNTI to be addressed separately (Issue #1)</w:t>
      </w:r>
    </w:p>
  </w:comment>
  <w:comment w:id="25" w:author="Stephen Grant" w:date="2020-05-27T15:46:00Z" w:initials="SG">
    <w:p w14:paraId="239DEAD6" w14:textId="7410AEE5" w:rsidR="00AC3836" w:rsidRDefault="00AC3836">
      <w:pPr>
        <w:pStyle w:val="a9"/>
      </w:pPr>
      <w:r>
        <w:rPr>
          <w:rStyle w:val="af9"/>
        </w:rPr>
        <w:annotationRef/>
      </w:r>
      <w:r>
        <w:t>Narrowed down to Alt-1 and Alt-3 since Alt-2 has very little support</w:t>
      </w:r>
    </w:p>
  </w:comment>
  <w:comment w:id="26" w:author="Stephen Grant" w:date="2020-05-27T19:04:00Z" w:initials="SG">
    <w:p w14:paraId="628042D2" w14:textId="3F1ADE01" w:rsidR="00AC3836" w:rsidRDefault="00AC3836">
      <w:pPr>
        <w:pStyle w:val="a9"/>
      </w:pPr>
      <w:r>
        <w:rPr>
          <w:rStyle w:val="af9"/>
        </w:rPr>
        <w:annotationRef/>
      </w:r>
      <w:r>
        <w:t>Fujitsu points out that this covers the case of active UL BWP being the initial UL BWP</w:t>
      </w:r>
    </w:p>
  </w:comment>
  <w:comment w:id="43" w:author="Stephen Grant" w:date="2020-05-19T08:16:00Z" w:initials="SG">
    <w:p w14:paraId="52EDC1C4" w14:textId="77777777" w:rsidR="00AC3836" w:rsidRDefault="00AC3836" w:rsidP="00F976AE">
      <w:pPr>
        <w:pStyle w:val="a9"/>
      </w:pPr>
      <w:r>
        <w:rPr>
          <w:rStyle w:val="af9"/>
        </w:rPr>
        <w:annotationRef/>
      </w:r>
      <w:r>
        <w:t>Earlier in Section 9.2.1 the following text clarifies what DCI format the UE detects:</w:t>
      </w:r>
    </w:p>
    <w:p w14:paraId="062F5260" w14:textId="77777777" w:rsidR="00AC3836" w:rsidRDefault="00AC3836" w:rsidP="00F976AE">
      <w:pPr>
        <w:pStyle w:val="a9"/>
      </w:pPr>
    </w:p>
    <w:p w14:paraId="6077DC01" w14:textId="77777777" w:rsidR="00AC3836" w:rsidRPr="00DA007B" w:rsidRDefault="00AC3836"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2" w:author="Stephen Grant" w:date="2020-05-19T08:19:00Z" w:initials="SG">
    <w:p w14:paraId="713FF5DE" w14:textId="77777777" w:rsidR="00AC3836" w:rsidRDefault="00AC3836" w:rsidP="00F976AE">
      <w:pPr>
        <w:pStyle w:val="a9"/>
      </w:pPr>
      <w:r>
        <w:rPr>
          <w:rStyle w:val="af9"/>
        </w:rPr>
        <w:annotationRef/>
      </w:r>
      <w:r>
        <w:t>This is the same wording as used in 38.214 Section 5.1.2.2 to restrict Msg2 and Msg4 to the bandwidth of CORESET0 which is ~20 MHz for NR-U.</w:t>
      </w:r>
    </w:p>
  </w:comment>
  <w:comment w:id="44" w:author="Stephen Grant" w:date="2020-05-19T08:48:00Z" w:initials="SG">
    <w:p w14:paraId="3DC827E1" w14:textId="77777777" w:rsidR="00AC3836" w:rsidRDefault="00AC3836"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D06EE" w14:textId="77777777" w:rsidR="0054708C" w:rsidRDefault="0054708C">
      <w:pPr>
        <w:spacing w:after="0" w:line="240" w:lineRule="auto"/>
      </w:pPr>
      <w:r>
        <w:separator/>
      </w:r>
    </w:p>
  </w:endnote>
  <w:endnote w:type="continuationSeparator" w:id="0">
    <w:p w14:paraId="36DED91A" w14:textId="77777777" w:rsidR="0054708C" w:rsidRDefault="0054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AC3836" w:rsidRDefault="00AC383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83F3E">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83F3E">
      <w:rPr>
        <w:rStyle w:val="af5"/>
        <w:noProof/>
      </w:rPr>
      <w:t>23</w:t>
    </w:r>
    <w:r>
      <w:rPr>
        <w:rStyle w:val="af5"/>
      </w:rPr>
      <w:fldChar w:fldCharType="end"/>
    </w:r>
    <w:r>
      <w:rPr>
        <w:rStyle w:val="af5"/>
      </w:rPr>
      <w:tab/>
    </w:r>
  </w:p>
  <w:p w14:paraId="4282BD34" w14:textId="77777777" w:rsidR="00AC3836" w:rsidRDefault="00AC38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AC3836" w:rsidRDefault="00AC383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83F3E">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83F3E">
      <w:rPr>
        <w:rStyle w:val="af5"/>
        <w:noProof/>
      </w:rPr>
      <w:t>23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BD113" w14:textId="77777777" w:rsidR="0054708C" w:rsidRDefault="0054708C">
      <w:pPr>
        <w:spacing w:after="0" w:line="240" w:lineRule="auto"/>
      </w:pPr>
      <w:r>
        <w:separator/>
      </w:r>
    </w:p>
  </w:footnote>
  <w:footnote w:type="continuationSeparator" w:id="0">
    <w:p w14:paraId="6A71D901" w14:textId="77777777" w:rsidR="0054708C" w:rsidRDefault="0054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AC3836" w:rsidRDefault="00AC38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652BD847" w14:textId="77777777" w:rsidR="00AC3836" w:rsidRDefault="00AC38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AC3836" w:rsidRDefault="00AC38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3"/>
  </w:num>
  <w:num w:numId="2">
    <w:abstractNumId w:val="12"/>
  </w:num>
  <w:num w:numId="3">
    <w:abstractNumId w:val="3"/>
  </w:num>
  <w:num w:numId="4">
    <w:abstractNumId w:val="9"/>
  </w:num>
  <w:num w:numId="5">
    <w:abstractNumId w:val="6"/>
  </w:num>
  <w:num w:numId="6">
    <w:abstractNumId w:val="30"/>
  </w:num>
  <w:num w:numId="7">
    <w:abstractNumId w:val="0"/>
  </w:num>
  <w:num w:numId="8">
    <w:abstractNumId w:val="35"/>
  </w:num>
  <w:num w:numId="9">
    <w:abstractNumId w:val="11"/>
  </w:num>
  <w:num w:numId="10">
    <w:abstractNumId w:val="21"/>
  </w:num>
  <w:num w:numId="11">
    <w:abstractNumId w:val="15"/>
  </w:num>
  <w:num w:numId="12">
    <w:abstractNumId w:val="23"/>
  </w:num>
  <w:num w:numId="13">
    <w:abstractNumId w:val="24"/>
  </w:num>
  <w:num w:numId="14">
    <w:abstractNumId w:val="39"/>
  </w:num>
  <w:num w:numId="15">
    <w:abstractNumId w:val="38"/>
  </w:num>
  <w:num w:numId="16">
    <w:abstractNumId w:val="31"/>
  </w:num>
  <w:num w:numId="17">
    <w:abstractNumId w:val="32"/>
  </w:num>
  <w:num w:numId="18">
    <w:abstractNumId w:val="19"/>
  </w:num>
  <w:num w:numId="19">
    <w:abstractNumId w:val="2"/>
  </w:num>
  <w:num w:numId="20">
    <w:abstractNumId w:val="7"/>
  </w:num>
  <w:num w:numId="21">
    <w:abstractNumId w:val="17"/>
  </w:num>
  <w:num w:numId="22">
    <w:abstractNumId w:val="27"/>
  </w:num>
  <w:num w:numId="23">
    <w:abstractNumId w:val="37"/>
  </w:num>
  <w:num w:numId="24">
    <w:abstractNumId w:val="27"/>
  </w:num>
  <w:num w:numId="25">
    <w:abstractNumId w:val="5"/>
  </w:num>
  <w:num w:numId="26">
    <w:abstractNumId w:val="37"/>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6"/>
  </w:num>
  <w:num w:numId="42">
    <w:abstractNumId w:val="16"/>
  </w:num>
  <w:num w:numId="43">
    <w:abstractNumId w:val="1"/>
  </w:num>
  <w:num w:numId="44">
    <w:abstractNumId w:val="18"/>
  </w:num>
  <w:num w:numId="45">
    <w:abstractNumId w:val="3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package" Target="embeddings/Microsoft_Visio_Drawing12222.vsdx"/><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emf"/><Relationship Id="rId28" Type="http://schemas.openxmlformats.org/officeDocument/2006/relationships/image" Target="media/image7.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package" Target="embeddings/Microsoft_Visio_Drawing1111.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4.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5B7FA3DE-6E10-416A-A8A6-7BBA80AE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23</Pages>
  <Words>8257</Words>
  <Characters>47069</Characters>
  <Application>Microsoft Office Word</Application>
  <DocSecurity>0</DocSecurity>
  <Lines>392</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Jiang, Qinyan/蒋 琴艳</cp:lastModifiedBy>
  <cp:revision>3</cp:revision>
  <cp:lastPrinted>2008-01-30T21:09:00Z</cp:lastPrinted>
  <dcterms:created xsi:type="dcterms:W3CDTF">2020-05-28T07:30:00Z</dcterms:created>
  <dcterms:modified xsi:type="dcterms:W3CDTF">2020-05-28T07:52:00Z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