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68779465" w:rsidR="0038295D" w:rsidRPr="009A02E2" w:rsidRDefault="0038295D" w:rsidP="0038295D">
      <w:pPr>
        <w:pStyle w:val="a9"/>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a9"/>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a9"/>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1"/>
        <w:rPr>
          <w:rStyle w:val="1Char"/>
        </w:rPr>
      </w:pPr>
      <w:r w:rsidRPr="009A02E2">
        <w:rPr>
          <w:rStyle w:val="1Char"/>
        </w:rPr>
        <w:t>2</w:t>
      </w:r>
      <w:r w:rsidR="000702B2" w:rsidRPr="009A02E2">
        <w:rPr>
          <w:rStyle w:val="1Char"/>
        </w:rPr>
        <w:tab/>
      </w:r>
      <w:r w:rsidR="00CF052D" w:rsidRPr="009A02E2">
        <w:rPr>
          <w:rStyle w:val="1Char"/>
        </w:rPr>
        <w:t>Issue to be addressed in RAN1#101-e</w:t>
      </w:r>
    </w:p>
    <w:p w14:paraId="1F312745" w14:textId="441C953A" w:rsidR="00FA7866" w:rsidRPr="009A02E2" w:rsidRDefault="00FA7866" w:rsidP="00FA7866">
      <w:pPr>
        <w:pStyle w:val="a8"/>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af7"/>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 xml:space="preserve">If the maximum number of unicast DCIs per MO per scheduled cell is increased to larger than one, the </w:t>
      </w:r>
      <w:r w:rsidRPr="001F247B">
        <w:rPr>
          <w:rFonts w:ascii="Arial" w:hAnsi="Arial" w:cs="Arial"/>
          <w:iCs/>
          <w:sz w:val="20"/>
          <w:szCs w:val="20"/>
          <w:highlight w:val="yellow"/>
          <w:lang w:val="en-GB" w:eastAsia="zh-CN"/>
        </w:rPr>
        <w:t>PDSCH starting time</w:t>
      </w:r>
      <w:r w:rsidRPr="009A02E2">
        <w:rPr>
          <w:rFonts w:ascii="Arial" w:hAnsi="Arial" w:cs="Arial"/>
          <w:iCs/>
          <w:sz w:val="20"/>
          <w:szCs w:val="20"/>
          <w:lang w:val="en-GB" w:eastAsia="zh-CN"/>
        </w:rPr>
        <w:t xml:space="preserv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af7"/>
        <w:numPr>
          <w:ilvl w:val="0"/>
          <w:numId w:val="41"/>
        </w:numPr>
        <w:spacing w:after="240"/>
        <w:rPr>
          <w:rFonts w:ascii="Arial" w:eastAsia="MS Gothic" w:hAnsi="Arial" w:cs="Arial"/>
          <w:sz w:val="20"/>
          <w:szCs w:val="20"/>
          <w:lang w:val="en-GB"/>
        </w:rPr>
      </w:pPr>
      <w:r w:rsidRPr="001F247B">
        <w:rPr>
          <w:rFonts w:ascii="Arial" w:eastAsia="MS Gothic" w:hAnsi="Arial" w:cs="Arial"/>
          <w:sz w:val="20"/>
          <w:szCs w:val="20"/>
          <w:highlight w:val="yellow"/>
          <w:lang w:val="en-GB"/>
        </w:rPr>
        <w:t>CCE index</w:t>
      </w:r>
      <w:r w:rsidRPr="009A02E2">
        <w:rPr>
          <w:rFonts w:ascii="Arial" w:eastAsia="MS Gothic" w:hAnsi="Arial" w:cs="Arial"/>
          <w:sz w:val="20"/>
          <w:szCs w:val="20"/>
          <w:lang w:val="en-GB"/>
        </w:rPr>
        <w:t xml:space="preserve">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af7"/>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 xml:space="preserve">ssuming X&gt;1 DL DCIs scheduling unicast PDSCHs per scheduled cell can be transmitted in a PDCCH MO, </w:t>
      </w:r>
      <w:r w:rsidR="007B5627" w:rsidRPr="001F247B">
        <w:rPr>
          <w:rFonts w:ascii="Arial" w:eastAsia="MS Gothic" w:hAnsi="Arial" w:cs="Arial"/>
          <w:sz w:val="20"/>
          <w:szCs w:val="20"/>
          <w:highlight w:val="yellow"/>
          <w:lang w:val="en-GB"/>
        </w:rPr>
        <w:t>C-DAI is used as a third dimension of HARQ-ACK bits ordering</w:t>
      </w:r>
      <w:r w:rsidR="007B5627" w:rsidRPr="009A02E2">
        <w:rPr>
          <w:rFonts w:ascii="Arial" w:eastAsia="MS Gothic" w:hAnsi="Arial" w:cs="Arial"/>
          <w:sz w:val="20"/>
          <w:szCs w:val="20"/>
          <w:lang w:val="en-GB"/>
        </w:rPr>
        <w:t xml:space="preserve">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afa"/>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w:t>
            </w:r>
            <w:r>
              <w:rPr>
                <w:rFonts w:eastAsiaTheme="minorEastAsia"/>
                <w:sz w:val="18"/>
                <w:szCs w:val="18"/>
                <w:lang w:val="en-GB" w:eastAsia="zh-CN"/>
              </w:rPr>
              <w:lastRenderedPageBreak/>
              <w:t>solution as UE expects to process the HARQ-ACK bits by the order 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w:t>
            </w:r>
            <w:r>
              <w:rPr>
                <w:rFonts w:eastAsiaTheme="minorEastAsia"/>
                <w:sz w:val="18"/>
                <w:szCs w:val="18"/>
                <w:lang w:val="en-GB" w:eastAsia="zh-CN"/>
              </w:rPr>
              <w:lastRenderedPageBreak/>
              <w:t>same MO, then CCE index is not applicable to this case as the CCE 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 xml:space="preserve">f the maximum number of DCIs per MO is &gt;= 4, then C-DAI </w:t>
            </w:r>
            <w:r>
              <w:rPr>
                <w:rFonts w:eastAsiaTheme="minorEastAsia"/>
                <w:sz w:val="18"/>
                <w:szCs w:val="18"/>
                <w:lang w:val="en-GB" w:eastAsia="zh-CN"/>
              </w:rPr>
              <w:lastRenderedPageBreak/>
              <w:t>cannot be applied to order the HARQ-ACK.</w:t>
            </w:r>
          </w:p>
        </w:tc>
      </w:tr>
      <w:tr w:rsidR="006B7C16" w:rsidRPr="009A02E2" w14:paraId="481A29BA" w14:textId="77777777" w:rsidTr="008E2414">
        <w:tc>
          <w:tcPr>
            <w:tcW w:w="1413" w:type="dxa"/>
          </w:tcPr>
          <w:p w14:paraId="462E3340" w14:textId="121071FF" w:rsidR="006B7C16" w:rsidRPr="009A02E2" w:rsidRDefault="006B7C16" w:rsidP="00AF20F7">
            <w:pPr>
              <w:rPr>
                <w:lang w:val="en-GB"/>
              </w:rPr>
            </w:pPr>
            <w:r>
              <w:rPr>
                <w:lang w:val="en-GB"/>
              </w:rPr>
              <w:lastRenderedPageBreak/>
              <w:t>Qualcomm</w:t>
            </w:r>
          </w:p>
        </w:tc>
        <w:tc>
          <w:tcPr>
            <w:tcW w:w="8216" w:type="dxa"/>
            <w:gridSpan w:val="3"/>
          </w:tcPr>
          <w:p w14:paraId="308C7BB1" w14:textId="3817D52F" w:rsidR="006B7C16" w:rsidRDefault="006B7C16" w:rsidP="00AF20F7">
            <w:pPr>
              <w:rPr>
                <w:sz w:val="18"/>
                <w:szCs w:val="18"/>
                <w:lang w:val="en-GB"/>
              </w:rPr>
            </w:pPr>
            <w:r>
              <w:rPr>
                <w:sz w:val="18"/>
                <w:szCs w:val="18"/>
                <w:lang w:val="en-GB"/>
              </w:rPr>
              <w:t>Our view</w:t>
            </w:r>
            <w:r w:rsidR="006C0F36">
              <w:rPr>
                <w:sz w:val="18"/>
                <w:szCs w:val="18"/>
                <w:lang w:val="en-GB"/>
              </w:rPr>
              <w:t xml:space="preserve"> is</w:t>
            </w:r>
            <w:r>
              <w:rPr>
                <w:sz w:val="18"/>
                <w:szCs w:val="18"/>
                <w:lang w:val="en-GB"/>
              </w:rPr>
              <w:t xml:space="preserve"> none of </w:t>
            </w:r>
            <w:r w:rsidR="003D1DDE">
              <w:rPr>
                <w:sz w:val="18"/>
                <w:szCs w:val="18"/>
                <w:lang w:val="en-GB"/>
              </w:rPr>
              <w:t xml:space="preserve">option 1, 2 or 3 is needed which is aligned with CATT’s views. </w:t>
            </w:r>
          </w:p>
          <w:p w14:paraId="01B8E0BC" w14:textId="4671128F" w:rsidR="00395F04" w:rsidRDefault="003D1DDE" w:rsidP="00395F04">
            <w:pPr>
              <w:rPr>
                <w:sz w:val="18"/>
                <w:szCs w:val="18"/>
                <w:lang w:val="en-GB"/>
              </w:rPr>
            </w:pPr>
            <w:r>
              <w:rPr>
                <w:sz w:val="18"/>
                <w:szCs w:val="18"/>
                <w:lang w:val="en-GB"/>
              </w:rPr>
              <w:t xml:space="preserve">We also do not </w:t>
            </w:r>
            <w:r w:rsidR="006C0F36">
              <w:rPr>
                <w:sz w:val="18"/>
                <w:szCs w:val="18"/>
                <w:lang w:val="en-GB"/>
              </w:rPr>
              <w:t>see</w:t>
            </w:r>
            <w:r>
              <w:rPr>
                <w:sz w:val="18"/>
                <w:szCs w:val="18"/>
                <w:lang w:val="en-GB"/>
              </w:rPr>
              <w:t xml:space="preserve"> it necessary to have more than </w:t>
            </w:r>
            <w:r w:rsidR="000C6A58">
              <w:rPr>
                <w:sz w:val="18"/>
                <w:szCs w:val="18"/>
                <w:lang w:val="en-GB"/>
              </w:rPr>
              <w:t xml:space="preserve">one </w:t>
            </w:r>
            <w:r>
              <w:rPr>
                <w:sz w:val="18"/>
                <w:szCs w:val="18"/>
                <w:lang w:val="en-GB"/>
              </w:rPr>
              <w:t xml:space="preserve">DCIs per PMO </w:t>
            </w:r>
            <w:r w:rsidR="00B72EE4">
              <w:rPr>
                <w:sz w:val="18"/>
                <w:szCs w:val="18"/>
                <w:lang w:val="en-GB"/>
              </w:rPr>
              <w:t>because</w:t>
            </w:r>
            <w:r w:rsidR="008F0BAE">
              <w:rPr>
                <w:sz w:val="18"/>
                <w:szCs w:val="18"/>
                <w:lang w:val="en-GB"/>
              </w:rPr>
              <w:t xml:space="preserve"> one slot scheduling multiple slots can be supported based on Case 2 PDCCH monitoring. </w:t>
            </w:r>
          </w:p>
          <w:p w14:paraId="20A3D474" w14:textId="7773C922" w:rsidR="00395F04" w:rsidRPr="00395F04" w:rsidRDefault="00395F04" w:rsidP="00395F04">
            <w:r>
              <w:rPr>
                <w:sz w:val="18"/>
                <w:szCs w:val="18"/>
              </w:rPr>
              <w:t xml:space="preserve">Both option 1 to 3 and multiple DCIs per PMO are optimizations that </w:t>
            </w:r>
            <w:r w:rsidR="00223E44">
              <w:rPr>
                <w:sz w:val="18"/>
                <w:szCs w:val="18"/>
              </w:rPr>
              <w:t>result in</w:t>
            </w:r>
            <w:r>
              <w:rPr>
                <w:sz w:val="18"/>
                <w:szCs w:val="18"/>
              </w:rPr>
              <w:t xml:space="preserve"> unncessary</w:t>
            </w:r>
            <w:r w:rsidR="00223E44">
              <w:rPr>
                <w:sz w:val="18"/>
                <w:szCs w:val="18"/>
              </w:rPr>
              <w:t xml:space="preserve"> new UE implementation </w:t>
            </w:r>
            <w:r>
              <w:rPr>
                <w:sz w:val="18"/>
                <w:szCs w:val="18"/>
              </w:rPr>
              <w:t>for Rel-16.</w:t>
            </w:r>
          </w:p>
        </w:tc>
      </w:tr>
      <w:tr w:rsidR="00FA7866" w:rsidRPr="009A02E2" w14:paraId="1D9BE551" w14:textId="77777777" w:rsidTr="00AF20F7">
        <w:tc>
          <w:tcPr>
            <w:tcW w:w="1413" w:type="dxa"/>
          </w:tcPr>
          <w:p w14:paraId="2EBF9844" w14:textId="20E51FE3" w:rsidR="00FA7866" w:rsidRPr="009A02E2" w:rsidRDefault="001F247B" w:rsidP="00AF20F7">
            <w:pPr>
              <w:rPr>
                <w:lang w:val="en-GB"/>
              </w:rPr>
            </w:pPr>
            <w:r>
              <w:rPr>
                <w:lang w:val="en-GB"/>
              </w:rPr>
              <w:t>MTK</w:t>
            </w:r>
          </w:p>
        </w:tc>
        <w:tc>
          <w:tcPr>
            <w:tcW w:w="2738" w:type="dxa"/>
          </w:tcPr>
          <w:p w14:paraId="07413E6D" w14:textId="620982FC" w:rsidR="00FA7866" w:rsidRPr="009A02E2" w:rsidRDefault="00683EF1" w:rsidP="00AF20F7">
            <w:pPr>
              <w:rPr>
                <w:sz w:val="18"/>
                <w:szCs w:val="18"/>
                <w:lang w:val="en-GB"/>
              </w:rPr>
            </w:pPr>
            <w:r>
              <w:rPr>
                <w:sz w:val="18"/>
                <w:szCs w:val="18"/>
                <w:lang w:val="en-GB"/>
              </w:rPr>
              <w:t>We think Option 1 is viable.</w:t>
            </w:r>
          </w:p>
        </w:tc>
        <w:tc>
          <w:tcPr>
            <w:tcW w:w="2739" w:type="dxa"/>
          </w:tcPr>
          <w:p w14:paraId="6D048747" w14:textId="47098022" w:rsidR="00FA7866" w:rsidRPr="009A02E2" w:rsidRDefault="00683EF1" w:rsidP="00AF20F7">
            <w:pPr>
              <w:rPr>
                <w:sz w:val="18"/>
                <w:szCs w:val="18"/>
                <w:lang w:val="en-GB"/>
              </w:rPr>
            </w:pPr>
            <w:r>
              <w:rPr>
                <w:sz w:val="18"/>
                <w:szCs w:val="18"/>
                <w:lang w:val="en-GB"/>
              </w:rPr>
              <w:t>We think Option 2 is the most straight forward and easy way</w:t>
            </w:r>
            <w:r w:rsidR="00411644">
              <w:rPr>
                <w:sz w:val="18"/>
                <w:szCs w:val="18"/>
                <w:lang w:val="en-GB"/>
              </w:rPr>
              <w:t xml:space="preserve"> to order the codebook</w:t>
            </w:r>
            <w:r>
              <w:rPr>
                <w:sz w:val="18"/>
                <w:szCs w:val="18"/>
                <w:lang w:val="en-GB"/>
              </w:rPr>
              <w:t xml:space="preserve">. However, </w:t>
            </w:r>
            <w:r w:rsidR="00411644">
              <w:rPr>
                <w:sz w:val="18"/>
                <w:szCs w:val="18"/>
                <w:lang w:val="en-GB"/>
              </w:rPr>
              <w:t>we expect</w:t>
            </w:r>
            <w:r>
              <w:rPr>
                <w:sz w:val="18"/>
                <w:szCs w:val="18"/>
                <w:lang w:val="en-GB"/>
              </w:rPr>
              <w:t xml:space="preserve"> proponents of Option 2 [3][7] </w:t>
            </w:r>
            <w:r w:rsidR="00411644">
              <w:rPr>
                <w:sz w:val="18"/>
                <w:szCs w:val="18"/>
                <w:lang w:val="en-GB"/>
              </w:rPr>
              <w:t>can clarify how to handle the issue mentioned by ZTE (two CORSETs with the same CCE (say 0) mapping to the same PDCCH MO).</w:t>
            </w:r>
            <w:r>
              <w:rPr>
                <w:sz w:val="18"/>
                <w:szCs w:val="18"/>
                <w:lang w:val="en-GB"/>
              </w:rPr>
              <w:t xml:space="preserve"> </w:t>
            </w:r>
          </w:p>
        </w:tc>
        <w:tc>
          <w:tcPr>
            <w:tcW w:w="2739" w:type="dxa"/>
          </w:tcPr>
          <w:p w14:paraId="61C6AB06" w14:textId="7A6E02E2" w:rsidR="00FA7866" w:rsidRPr="009A02E2" w:rsidRDefault="00411644" w:rsidP="00411644">
            <w:pPr>
              <w:rPr>
                <w:sz w:val="18"/>
                <w:szCs w:val="18"/>
                <w:lang w:val="en-GB"/>
              </w:rPr>
            </w:pPr>
            <w:r>
              <w:rPr>
                <w:sz w:val="18"/>
                <w:szCs w:val="18"/>
                <w:lang w:val="en-GB"/>
              </w:rPr>
              <w:t>We also see the issue as ZTE pointed out. Proponent of Option 3 [6] can clarify how to handle the mentioned scenario (</w:t>
            </w:r>
            <w:r>
              <w:rPr>
                <w:rFonts w:eastAsiaTheme="minorEastAsia"/>
                <w:sz w:val="18"/>
                <w:szCs w:val="18"/>
                <w:lang w:val="en-GB" w:eastAsia="zh-CN"/>
              </w:rPr>
              <w:t>number of DCIs per MO is &gt;= 4</w:t>
            </w:r>
            <w:r>
              <w:rPr>
                <w:sz w:val="18"/>
                <w:szCs w:val="18"/>
                <w:lang w:val="en-GB"/>
              </w:rPr>
              <w:t>).</w:t>
            </w:r>
          </w:p>
        </w:tc>
      </w:tr>
      <w:tr w:rsidR="003767C1" w:rsidRPr="009A02E2" w14:paraId="5C1CD8FC" w14:textId="77777777" w:rsidTr="00B42308">
        <w:tc>
          <w:tcPr>
            <w:tcW w:w="1413" w:type="dxa"/>
          </w:tcPr>
          <w:p w14:paraId="00B909A1" w14:textId="41712CB4" w:rsidR="003767C1" w:rsidRPr="009A02E2" w:rsidRDefault="003767C1" w:rsidP="00AF20F7">
            <w:pPr>
              <w:rPr>
                <w:lang w:val="en-GB"/>
              </w:rPr>
            </w:pPr>
            <w:r>
              <w:rPr>
                <w:lang w:val="en-GB"/>
              </w:rPr>
              <w:t>vivo</w:t>
            </w:r>
          </w:p>
        </w:tc>
        <w:tc>
          <w:tcPr>
            <w:tcW w:w="8216" w:type="dxa"/>
            <w:gridSpan w:val="3"/>
          </w:tcPr>
          <w:p w14:paraId="11AB7DCF" w14:textId="1CD2B633" w:rsidR="003767C1" w:rsidRDefault="003767C1" w:rsidP="00AF20F7">
            <w:pPr>
              <w:rPr>
                <w:sz w:val="18"/>
                <w:szCs w:val="18"/>
                <w:lang w:val="en-GB"/>
              </w:rPr>
            </w:pPr>
            <w:r>
              <w:rPr>
                <w:sz w:val="18"/>
                <w:szCs w:val="18"/>
                <w:lang w:val="en-GB"/>
              </w:rPr>
              <w:t>None of the option is needed.</w:t>
            </w:r>
          </w:p>
          <w:p w14:paraId="0B371B3E" w14:textId="5028D7E7" w:rsidR="003767C1" w:rsidRPr="009A02E2" w:rsidRDefault="003767C1" w:rsidP="003767C1">
            <w:pPr>
              <w:rPr>
                <w:sz w:val="18"/>
                <w:szCs w:val="18"/>
                <w:lang w:val="en-GB"/>
              </w:rPr>
            </w:pPr>
            <w:r>
              <w:rPr>
                <w:sz w:val="18"/>
                <w:szCs w:val="18"/>
                <w:lang w:val="en-GB"/>
              </w:rPr>
              <w:t>The proposed option increases the UE complexity (i.e., counting the PDSCH starting time). Moreover each option may have its issue. For example, by option-2 the content of DCI (i.e., DAI) will depend on the mapping location of DCI (i.e., CCE index) which is determined after the generating the coded symbol of DCI. Such kind of change should be avoid.</w:t>
            </w:r>
            <w:bookmarkStart w:id="1" w:name="_GoBack"/>
            <w:bookmarkEnd w:id="1"/>
          </w:p>
        </w:tc>
      </w:tr>
      <w:tr w:rsidR="00FA7866" w:rsidRPr="009A02E2" w14:paraId="607B8F09" w14:textId="77777777" w:rsidTr="00AF20F7">
        <w:tc>
          <w:tcPr>
            <w:tcW w:w="1413" w:type="dxa"/>
          </w:tcPr>
          <w:p w14:paraId="59BD35FA" w14:textId="097AEDBC" w:rsidR="00FA7866" w:rsidRPr="009A02E2" w:rsidRDefault="00FA7866" w:rsidP="00AF20F7">
            <w:pPr>
              <w:rPr>
                <w:lang w:val="en-GB"/>
              </w:rPr>
            </w:pPr>
          </w:p>
        </w:tc>
        <w:tc>
          <w:tcPr>
            <w:tcW w:w="2738" w:type="dxa"/>
          </w:tcPr>
          <w:p w14:paraId="4ACCB061" w14:textId="77777777" w:rsidR="00FA7866" w:rsidRPr="009A02E2" w:rsidRDefault="00FA7866" w:rsidP="00AF20F7">
            <w:pPr>
              <w:rPr>
                <w:sz w:val="18"/>
                <w:szCs w:val="18"/>
                <w:lang w:val="en-GB"/>
              </w:rPr>
            </w:pPr>
          </w:p>
        </w:tc>
        <w:tc>
          <w:tcPr>
            <w:tcW w:w="2739" w:type="dxa"/>
          </w:tcPr>
          <w:p w14:paraId="29975D0B" w14:textId="77777777" w:rsidR="00FA7866" w:rsidRPr="009A02E2" w:rsidRDefault="00FA7866" w:rsidP="00AF20F7">
            <w:pPr>
              <w:rPr>
                <w:sz w:val="18"/>
                <w:szCs w:val="18"/>
                <w:lang w:val="en-GB"/>
              </w:rPr>
            </w:pPr>
          </w:p>
        </w:tc>
        <w:tc>
          <w:tcPr>
            <w:tcW w:w="2739" w:type="dxa"/>
          </w:tcPr>
          <w:p w14:paraId="2ED946BD" w14:textId="77777777" w:rsidR="00FA7866" w:rsidRPr="009A02E2" w:rsidRDefault="00FA7866" w:rsidP="00AF20F7">
            <w:pPr>
              <w:rPr>
                <w:sz w:val="18"/>
                <w:szCs w:val="18"/>
                <w:lang w:val="en-GB"/>
              </w:rPr>
            </w:pPr>
          </w:p>
        </w:tc>
      </w:tr>
    </w:tbl>
    <w:p w14:paraId="06CA99B5" w14:textId="77777777" w:rsidR="00FA7866" w:rsidRPr="009A02E2" w:rsidRDefault="00FA7866" w:rsidP="0038295D">
      <w:pPr>
        <w:rPr>
          <w:rFonts w:eastAsia="MS Gothic"/>
        </w:rPr>
      </w:pPr>
    </w:p>
    <w:p w14:paraId="3A609EA3" w14:textId="288989BC" w:rsidR="0038295D" w:rsidRPr="009A02E2" w:rsidRDefault="00CF052D" w:rsidP="0038295D">
      <w:pPr>
        <w:pStyle w:val="1"/>
        <w:rPr>
          <w:rStyle w:val="1Char"/>
        </w:rPr>
      </w:pPr>
      <w:r w:rsidRPr="009A02E2">
        <w:rPr>
          <w:rStyle w:val="1Char"/>
        </w:rPr>
        <w:t>3</w:t>
      </w:r>
      <w:r w:rsidR="0038295D" w:rsidRPr="009A02E2">
        <w:rPr>
          <w:rStyle w:val="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1"/>
        <w:rPr>
          <w:rStyle w:val="1Char"/>
        </w:rPr>
      </w:pPr>
      <w:r w:rsidRPr="009A02E2">
        <w:rPr>
          <w:rStyle w:val="1Char"/>
        </w:rPr>
        <w:t>References</w:t>
      </w:r>
    </w:p>
    <w:p w14:paraId="48738CA8" w14:textId="45BF99CD" w:rsidR="00461CBB" w:rsidRPr="009A02E2" w:rsidRDefault="00461CBB" w:rsidP="00461CBB">
      <w:pPr>
        <w:pStyle w:val="af7"/>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R1-2003508, Remaing issues on cross-carrier scheduling with different numerology, Huawei, HiSilicon</w:t>
      </w:r>
    </w:p>
    <w:p w14:paraId="331ED59F" w14:textId="5BBA768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af7"/>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4C79C" w14:textId="77777777" w:rsidR="005B3014" w:rsidRDefault="005B3014">
      <w:r>
        <w:separator/>
      </w:r>
    </w:p>
  </w:endnote>
  <w:endnote w:type="continuationSeparator" w:id="0">
    <w:p w14:paraId="238F8F71" w14:textId="77777777" w:rsidR="005B3014" w:rsidRDefault="005B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767C1">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767C1">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31B78" w14:textId="77777777" w:rsidR="005B3014" w:rsidRDefault="005B3014">
      <w:r>
        <w:separator/>
      </w:r>
    </w:p>
  </w:footnote>
  <w:footnote w:type="continuationSeparator" w:id="0">
    <w:p w14:paraId="3C1BB0CF" w14:textId="77777777" w:rsidR="005B3014" w:rsidRDefault="005B3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2"/>
  </w:num>
  <w:num w:numId="3">
    <w:abstractNumId w:val="15"/>
  </w:num>
  <w:num w:numId="4">
    <w:abstractNumId w:val="16"/>
  </w:num>
  <w:num w:numId="5">
    <w:abstractNumId w:val="9"/>
  </w:num>
  <w:num w:numId="6">
    <w:abstractNumId w:val="20"/>
  </w:num>
  <w:num w:numId="7">
    <w:abstractNumId w:val="28"/>
  </w:num>
  <w:num w:numId="8">
    <w:abstractNumId w:val="10"/>
  </w:num>
  <w:num w:numId="9">
    <w:abstractNumId w:val="8"/>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9"/>
  </w:num>
  <w:num w:numId="17">
    <w:abstractNumId w:val="6"/>
  </w:num>
  <w:num w:numId="18">
    <w:abstractNumId w:val="7"/>
  </w:num>
  <w:num w:numId="19">
    <w:abstractNumId w:val="4"/>
  </w:num>
  <w:num w:numId="20">
    <w:abstractNumId w:val="39"/>
  </w:num>
  <w:num w:numId="21">
    <w:abstractNumId w:val="11"/>
  </w:num>
  <w:num w:numId="22">
    <w:abstractNumId w:val="34"/>
  </w:num>
  <w:num w:numId="23">
    <w:abstractNumId w:val="21"/>
  </w:num>
  <w:num w:numId="24">
    <w:abstractNumId w:val="13"/>
  </w:num>
  <w:num w:numId="25">
    <w:abstractNumId w:val="32"/>
  </w:num>
  <w:num w:numId="26">
    <w:abstractNumId w:val="35"/>
  </w:num>
  <w:num w:numId="27">
    <w:abstractNumId w:val="41"/>
  </w:num>
  <w:num w:numId="28">
    <w:abstractNumId w:val="31"/>
  </w:num>
  <w:num w:numId="29">
    <w:abstractNumId w:val="26"/>
  </w:num>
  <w:num w:numId="30">
    <w:abstractNumId w:val="5"/>
  </w:num>
  <w:num w:numId="31">
    <w:abstractNumId w:val="12"/>
  </w:num>
  <w:num w:numId="32">
    <w:abstractNumId w:val="23"/>
  </w:num>
  <w:num w:numId="33">
    <w:abstractNumId w:val="37"/>
  </w:num>
  <w:num w:numId="34">
    <w:abstractNumId w:val="33"/>
  </w:num>
  <w:num w:numId="35">
    <w:abstractNumId w:val="36"/>
  </w:num>
  <w:num w:numId="36">
    <w:abstractNumId w:val="14"/>
  </w:num>
  <w:num w:numId="37">
    <w:abstractNumId w:val="40"/>
  </w:num>
  <w:num w:numId="38">
    <w:abstractNumId w:val="38"/>
  </w:num>
  <w:num w:numId="39">
    <w:abstractNumId w:val="17"/>
  </w:num>
  <w:num w:numId="40">
    <w:abstractNumId w:val="19"/>
  </w:num>
  <w:num w:numId="41">
    <w:abstractNumId w:val="42"/>
  </w:num>
  <w:num w:numId="42">
    <w:abstractNumId w:val="30"/>
  </w:num>
  <w:num w:numId="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6A58"/>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41AC"/>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0C33"/>
    <w:rsid w:val="001D51BA"/>
    <w:rsid w:val="001D53E7"/>
    <w:rsid w:val="001D6342"/>
    <w:rsid w:val="001D6D53"/>
    <w:rsid w:val="001E58E2"/>
    <w:rsid w:val="001E7789"/>
    <w:rsid w:val="001E7AED"/>
    <w:rsid w:val="001F247B"/>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E44"/>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67C1"/>
    <w:rsid w:val="00377CE1"/>
    <w:rsid w:val="0038295D"/>
    <w:rsid w:val="00385BF0"/>
    <w:rsid w:val="003863A4"/>
    <w:rsid w:val="00390989"/>
    <w:rsid w:val="003939FF"/>
    <w:rsid w:val="00395F0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1DDE"/>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1644"/>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014"/>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170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3EF1"/>
    <w:rsid w:val="00684674"/>
    <w:rsid w:val="00695FC2"/>
    <w:rsid w:val="00696949"/>
    <w:rsid w:val="00697052"/>
    <w:rsid w:val="006A46FB"/>
    <w:rsid w:val="006A5E28"/>
    <w:rsid w:val="006A697B"/>
    <w:rsid w:val="006A7AFF"/>
    <w:rsid w:val="006B1204"/>
    <w:rsid w:val="006B1816"/>
    <w:rsid w:val="006B2099"/>
    <w:rsid w:val="006B50CF"/>
    <w:rsid w:val="006B7C16"/>
    <w:rsid w:val="006C03B8"/>
    <w:rsid w:val="006C0F36"/>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77D8"/>
    <w:rsid w:val="008B0483"/>
    <w:rsid w:val="008B120C"/>
    <w:rsid w:val="008B2163"/>
    <w:rsid w:val="008B51A0"/>
    <w:rsid w:val="008B592A"/>
    <w:rsid w:val="008B635D"/>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0BAE"/>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2EE4"/>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9722A"/>
    <w:rsid w:val="00EA57B1"/>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72CF29E-E537-4232-9C19-E96A4D33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4527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Zichao Ji, vivo</cp:lastModifiedBy>
  <cp:revision>2</cp:revision>
  <cp:lastPrinted>2008-01-31T07:09:00Z</cp:lastPrinted>
  <dcterms:created xsi:type="dcterms:W3CDTF">2020-05-26T10:07:00Z</dcterms:created>
  <dcterms:modified xsi:type="dcterms:W3CDTF">2020-05-26T10:07:00Z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