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B150E4C"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AA52D9" w:rsidRPr="00AA52D9">
        <w:t xml:space="preserve"> </w:t>
      </w:r>
      <w:r w:rsidR="00AA52D9" w:rsidRPr="00AA52D9">
        <w:rPr>
          <w:sz w:val="32"/>
          <w:szCs w:val="32"/>
        </w:rPr>
        <w:t>20</w:t>
      </w:r>
      <w:r w:rsidR="00BA5ED1">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2B440C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86B84">
        <w:rPr>
          <w:rFonts w:cs="Arial"/>
          <w:sz w:val="22"/>
          <w:lang w:val="en-US"/>
        </w:rPr>
        <w:t xml:space="preserve"> #</w:t>
      </w:r>
      <w:r w:rsidR="00BA5ED1">
        <w:rPr>
          <w:rFonts w:cs="Arial"/>
          <w:sz w:val="22"/>
          <w:lang w:val="en-US"/>
        </w:rPr>
        <w:t>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bookmarkStart w:id="1" w:name="_GoBack"/>
      <w:bookmarkEnd w:id="1"/>
    </w:p>
    <w:p w14:paraId="1F85AB37" w14:textId="12A76A96" w:rsidR="00630A3B" w:rsidRPr="0028027B" w:rsidRDefault="00630A3B" w:rsidP="00630A3B">
      <w:pPr>
        <w:pStyle w:val="BodyText"/>
        <w:rPr>
          <w:rFonts w:cs="Arial"/>
          <w:lang w:val="en-US"/>
        </w:rPr>
      </w:pPr>
      <w:bookmarkStart w:id="2" w:name="_Ref178064866"/>
      <w:r w:rsidRPr="00A371ED">
        <w:rPr>
          <w:rFonts w:cs="Arial"/>
          <w:lang w:val="en-US"/>
        </w:rPr>
        <w:t>This document</w:t>
      </w:r>
      <w:r>
        <w:rPr>
          <w:rFonts w:cs="Arial"/>
          <w:lang w:val="en-US"/>
        </w:rPr>
        <w:t xml:space="preserve"> summarizes the email discussion </w:t>
      </w:r>
      <w:r w:rsidR="005D03A5">
        <w:rPr>
          <w:rFonts w:cs="Arial"/>
          <w:lang w:val="en-US"/>
        </w:rPr>
        <w:t>[</w:t>
      </w:r>
      <w:r w:rsidR="005D03A5" w:rsidRPr="0079271B">
        <w:rPr>
          <w:rFonts w:cs="Arial"/>
          <w:lang w:val="en-US"/>
        </w:rPr>
        <w:t>101-e-LTE-eMTC5-Coex-NR</w:t>
      </w:r>
      <w:r w:rsidR="005D03A5">
        <w:rPr>
          <w:rFonts w:cs="Arial"/>
          <w:lang w:val="en-US"/>
        </w:rPr>
        <w:t>-01]</w:t>
      </w:r>
      <w:r w:rsidR="004A78CE">
        <w:rPr>
          <w:rFonts w:cs="Arial"/>
          <w:lang w:val="en-US"/>
        </w:rPr>
        <w:t xml:space="preserve">. This email discussion </w:t>
      </w:r>
      <w:r>
        <w:rPr>
          <w:rFonts w:cs="Arial"/>
          <w:lang w:val="en-US"/>
        </w:rPr>
        <w:t>follow</w:t>
      </w:r>
      <w:r w:rsidR="004A78CE">
        <w:rPr>
          <w:rFonts w:cs="Arial"/>
          <w:lang w:val="en-US"/>
        </w:rPr>
        <w:t>ed</w:t>
      </w:r>
      <w:r>
        <w:rPr>
          <w:rFonts w:cs="Arial"/>
          <w:lang w:val="en-US"/>
        </w:rPr>
        <w:t xml:space="preserve"> the preparatory email discussion</w:t>
      </w:r>
      <w:r w:rsidR="0079271B">
        <w:rPr>
          <w:rFonts w:cs="Arial"/>
          <w:lang w:val="en-US"/>
        </w:rPr>
        <w:t xml:space="preserve"> </w:t>
      </w:r>
      <w:r w:rsidR="0079271B" w:rsidRPr="0079271B">
        <w:rPr>
          <w:rFonts w:cs="Arial"/>
          <w:lang w:val="en-US"/>
        </w:rPr>
        <w:t>[101-e-Prep-LTE-eMTC5-Coex-NR]</w:t>
      </w:r>
      <w:r>
        <w:rPr>
          <w:rFonts w:cs="Arial"/>
          <w:lang w:val="en-US"/>
        </w:rPr>
        <w:t xml:space="preserve"> which is </w:t>
      </w:r>
      <w:r w:rsidR="00F04287">
        <w:rPr>
          <w:rFonts w:cs="Arial"/>
          <w:lang w:val="en-US"/>
        </w:rPr>
        <w:t>summarized</w:t>
      </w:r>
      <w:r>
        <w:rPr>
          <w:rFonts w:cs="Arial"/>
          <w:lang w:val="en-US"/>
        </w:rPr>
        <w:t xml:space="preserve"> in </w:t>
      </w:r>
      <w:r w:rsidR="0079271B">
        <w:rPr>
          <w:rFonts w:cs="Arial"/>
          <w:highlight w:val="yellow"/>
          <w:lang w:val="en-US"/>
        </w:rPr>
        <w:fldChar w:fldCharType="begin"/>
      </w:r>
      <w:r w:rsidR="0079271B">
        <w:rPr>
          <w:rFonts w:cs="Arial"/>
          <w:lang w:val="en-US"/>
        </w:rPr>
        <w:instrText xml:space="preserve"> REF _Ref41155660 \r \h </w:instrText>
      </w:r>
      <w:r w:rsidR="0079271B">
        <w:rPr>
          <w:rFonts w:cs="Arial"/>
          <w:highlight w:val="yellow"/>
          <w:lang w:val="en-US"/>
        </w:rPr>
      </w:r>
      <w:r w:rsidR="0079271B">
        <w:rPr>
          <w:rFonts w:cs="Arial"/>
          <w:highlight w:val="yellow"/>
          <w:lang w:val="en-US"/>
        </w:rPr>
        <w:fldChar w:fldCharType="separate"/>
      </w:r>
      <w:r w:rsidR="0079271B">
        <w:rPr>
          <w:rFonts w:cs="Arial"/>
          <w:lang w:val="en-US"/>
        </w:rPr>
        <w:t>[6]</w:t>
      </w:r>
      <w:r w:rsidR="0079271B">
        <w:rPr>
          <w:rFonts w:cs="Arial"/>
          <w:highlight w:val="yellow"/>
          <w:lang w:val="en-US"/>
        </w:rPr>
        <w:fldChar w:fldCharType="end"/>
      </w:r>
      <w:r>
        <w:rPr>
          <w:rFonts w:cs="Arial"/>
          <w:lang w:val="en-US"/>
        </w:rPr>
        <w:t>.</w:t>
      </w:r>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079F0F89"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79271B">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6C5EF671" w:rsidR="00A75CAD" w:rsidRDefault="0043115F" w:rsidP="0043115F">
      <w:pPr>
        <w:pStyle w:val="BodyText"/>
        <w:rPr>
          <w:rFonts w:cs="Arial"/>
          <w:lang w:val="en-US"/>
        </w:rPr>
      </w:pPr>
      <w:r w:rsidRPr="0043115F">
        <w:rPr>
          <w:rFonts w:cs="Arial"/>
          <w:lang w:val="en-US"/>
        </w:rPr>
        <w:t>ZTE</w:t>
      </w:r>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79271B">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79271B">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SimSun" w:eastAsia="SimSun" w:hAnsi="SimSun"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SimSun"/>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0B63DEE" w:rsidR="00315C47" w:rsidRPr="00945572" w:rsidRDefault="0020692E" w:rsidP="0020692E">
      <w:pPr>
        <w:pStyle w:val="Proposal"/>
        <w:numPr>
          <w:ilvl w:val="0"/>
          <w:numId w:val="0"/>
        </w:numPr>
        <w:ind w:left="1701" w:hanging="1701"/>
        <w:rPr>
          <w:highlight w:val="yellow"/>
        </w:rPr>
      </w:pPr>
      <w:bookmarkStart w:id="8" w:name="_Ref40537062"/>
      <w:r>
        <w:rPr>
          <w:highlight w:val="yellow"/>
        </w:rPr>
        <w:t>Proposal 1</w:t>
      </w:r>
      <w:r>
        <w:rPr>
          <w:highlight w:val="yellow"/>
        </w:rPr>
        <w:tab/>
      </w:r>
      <w:r w:rsidR="00315C47">
        <w:rPr>
          <w:highlight w:val="yellow"/>
        </w:rPr>
        <w:t>Consider the above 36.213 TP on resource reservation in special subframes.</w:t>
      </w:r>
      <w:bookmarkEnd w:id="8"/>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20C453D7"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w:t>
            </w:r>
            <w:r w:rsidR="0020692E">
              <w:rPr>
                <w:b/>
                <w:bCs/>
                <w:sz w:val="20"/>
                <w:szCs w:val="20"/>
              </w:rPr>
              <w:t>on Proposal 1</w:t>
            </w:r>
          </w:p>
        </w:tc>
      </w:tr>
      <w:tr w:rsidR="00315C47" w14:paraId="0DB21797" w14:textId="77777777" w:rsidTr="0049345A">
        <w:tc>
          <w:tcPr>
            <w:tcW w:w="2263" w:type="dxa"/>
          </w:tcPr>
          <w:p w14:paraId="6EE770BB" w14:textId="22BF8AC8" w:rsidR="00315C47" w:rsidRPr="00AB2FAD" w:rsidRDefault="00315C47" w:rsidP="0049345A">
            <w:pPr>
              <w:pStyle w:val="BodyText"/>
              <w:jc w:val="left"/>
              <w:rPr>
                <w:rFonts w:eastAsiaTheme="minorEastAsia" w:cs="Arial"/>
                <w:sz w:val="20"/>
                <w:szCs w:val="20"/>
                <w:lang w:val="en-US"/>
              </w:rPr>
            </w:pPr>
          </w:p>
        </w:tc>
        <w:tc>
          <w:tcPr>
            <w:tcW w:w="7366" w:type="dxa"/>
          </w:tcPr>
          <w:p w14:paraId="3FDC9E4F" w14:textId="1C19BEF5" w:rsidR="00315C47" w:rsidRPr="00AB2FAD" w:rsidRDefault="00315C47" w:rsidP="006021F2">
            <w:pPr>
              <w:pStyle w:val="BodyText"/>
              <w:jc w:val="left"/>
              <w:rPr>
                <w:rFonts w:eastAsiaTheme="minorEastAsia" w:cs="Arial"/>
                <w:sz w:val="20"/>
                <w:szCs w:val="20"/>
                <w:lang w:val="en-US"/>
              </w:rPr>
            </w:pPr>
          </w:p>
        </w:tc>
      </w:tr>
      <w:tr w:rsidR="00315C47" w14:paraId="762DDF22" w14:textId="77777777" w:rsidTr="0049345A">
        <w:tc>
          <w:tcPr>
            <w:tcW w:w="2263" w:type="dxa"/>
          </w:tcPr>
          <w:p w14:paraId="043FBC00" w14:textId="797EDC11" w:rsidR="00315C47" w:rsidRPr="00AB2FAD" w:rsidRDefault="00315C47" w:rsidP="0049345A">
            <w:pPr>
              <w:pStyle w:val="BodyText"/>
              <w:jc w:val="left"/>
              <w:rPr>
                <w:rFonts w:cs="Arial"/>
                <w:sz w:val="20"/>
                <w:szCs w:val="20"/>
                <w:lang w:val="en-US"/>
              </w:rPr>
            </w:pPr>
          </w:p>
        </w:tc>
        <w:tc>
          <w:tcPr>
            <w:tcW w:w="7366" w:type="dxa"/>
          </w:tcPr>
          <w:p w14:paraId="1C1BEBB2" w14:textId="293BE2F7" w:rsidR="00315C47" w:rsidRPr="00AB2FAD" w:rsidRDefault="00315C47" w:rsidP="0049345A">
            <w:pPr>
              <w:pStyle w:val="BodyText"/>
              <w:jc w:val="left"/>
              <w:rPr>
                <w:rFonts w:cs="Arial"/>
                <w:sz w:val="20"/>
                <w:szCs w:val="20"/>
                <w:lang w:val="en-US"/>
              </w:rPr>
            </w:pPr>
          </w:p>
        </w:tc>
      </w:tr>
      <w:tr w:rsidR="003C29AF" w14:paraId="1D5EBDC2" w14:textId="77777777" w:rsidTr="0049345A">
        <w:tc>
          <w:tcPr>
            <w:tcW w:w="2263" w:type="dxa"/>
          </w:tcPr>
          <w:p w14:paraId="58D60287" w14:textId="7047EAB5" w:rsidR="003C29AF" w:rsidRPr="00AB2FAD" w:rsidRDefault="003C29AF" w:rsidP="003C29AF">
            <w:pPr>
              <w:pStyle w:val="BodyText"/>
              <w:jc w:val="left"/>
              <w:rPr>
                <w:rFonts w:cs="Arial"/>
                <w:sz w:val="20"/>
                <w:szCs w:val="20"/>
                <w:lang w:val="en-US"/>
              </w:rPr>
            </w:pPr>
          </w:p>
        </w:tc>
        <w:tc>
          <w:tcPr>
            <w:tcW w:w="7366" w:type="dxa"/>
          </w:tcPr>
          <w:p w14:paraId="252BD388" w14:textId="12CD7D2D" w:rsidR="003C29AF" w:rsidRPr="00080BA8" w:rsidRDefault="003C29AF" w:rsidP="003C29AF">
            <w:pPr>
              <w:pStyle w:val="BodyText"/>
              <w:jc w:val="left"/>
              <w:rPr>
                <w:rFonts w:ascii="Times New Roman" w:hAnsi="Times New Roman"/>
                <w:sz w:val="20"/>
                <w:szCs w:val="20"/>
                <w:lang w:val="en-US"/>
              </w:rPr>
            </w:pPr>
          </w:p>
        </w:tc>
      </w:tr>
      <w:tr w:rsidR="003C29AF" w14:paraId="31894C16" w14:textId="77777777" w:rsidTr="0049345A">
        <w:tc>
          <w:tcPr>
            <w:tcW w:w="2263" w:type="dxa"/>
          </w:tcPr>
          <w:p w14:paraId="56A27B8A" w14:textId="3F89D483" w:rsidR="003C29AF" w:rsidRPr="00AB2FAD" w:rsidRDefault="003C29AF" w:rsidP="003C29AF">
            <w:pPr>
              <w:pStyle w:val="BodyText"/>
              <w:jc w:val="left"/>
              <w:rPr>
                <w:rFonts w:cs="Arial"/>
                <w:sz w:val="20"/>
                <w:szCs w:val="20"/>
                <w:lang w:val="en-US"/>
              </w:rPr>
            </w:pPr>
          </w:p>
        </w:tc>
        <w:tc>
          <w:tcPr>
            <w:tcW w:w="7366" w:type="dxa"/>
          </w:tcPr>
          <w:p w14:paraId="326A4296" w14:textId="120406E9" w:rsidR="003C29AF" w:rsidRPr="00AB2FAD" w:rsidRDefault="003C29AF" w:rsidP="003C29AF">
            <w:pPr>
              <w:pStyle w:val="BodyText"/>
              <w:jc w:val="left"/>
              <w:rPr>
                <w:rFonts w:cs="Arial"/>
                <w:sz w:val="20"/>
                <w:szCs w:val="20"/>
                <w:lang w:val="en-US"/>
              </w:rPr>
            </w:pPr>
          </w:p>
        </w:tc>
      </w:tr>
      <w:tr w:rsidR="003C29AF" w14:paraId="3C2BC541" w14:textId="77777777" w:rsidTr="0049345A">
        <w:tc>
          <w:tcPr>
            <w:tcW w:w="2263" w:type="dxa"/>
          </w:tcPr>
          <w:p w14:paraId="7B38A86D" w14:textId="19A807F8" w:rsidR="003C29AF" w:rsidRPr="00970DD6" w:rsidRDefault="003C29AF" w:rsidP="003C29AF">
            <w:pPr>
              <w:pStyle w:val="BodyText"/>
              <w:jc w:val="left"/>
              <w:rPr>
                <w:rFonts w:eastAsiaTheme="minorEastAsia" w:cs="Arial"/>
                <w:sz w:val="20"/>
                <w:szCs w:val="20"/>
                <w:lang w:val="en-US"/>
              </w:rPr>
            </w:pPr>
          </w:p>
        </w:tc>
        <w:tc>
          <w:tcPr>
            <w:tcW w:w="7366" w:type="dxa"/>
          </w:tcPr>
          <w:p w14:paraId="47A265E4" w14:textId="25AA8473" w:rsidR="003C29AF" w:rsidRPr="00970DD6" w:rsidRDefault="003C29AF" w:rsidP="003C29AF">
            <w:pPr>
              <w:pStyle w:val="BodyText"/>
              <w:jc w:val="left"/>
              <w:rPr>
                <w:rFonts w:eastAsiaTheme="minorEastAsia" w:cs="Arial"/>
                <w:sz w:val="20"/>
                <w:szCs w:val="20"/>
                <w:lang w:val="en-US"/>
              </w:rPr>
            </w:pPr>
          </w:p>
        </w:tc>
      </w:tr>
    </w:tbl>
    <w:p w14:paraId="0B30D50B" w14:textId="77777777" w:rsidR="0069649A" w:rsidRDefault="0069649A" w:rsidP="0069649A">
      <w:pPr>
        <w:pStyle w:val="BodyText"/>
      </w:pPr>
    </w:p>
    <w:p w14:paraId="25F6BA4D" w14:textId="3FEB0FB7" w:rsidR="00386779" w:rsidRDefault="00386779" w:rsidP="00386779">
      <w:pPr>
        <w:pStyle w:val="Heading1"/>
      </w:pPr>
      <w:r>
        <w:t xml:space="preserve">Issue #3: Resource reservation </w:t>
      </w:r>
      <w:r w:rsidR="003D2F1C">
        <w:t>for</w:t>
      </w:r>
      <w:r>
        <w:t xml:space="preserve"> DL DMRS</w:t>
      </w:r>
    </w:p>
    <w:p w14:paraId="0555F06C" w14:textId="31F7B86B"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79271B">
        <w:rPr>
          <w:rFonts w:ascii="Arial" w:hAnsi="Arial" w:cs="Arial"/>
          <w:lang w:val="en-US"/>
        </w:rPr>
        <w:t>[5]</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79271B">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9"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9"/>
          </w:p>
          <w:p w14:paraId="033ACEAA" w14:textId="77777777"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0"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1"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1"/>
          </w:p>
          <w:p w14:paraId="18FDBDA4"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2"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sz w:val="20"/>
                <w:szCs w:val="20"/>
                <w:lang w:eastAsia="en-US"/>
              </w:rPr>
              <w:t>&lt;Unchanged parts are omitted&gt;</w:t>
            </w:r>
          </w:p>
        </w:tc>
      </w:tr>
    </w:tbl>
    <w:p w14:paraId="0167B9FA" w14:textId="40DA2B3A" w:rsidR="005B704E" w:rsidRDefault="005B704E" w:rsidP="005B704E">
      <w:pPr>
        <w:pStyle w:val="BodyText"/>
      </w:pPr>
    </w:p>
    <w:p w14:paraId="37E1F140" w14:textId="00A73BBB" w:rsidR="00941513" w:rsidRPr="00945572" w:rsidRDefault="0020692E" w:rsidP="0020692E">
      <w:pPr>
        <w:pStyle w:val="Proposal"/>
        <w:numPr>
          <w:ilvl w:val="0"/>
          <w:numId w:val="0"/>
        </w:numPr>
        <w:ind w:left="1701" w:hanging="1701"/>
        <w:rPr>
          <w:highlight w:val="yellow"/>
        </w:rPr>
      </w:pPr>
      <w:bookmarkStart w:id="13" w:name="_Ref40536436"/>
      <w:r>
        <w:rPr>
          <w:highlight w:val="yellow"/>
        </w:rPr>
        <w:t>Proposal 3</w:t>
      </w:r>
      <w:r>
        <w:rPr>
          <w:highlight w:val="yellow"/>
        </w:rPr>
        <w:tab/>
      </w:r>
      <w:r w:rsidR="00941513">
        <w:rPr>
          <w:highlight w:val="yellow"/>
        </w:rPr>
        <w:t xml:space="preserve">Consider the </w:t>
      </w:r>
      <w:r w:rsidR="00A906B7">
        <w:rPr>
          <w:highlight w:val="yellow"/>
        </w:rPr>
        <w:t>above</w:t>
      </w:r>
      <w:r w:rsidR="00941513">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3"/>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76A5254B"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w:t>
            </w:r>
            <w:r w:rsidR="0020692E">
              <w:rPr>
                <w:b/>
                <w:bCs/>
                <w:sz w:val="20"/>
                <w:szCs w:val="20"/>
              </w:rPr>
              <w:t xml:space="preserve"> Proposal 3</w:t>
            </w:r>
          </w:p>
        </w:tc>
      </w:tr>
      <w:tr w:rsidR="00330BD6" w14:paraId="5ED6D717" w14:textId="77777777" w:rsidTr="00330BD6">
        <w:tc>
          <w:tcPr>
            <w:tcW w:w="2263" w:type="dxa"/>
          </w:tcPr>
          <w:p w14:paraId="503F7A06" w14:textId="52B2A655" w:rsidR="00330BD6" w:rsidRPr="00AB2FAD" w:rsidRDefault="00330BD6" w:rsidP="00757B0E">
            <w:pPr>
              <w:pStyle w:val="BodyText"/>
              <w:jc w:val="left"/>
              <w:rPr>
                <w:rFonts w:eastAsiaTheme="minorEastAsia" w:cs="Arial"/>
                <w:sz w:val="20"/>
                <w:szCs w:val="20"/>
                <w:lang w:val="en-US"/>
              </w:rPr>
            </w:pPr>
          </w:p>
        </w:tc>
        <w:tc>
          <w:tcPr>
            <w:tcW w:w="7366" w:type="dxa"/>
          </w:tcPr>
          <w:p w14:paraId="2E391491" w14:textId="5E4686EA" w:rsidR="00330BD6" w:rsidRPr="00AB2FAD" w:rsidRDefault="00330BD6" w:rsidP="00346999">
            <w:pPr>
              <w:pStyle w:val="BodyText"/>
              <w:jc w:val="left"/>
              <w:rPr>
                <w:rFonts w:eastAsiaTheme="minorEastAsia" w:cs="Arial"/>
                <w:sz w:val="20"/>
                <w:szCs w:val="20"/>
                <w:lang w:val="en-US"/>
              </w:rPr>
            </w:pPr>
          </w:p>
        </w:tc>
      </w:tr>
      <w:tr w:rsidR="002151E4" w14:paraId="6FA8A279" w14:textId="77777777" w:rsidTr="00330BD6">
        <w:tc>
          <w:tcPr>
            <w:tcW w:w="2263" w:type="dxa"/>
          </w:tcPr>
          <w:p w14:paraId="73067414" w14:textId="6F503892" w:rsidR="002151E4" w:rsidRPr="00AB2FAD" w:rsidRDefault="002151E4" w:rsidP="002151E4">
            <w:pPr>
              <w:pStyle w:val="BodyText"/>
              <w:jc w:val="left"/>
              <w:rPr>
                <w:rFonts w:cs="Arial"/>
                <w:sz w:val="20"/>
                <w:szCs w:val="20"/>
                <w:lang w:val="en-US"/>
              </w:rPr>
            </w:pPr>
          </w:p>
        </w:tc>
        <w:tc>
          <w:tcPr>
            <w:tcW w:w="7366" w:type="dxa"/>
          </w:tcPr>
          <w:p w14:paraId="59A02497" w14:textId="2AA3F73A" w:rsidR="002151E4" w:rsidRPr="00AB2FAD" w:rsidRDefault="002151E4" w:rsidP="002151E4">
            <w:pPr>
              <w:pStyle w:val="BodyText"/>
              <w:jc w:val="left"/>
              <w:rPr>
                <w:rFonts w:cs="Arial"/>
                <w:sz w:val="20"/>
                <w:szCs w:val="20"/>
                <w:lang w:val="en-US"/>
              </w:rPr>
            </w:pPr>
          </w:p>
        </w:tc>
      </w:tr>
      <w:tr w:rsidR="002151E4" w14:paraId="0F618A5A" w14:textId="77777777" w:rsidTr="00330BD6">
        <w:tc>
          <w:tcPr>
            <w:tcW w:w="2263" w:type="dxa"/>
          </w:tcPr>
          <w:p w14:paraId="336DF232" w14:textId="0859D548" w:rsidR="002151E4" w:rsidRPr="003C29AF" w:rsidRDefault="002151E4" w:rsidP="002151E4">
            <w:pPr>
              <w:pStyle w:val="BodyText"/>
              <w:jc w:val="left"/>
              <w:rPr>
                <w:rFonts w:cs="Arial"/>
                <w:sz w:val="20"/>
                <w:szCs w:val="20"/>
                <w:lang w:val="en-US"/>
              </w:rPr>
            </w:pPr>
          </w:p>
        </w:tc>
        <w:tc>
          <w:tcPr>
            <w:tcW w:w="7366" w:type="dxa"/>
          </w:tcPr>
          <w:p w14:paraId="1BF133EB" w14:textId="73972455" w:rsidR="002151E4" w:rsidRPr="003C29AF" w:rsidRDefault="002151E4" w:rsidP="002151E4">
            <w:pPr>
              <w:pStyle w:val="BodyText"/>
              <w:jc w:val="left"/>
              <w:rPr>
                <w:rFonts w:cs="Arial"/>
                <w:sz w:val="20"/>
                <w:szCs w:val="20"/>
                <w:lang w:val="en-US"/>
              </w:rPr>
            </w:pPr>
          </w:p>
        </w:tc>
      </w:tr>
      <w:tr w:rsidR="002151E4" w14:paraId="7C5B6F24" w14:textId="77777777" w:rsidTr="00330BD6">
        <w:tc>
          <w:tcPr>
            <w:tcW w:w="2263" w:type="dxa"/>
          </w:tcPr>
          <w:p w14:paraId="2C055937" w14:textId="3ACB411C" w:rsidR="002151E4" w:rsidRPr="00AB2FAD" w:rsidRDefault="002151E4" w:rsidP="002151E4">
            <w:pPr>
              <w:pStyle w:val="BodyText"/>
              <w:jc w:val="left"/>
              <w:rPr>
                <w:rFonts w:cs="Arial"/>
                <w:sz w:val="20"/>
                <w:szCs w:val="20"/>
                <w:lang w:val="en-US"/>
              </w:rPr>
            </w:pPr>
          </w:p>
        </w:tc>
        <w:tc>
          <w:tcPr>
            <w:tcW w:w="7366" w:type="dxa"/>
          </w:tcPr>
          <w:p w14:paraId="643C677F" w14:textId="7957DD21" w:rsidR="002151E4" w:rsidRPr="00AB2FAD" w:rsidRDefault="002151E4" w:rsidP="002151E4">
            <w:pPr>
              <w:pStyle w:val="BodyText"/>
              <w:jc w:val="left"/>
              <w:rPr>
                <w:rFonts w:cs="Arial"/>
                <w:sz w:val="20"/>
                <w:szCs w:val="20"/>
                <w:lang w:val="en-US"/>
              </w:rPr>
            </w:pPr>
          </w:p>
        </w:tc>
      </w:tr>
      <w:tr w:rsidR="002151E4" w14:paraId="221BA8B0" w14:textId="77777777" w:rsidTr="00330BD6">
        <w:tc>
          <w:tcPr>
            <w:tcW w:w="2263" w:type="dxa"/>
          </w:tcPr>
          <w:p w14:paraId="5AC3A985" w14:textId="3068A074" w:rsidR="002151E4" w:rsidRPr="00970DD6" w:rsidRDefault="002151E4" w:rsidP="002151E4">
            <w:pPr>
              <w:pStyle w:val="BodyText"/>
              <w:jc w:val="left"/>
              <w:rPr>
                <w:rFonts w:eastAsiaTheme="minorEastAsia" w:cs="Arial"/>
                <w:sz w:val="20"/>
                <w:szCs w:val="20"/>
                <w:lang w:val="en-US"/>
              </w:rPr>
            </w:pPr>
          </w:p>
        </w:tc>
        <w:tc>
          <w:tcPr>
            <w:tcW w:w="7366" w:type="dxa"/>
          </w:tcPr>
          <w:p w14:paraId="1F4B2D75" w14:textId="228DAE68" w:rsidR="002151E4" w:rsidRPr="00970DD6" w:rsidRDefault="002151E4" w:rsidP="00A57ED9">
            <w:pPr>
              <w:pStyle w:val="BodyText"/>
              <w:jc w:val="left"/>
              <w:rPr>
                <w:rFonts w:eastAsiaTheme="minorEastAsia" w:cs="Arial"/>
                <w:sz w:val="20"/>
                <w:szCs w:val="20"/>
                <w:lang w:val="en-US"/>
              </w:rPr>
            </w:pPr>
          </w:p>
        </w:tc>
      </w:tr>
    </w:tbl>
    <w:p w14:paraId="491882CD" w14:textId="38F5C459" w:rsidR="00330BD6" w:rsidRDefault="00330BD6" w:rsidP="00330BD6">
      <w:pPr>
        <w:pStyle w:val="BodyText"/>
      </w:pPr>
    </w:p>
    <w:bookmarkEnd w:id="2"/>
    <w:p w14:paraId="518C2C6B" w14:textId="5A243CC7" w:rsidR="00F507D1" w:rsidRPr="00CE0424" w:rsidRDefault="00F507D1" w:rsidP="00CE0424">
      <w:pPr>
        <w:pStyle w:val="Heading1"/>
      </w:pPr>
      <w:r w:rsidRPr="00CE0424">
        <w:t>References</w:t>
      </w:r>
    </w:p>
    <w:bookmarkStart w:id="14" w:name="_Ref40536080"/>
    <w:p w14:paraId="15099829" w14:textId="7396EEC6"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4"/>
    </w:p>
    <w:bookmarkStart w:id="15" w:name="_Ref40536084"/>
    <w:p w14:paraId="2C1F0FB3" w14:textId="771D0A08"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Corrections on eMTC co-existence with NR</w:t>
      </w:r>
      <w:r>
        <w:rPr>
          <w:rFonts w:cs="Arial"/>
          <w:lang w:val="en-US"/>
        </w:rPr>
        <w:t xml:space="preserve">”, </w:t>
      </w:r>
      <w:r w:rsidRPr="00336B4E">
        <w:rPr>
          <w:rFonts w:cs="Arial"/>
          <w:lang w:val="en-US"/>
        </w:rPr>
        <w:t>Huawei, HiSilicon</w:t>
      </w:r>
      <w:bookmarkEnd w:id="15"/>
    </w:p>
    <w:bookmarkStart w:id="16" w:name="_Ref40536091"/>
    <w:p w14:paraId="33A79CD8" w14:textId="3C2D195D"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6"/>
    </w:p>
    <w:bookmarkStart w:id="17" w:name="_Ref40537678"/>
    <w:p w14:paraId="5A3E9D36" w14:textId="3F2C2808"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17"/>
    </w:p>
    <w:bookmarkStart w:id="18" w:name="_Ref40536291"/>
    <w:p w14:paraId="35236286" w14:textId="2BEC7F03" w:rsidR="00EF22BA" w:rsidRPr="0079271B"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improvements for LTE-MTC</w:t>
      </w:r>
      <w:r>
        <w:t>”</w:t>
      </w:r>
      <w:bookmarkEnd w:id="18"/>
    </w:p>
    <w:bookmarkStart w:id="19" w:name="_Ref41155660"/>
    <w:p w14:paraId="2AD15A20" w14:textId="7EFF579A" w:rsidR="0079271B" w:rsidRPr="0079271B" w:rsidRDefault="0079271B" w:rsidP="0079271B">
      <w:pPr>
        <w:pStyle w:val="Reference"/>
        <w:numPr>
          <w:ilvl w:val="0"/>
          <w:numId w:val="26"/>
        </w:numPr>
        <w:rPr>
          <w:lang w:val="en-US" w:eastAsia="en-US"/>
        </w:rPr>
      </w:pPr>
      <w:r>
        <w:fldChar w:fldCharType="begin"/>
      </w:r>
      <w:r>
        <w:instrText>HYPERLINK "https://www.3gpp.org/ftp/tsg_ran/WG1_RL1/TSGR1_101-e/Docs/R1-2004697.zip"</w:instrText>
      </w:r>
      <w:r>
        <w:fldChar w:fldCharType="separate"/>
      </w:r>
      <w:r>
        <w:rPr>
          <w:rStyle w:val="Hyperlink"/>
        </w:rPr>
        <w:t>R1-2004697</w:t>
      </w:r>
      <w:r>
        <w:fldChar w:fldCharType="end"/>
      </w:r>
      <w:r>
        <w:rPr>
          <w:lang w:val="en-US" w:eastAsia="en-US"/>
        </w:rPr>
        <w:t>, “</w:t>
      </w:r>
      <w:r w:rsidRPr="0079271B">
        <w:rPr>
          <w:lang w:val="en-US" w:eastAsia="en-US"/>
        </w:rPr>
        <w:t>Feature lead summary #1 for NR coexistence performance improvements for LTE-MTC</w:t>
      </w:r>
      <w:r>
        <w:rPr>
          <w:lang w:val="en-US" w:eastAsia="en-US"/>
        </w:rPr>
        <w:t>”</w:t>
      </w:r>
      <w:bookmarkEnd w:id="19"/>
    </w:p>
    <w:sectPr w:rsidR="0079271B" w:rsidRPr="0079271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2B80" w14:textId="77777777" w:rsidR="00B30BBC" w:rsidRDefault="00B30BBC">
      <w:r>
        <w:separator/>
      </w:r>
    </w:p>
  </w:endnote>
  <w:endnote w:type="continuationSeparator" w:id="0">
    <w:p w14:paraId="08A74B32" w14:textId="77777777" w:rsidR="00B30BBC" w:rsidRDefault="00B3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7ED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7ED9">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940C" w14:textId="77777777" w:rsidR="00B30BBC" w:rsidRDefault="00B30BBC">
      <w:r>
        <w:separator/>
      </w:r>
    </w:p>
  </w:footnote>
  <w:footnote w:type="continuationSeparator" w:id="0">
    <w:p w14:paraId="583020A9" w14:textId="77777777" w:rsidR="00B30BBC" w:rsidRDefault="00B3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37E3F"/>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C75BF"/>
    <w:rsid w:val="001D4556"/>
    <w:rsid w:val="001D51BA"/>
    <w:rsid w:val="001D53E7"/>
    <w:rsid w:val="001D6342"/>
    <w:rsid w:val="001D6362"/>
    <w:rsid w:val="001D6D53"/>
    <w:rsid w:val="001E27A0"/>
    <w:rsid w:val="001E29D1"/>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2E"/>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608"/>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2F56A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164E"/>
    <w:rsid w:val="003645F4"/>
    <w:rsid w:val="0036488D"/>
    <w:rsid w:val="0036692D"/>
    <w:rsid w:val="00370E47"/>
    <w:rsid w:val="0037252C"/>
    <w:rsid w:val="003742AC"/>
    <w:rsid w:val="00377CE1"/>
    <w:rsid w:val="00385BF0"/>
    <w:rsid w:val="00386779"/>
    <w:rsid w:val="00386A5A"/>
    <w:rsid w:val="00387302"/>
    <w:rsid w:val="003939FF"/>
    <w:rsid w:val="003A2167"/>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8CE"/>
    <w:rsid w:val="004A7E29"/>
    <w:rsid w:val="004B6F6A"/>
    <w:rsid w:val="004B7C0C"/>
    <w:rsid w:val="004C3898"/>
    <w:rsid w:val="004C58D2"/>
    <w:rsid w:val="004D1973"/>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B03"/>
    <w:rsid w:val="005C2E12"/>
    <w:rsid w:val="005C4490"/>
    <w:rsid w:val="005C6163"/>
    <w:rsid w:val="005C74FB"/>
    <w:rsid w:val="005C7DF0"/>
    <w:rsid w:val="005D03A5"/>
    <w:rsid w:val="005D1602"/>
    <w:rsid w:val="005D23DC"/>
    <w:rsid w:val="005E1CBB"/>
    <w:rsid w:val="005E385F"/>
    <w:rsid w:val="005E5078"/>
    <w:rsid w:val="005E5B81"/>
    <w:rsid w:val="005F2CB1"/>
    <w:rsid w:val="005F3025"/>
    <w:rsid w:val="005F618C"/>
    <w:rsid w:val="005F70BD"/>
    <w:rsid w:val="006021F2"/>
    <w:rsid w:val="00602201"/>
    <w:rsid w:val="0060283C"/>
    <w:rsid w:val="00603C77"/>
    <w:rsid w:val="00604F14"/>
    <w:rsid w:val="00606A58"/>
    <w:rsid w:val="00611B83"/>
    <w:rsid w:val="00613257"/>
    <w:rsid w:val="00620A71"/>
    <w:rsid w:val="00620D80"/>
    <w:rsid w:val="006234A6"/>
    <w:rsid w:val="00630001"/>
    <w:rsid w:val="00630A3B"/>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6B1C"/>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271B"/>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85F"/>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160"/>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60D8"/>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57ED9"/>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A52D9"/>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16B2C"/>
    <w:rsid w:val="00B20256"/>
    <w:rsid w:val="00B2037B"/>
    <w:rsid w:val="00B20D09"/>
    <w:rsid w:val="00B2763F"/>
    <w:rsid w:val="00B276D5"/>
    <w:rsid w:val="00B27AAC"/>
    <w:rsid w:val="00B30929"/>
    <w:rsid w:val="00B30BBC"/>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86B84"/>
    <w:rsid w:val="00B90F73"/>
    <w:rsid w:val="00B93B59"/>
    <w:rsid w:val="00B9406A"/>
    <w:rsid w:val="00B94D84"/>
    <w:rsid w:val="00BA2280"/>
    <w:rsid w:val="00BA2A08"/>
    <w:rsid w:val="00BA4E5C"/>
    <w:rsid w:val="00BA56D2"/>
    <w:rsid w:val="00BA5866"/>
    <w:rsid w:val="00BA5ED1"/>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6D7D"/>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1629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96345"/>
    <w:rsid w:val="00CA0B16"/>
    <w:rsid w:val="00CA0B3C"/>
    <w:rsid w:val="00CA0E61"/>
    <w:rsid w:val="00CA18EE"/>
    <w:rsid w:val="00CA1ED8"/>
    <w:rsid w:val="00CA4DE7"/>
    <w:rsid w:val="00CA70BB"/>
    <w:rsid w:val="00CB132C"/>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B01"/>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44E0"/>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4287"/>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65036869">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121DF0B-B799-4E87-8EA9-AA37BF2B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43</TotalTime>
  <Pages>3</Pages>
  <Words>961</Words>
  <Characters>5096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30</cp:revision>
  <cp:lastPrinted>2008-01-31T07:09:00Z</cp:lastPrinted>
  <dcterms:created xsi:type="dcterms:W3CDTF">2020-05-20T23:41:00Z</dcterms:created>
  <dcterms:modified xsi:type="dcterms:W3CDTF">2020-05-23T18:09:00Z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