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72443CC2" w14:textId="77777777" w:rsidR="00C55F52" w:rsidRDefault="00A22312" w:rsidP="00C55F52">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C55F52">
        <w:rPr>
          <w:sz w:val="22"/>
          <w:szCs w:val="22"/>
          <w:lang w:eastAsia="zh-CN"/>
        </w:rPr>
        <w:t>Chairman has approved three email discussion threads for RAN1 #100bis-E. The following are the approved email discussions:</w:t>
      </w:r>
    </w:p>
    <w:p w14:paraId="3EDBDADC"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1367F17B"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15A7C112" w14:textId="77777777" w:rsidR="00C55F52" w:rsidRPr="0023602E" w:rsidRDefault="00C55F52" w:rsidP="00C55F52">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3553FE01"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16D2FEC3" w14:textId="338A7DE1" w:rsidR="00E9795D" w:rsidRDefault="00E9795D" w:rsidP="00A22312">
      <w:pPr>
        <w:pStyle w:val="BodyText"/>
        <w:spacing w:after="0"/>
        <w:rPr>
          <w:rFonts w:ascii="Times New Roman" w:hAnsi="Times New Roman"/>
          <w:sz w:val="22"/>
          <w:szCs w:val="22"/>
          <w:lang w:eastAsia="zh-CN"/>
        </w:rPr>
      </w:pPr>
    </w:p>
    <w:p w14:paraId="5E900650" w14:textId="126A19FA"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630C0105" w14:textId="77777777" w:rsidR="000E1E0C" w:rsidRDefault="000E1E0C" w:rsidP="00A22312">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653B1715" w14:textId="77777777"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4708DCB7" w14:textId="6BF4AE98" w:rsidR="009346C5" w:rsidRDefault="009346C5"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119DDD1C" w14:textId="3FD8C192" w:rsidR="00B551F5" w:rsidRDefault="00B551F5" w:rsidP="000564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w:t>
      </w:r>
      <w:r w:rsidRPr="00B551F5">
        <w:rPr>
          <w:rFonts w:ascii="Times New Roman" w:hAnsi="Times New Roman"/>
          <w:sz w:val="22"/>
          <w:szCs w:val="22"/>
          <w:lang w:eastAsia="zh-CN"/>
        </w:rPr>
        <w:t xml:space="preserve">PDCCH/PDSCH restrictions for DL DAPS-HO </w:t>
      </w:r>
      <w:r w:rsidRPr="00CD3836">
        <w:rPr>
          <w:rFonts w:ascii="Times New Roman" w:hAnsi="Times New Roman"/>
          <w:sz w:val="22"/>
          <w:szCs w:val="22"/>
          <w:lang w:eastAsia="zh-CN"/>
        </w:rPr>
        <w:t>(Issue #</w:t>
      </w:r>
      <w:r w:rsidR="000564C5">
        <w:rPr>
          <w:rFonts w:ascii="Times New Roman" w:hAnsi="Times New Roman"/>
          <w:sz w:val="22"/>
          <w:szCs w:val="22"/>
          <w:lang w:eastAsia="zh-CN"/>
        </w:rPr>
        <w:t>1</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7986D361" w14:textId="44682C2B" w:rsidR="00290B92" w:rsidRDefault="00290B92" w:rsidP="000564C5">
      <w:pPr>
        <w:pStyle w:val="BodyText"/>
        <w:spacing w:after="0"/>
        <w:rPr>
          <w:rFonts w:ascii="Times New Roman" w:hAnsi="Times New Roman"/>
          <w:sz w:val="22"/>
          <w:szCs w:val="22"/>
          <w:lang w:eastAsia="zh-CN"/>
        </w:rPr>
      </w:pPr>
    </w:p>
    <w:p w14:paraId="430D2E92" w14:textId="77777777" w:rsidR="00290B92" w:rsidRDefault="00290B92" w:rsidP="00290B9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8037F83" w14:textId="77777777" w:rsidR="009346C5" w:rsidRDefault="009346C5" w:rsidP="00A22312">
      <w:pPr>
        <w:pStyle w:val="BodyText"/>
        <w:spacing w:after="0"/>
        <w:rPr>
          <w:rFonts w:ascii="Times New Roman" w:hAnsi="Times New Roman"/>
          <w:sz w:val="22"/>
          <w:szCs w:val="22"/>
          <w:lang w:eastAsia="zh-CN"/>
        </w:rPr>
      </w:pPr>
    </w:p>
    <w:p w14:paraId="15478ACD"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74A4A878" w14:textId="77777777" w:rsidR="006D7A25" w:rsidRDefault="006D7A25" w:rsidP="006D7A25">
      <w:pPr>
        <w:pStyle w:val="BodyText"/>
        <w:spacing w:after="0"/>
        <w:rPr>
          <w:rFonts w:ascii="Times New Roman" w:hAnsi="Times New Roman"/>
          <w:sz w:val="22"/>
          <w:szCs w:val="22"/>
          <w:lang w:eastAsia="zh-CN"/>
        </w:rPr>
      </w:pPr>
    </w:p>
    <w:p w14:paraId="6BE0072A" w14:textId="545C3AB9"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lastRenderedPageBreak/>
        <w:t xml:space="preserve">Proposal </w:t>
      </w:r>
      <w:r w:rsidR="00895F15">
        <w:rPr>
          <w:rFonts w:ascii="Times New Roman" w:hAnsi="Times New Roman"/>
          <w:bCs/>
          <w:iCs/>
          <w:lang w:eastAsia="zh-CN"/>
        </w:rPr>
        <w:t>by Huwei</w:t>
      </w:r>
      <w:r w:rsidRPr="0075051D">
        <w:rPr>
          <w:rFonts w:ascii="Times New Roman" w:hAnsi="Times New Roman"/>
          <w:bCs/>
          <w:iCs/>
          <w:lang w:eastAsia="zh-CN"/>
        </w:rPr>
        <w:t xml:space="preserve"> [1]: Restrict the minimum UE capability of DAPS-HO to FDMed simultaneous reception from source and target cells on overlapping OFDM symbols.</w:t>
      </w:r>
    </w:p>
    <w:p w14:paraId="0C7FD4F7" w14:textId="54A8EBAA"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Proposal </w:t>
      </w:r>
      <w:r w:rsidR="00895F15">
        <w:rPr>
          <w:rFonts w:ascii="Times New Roman" w:hAnsi="Times New Roman"/>
          <w:bCs/>
          <w:iCs/>
          <w:lang w:eastAsia="zh-CN"/>
        </w:rPr>
        <w:t>by Huawei</w:t>
      </w:r>
      <w:r w:rsidRPr="0075051D">
        <w:rPr>
          <w:rFonts w:ascii="Times New Roman" w:hAnsi="Times New Roman"/>
          <w:bCs/>
          <w:iCs/>
          <w:lang w:eastAsia="zh-CN"/>
        </w:rPr>
        <w:t xml:space="preserve"> [1]: Introduce additional UE feature simultaneousRxOnOverlappedfreqAndtime to indicate the support of simultaneous reception from source and target cells on overlapped time and frequency resources.</w:t>
      </w:r>
    </w:p>
    <w:p w14:paraId="1F19C134" w14:textId="77777777"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Adopt the following TP </w:t>
      </w:r>
      <w:r w:rsidRPr="0075051D">
        <w:rPr>
          <w:rFonts w:ascii="Times New Roman" w:hAnsi="Times New Roman"/>
        </w:rPr>
        <w:t>[1]</w:t>
      </w:r>
      <w:r w:rsidRPr="0075051D">
        <w:rPr>
          <w:rFonts w:ascii="Times New Roman" w:hAnsi="Times New Roman"/>
          <w:bCs/>
          <w:iCs/>
          <w:lang w:eastAsia="zh-CN"/>
        </w:rPr>
        <w:t>:</w:t>
      </w:r>
    </w:p>
    <w:p w14:paraId="3A15A795" w14:textId="77777777" w:rsidR="006D7A25" w:rsidRPr="0075051D" w:rsidRDefault="006D7A25" w:rsidP="006D7A25">
      <w:pPr>
        <w:rPr>
          <w:bCs/>
          <w:iCs/>
          <w:lang w:eastAsia="zh-CN"/>
        </w:rPr>
      </w:pPr>
    </w:p>
    <w:tbl>
      <w:tblPr>
        <w:tblStyle w:val="TableGrid"/>
        <w:tblW w:w="0" w:type="auto"/>
        <w:tblLook w:val="04A0" w:firstRow="1" w:lastRow="0" w:firstColumn="1" w:lastColumn="0" w:noHBand="0" w:noVBand="1"/>
      </w:tblPr>
      <w:tblGrid>
        <w:gridCol w:w="9533"/>
      </w:tblGrid>
      <w:tr w:rsidR="006D7A25" w14:paraId="198D1B97" w14:textId="77777777" w:rsidTr="00BF03BD">
        <w:tc>
          <w:tcPr>
            <w:tcW w:w="9533" w:type="dxa"/>
          </w:tcPr>
          <w:p w14:paraId="6BCAC1BD"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5C775BDB" w14:textId="77777777" w:rsidR="006D7A25" w:rsidRDefault="006D7A25" w:rsidP="00BF03BD">
            <w:pPr>
              <w:spacing w:before="0" w:after="0" w:line="240" w:lineRule="auto"/>
            </w:pPr>
            <w:r>
              <w:t xml:space="preserve">If a UE indicates a capability for dual active protocol stack based handover (DAPS HO), the UE can be provided with a source MCG and a target MCG. </w:t>
            </w:r>
          </w:p>
          <w:p w14:paraId="6A0BC57C" w14:textId="77777777" w:rsidR="006D7A25" w:rsidRPr="00C16502" w:rsidRDefault="006D7A25" w:rsidP="00BF03BD">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60A41996" w14:textId="77777777" w:rsidR="006D7A25" w:rsidRPr="00C16502" w:rsidRDefault="006D7A25" w:rsidP="00BF03BD">
            <w:pPr>
              <w:spacing w:before="0" w:after="0" w:line="240" w:lineRule="auto"/>
              <w:rPr>
                <w:ins w:id="2" w:author="Huawei" w:date="2020-04-10T17:58:00Z"/>
              </w:rPr>
            </w:pPr>
            <w:ins w:id="3" w:author="Huawei" w:date="2020-04-10T17:58:00Z">
              <w:r w:rsidRPr="00C16502">
                <w:t xml:space="preserve">If a UE does not indicate a capability </w:t>
              </w:r>
              <w:r w:rsidRPr="00C16502">
                <w:rPr>
                  <w:i/>
                </w:rPr>
                <w:t>simultaneousRxOnOverlappedfreqAndtime</w:t>
              </w:r>
              <w:r w:rsidRPr="00C16502">
                <w:t xml:space="preserve"> for simultaneous reception on overlapped frequency resources and is configured with a source MCG and a target MCG, the UE does not expect:</w:t>
              </w:r>
            </w:ins>
          </w:p>
          <w:p w14:paraId="12766CC8"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source MCG to overlap with the set of frequency resources provided by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target MCG and,</w:t>
              </w:r>
            </w:ins>
          </w:p>
          <w:p w14:paraId="6437ED9A"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0A30895" w14:textId="77777777" w:rsidR="006D7A25" w:rsidRDefault="006D7A25" w:rsidP="00BF03BD">
            <w:pPr>
              <w:spacing w:before="0" w:after="0" w:line="240" w:lineRule="auto"/>
            </w:pPr>
            <w:ins w:id="8" w:author="Huawei" w:date="2020-04-10T17:58:00Z">
              <w:r w:rsidRPr="00C16502">
                <w:t>If the PDCCHs that schedule corresponding PDSCHs are associated to different MCGs, the UE procedure for receiving the PDSCH upon detection of a PDCCH follows Clause 5.1 in [5, TS 38.214].</w:t>
              </w:r>
            </w:ins>
          </w:p>
        </w:tc>
      </w:tr>
    </w:tbl>
    <w:p w14:paraId="55683311" w14:textId="77777777" w:rsidR="006D7A25" w:rsidRDefault="006D7A25" w:rsidP="006D7A25">
      <w:pPr>
        <w:pStyle w:val="BodyText"/>
        <w:spacing w:after="0"/>
        <w:rPr>
          <w:rFonts w:ascii="Times New Roman" w:hAnsi="Times New Roman"/>
          <w:sz w:val="22"/>
          <w:szCs w:val="22"/>
          <w:lang w:eastAsia="zh-CN"/>
        </w:rPr>
      </w:pPr>
    </w:p>
    <w:p w14:paraId="197BEA65" w14:textId="77777777" w:rsidR="006D7A25" w:rsidRDefault="006D7A25" w:rsidP="006D7A25">
      <w:pPr>
        <w:pStyle w:val="BodyText"/>
        <w:spacing w:after="0"/>
        <w:rPr>
          <w:rFonts w:ascii="Times New Roman" w:hAnsi="Times New Roman"/>
          <w:sz w:val="22"/>
          <w:szCs w:val="22"/>
          <w:lang w:eastAsia="zh-CN"/>
        </w:rPr>
      </w:pPr>
    </w:p>
    <w:p w14:paraId="64B742D5" w14:textId="77777777" w:rsidR="00E47F24" w:rsidRPr="00E227A3" w:rsidRDefault="00E47F24" w:rsidP="00E47F24">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658BC177" w14:textId="77777777" w:rsidR="00E47F24" w:rsidRDefault="00E47F24" w:rsidP="00E47F24">
      <w:pPr>
        <w:pStyle w:val="BodyText"/>
        <w:spacing w:after="0"/>
        <w:rPr>
          <w:rFonts w:ascii="Times New Roman" w:hAnsi="Times New Roman"/>
          <w:sz w:val="22"/>
          <w:szCs w:val="22"/>
          <w:lang w:eastAsia="zh-CN"/>
        </w:rPr>
      </w:pPr>
    </w:p>
    <w:p w14:paraId="3D89D523" w14:textId="0581C1AD" w:rsidR="00E47F24" w:rsidRDefault="00E47F24" w:rsidP="00E47F2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w:t>
      </w:r>
      <w:r w:rsidR="00895F15">
        <w:rPr>
          <w:rFonts w:ascii="Times New Roman" w:hAnsi="Times New Roman"/>
          <w:sz w:val="22"/>
          <w:szCs w:val="22"/>
          <w:lang w:eastAsia="zh-CN"/>
        </w:rPr>
        <w:t>s</w:t>
      </w:r>
      <w:r>
        <w:rPr>
          <w:rFonts w:ascii="Times New Roman" w:hAnsi="Times New Roman"/>
          <w:sz w:val="22"/>
          <w:szCs w:val="22"/>
          <w:lang w:eastAsia="zh-CN"/>
        </w:rPr>
        <w:t xml:space="preserve"> by Huawei [1]</w:t>
      </w:r>
      <w:r w:rsidR="00895F15">
        <w:rPr>
          <w:rFonts w:ascii="Times New Roman" w:hAnsi="Times New Roman"/>
          <w:sz w:val="22"/>
          <w:szCs w:val="22"/>
          <w:lang w:eastAsia="zh-CN"/>
        </w:rPr>
        <w:t xml:space="preserve"> </w:t>
      </w:r>
      <w:r>
        <w:rPr>
          <w:rFonts w:ascii="Times New Roman" w:hAnsi="Times New Roman"/>
          <w:sz w:val="22"/>
          <w:szCs w:val="22"/>
          <w:lang w:eastAsia="zh-CN"/>
        </w:rPr>
        <w:t xml:space="preserve">are acceptable or not. </w:t>
      </w:r>
      <w:r w:rsidR="00503B27">
        <w:rPr>
          <w:rFonts w:ascii="Times New Roman" w:hAnsi="Times New Roman"/>
          <w:sz w:val="22"/>
          <w:szCs w:val="22"/>
          <w:lang w:eastAsia="zh-CN"/>
        </w:rPr>
        <w:t>Also,</w:t>
      </w:r>
      <w:r>
        <w:rPr>
          <w:rFonts w:ascii="Times New Roman" w:hAnsi="Times New Roman"/>
          <w:sz w:val="22"/>
          <w:szCs w:val="22"/>
          <w:lang w:eastAsia="zh-CN"/>
        </w:rPr>
        <w:t xml:space="preserve"> if companies have a </w:t>
      </w:r>
      <w:r w:rsidR="00A134BC">
        <w:rPr>
          <w:rFonts w:ascii="Times New Roman" w:hAnsi="Times New Roman"/>
          <w:sz w:val="22"/>
          <w:szCs w:val="22"/>
          <w:lang w:eastAsia="zh-CN"/>
        </w:rPr>
        <w:t>modified/reformulated proposal</w:t>
      </w:r>
      <w:bookmarkStart w:id="9" w:name="_GoBack"/>
      <w:bookmarkEnd w:id="9"/>
      <w:r>
        <w:rPr>
          <w:rFonts w:ascii="Times New Roman" w:hAnsi="Times New Roman"/>
          <w:sz w:val="22"/>
          <w:szCs w:val="22"/>
          <w:lang w:eastAsia="zh-CN"/>
        </w:rPr>
        <w:t xml:space="preserve"> based on proposal</w:t>
      </w:r>
      <w:r w:rsidR="002A128D">
        <w:rPr>
          <w:rFonts w:ascii="Times New Roman" w:hAnsi="Times New Roman"/>
          <w:sz w:val="22"/>
          <w:szCs w:val="22"/>
          <w:lang w:eastAsia="zh-CN"/>
        </w:rPr>
        <w:t>s</w:t>
      </w:r>
      <w:r>
        <w:rPr>
          <w:rFonts w:ascii="Times New Roman" w:hAnsi="Times New Roman"/>
          <w:sz w:val="22"/>
          <w:szCs w:val="22"/>
          <w:lang w:eastAsia="zh-CN"/>
        </w:rPr>
        <w:t xml:space="preserve"> from above companies, please do provide them below as well.</w:t>
      </w:r>
    </w:p>
    <w:p w14:paraId="6BC2708F" w14:textId="77777777" w:rsidR="00E47F24" w:rsidRDefault="00E47F24" w:rsidP="00E47F2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E47F24" w:rsidRPr="00C541C7" w14:paraId="2C3AB2C9" w14:textId="77777777" w:rsidTr="00BF03BD">
        <w:trPr>
          <w:trHeight w:val="165"/>
        </w:trPr>
        <w:tc>
          <w:tcPr>
            <w:tcW w:w="1877" w:type="dxa"/>
            <w:shd w:val="clear" w:color="auto" w:fill="C5E0B3" w:themeFill="accent6" w:themeFillTint="66"/>
          </w:tcPr>
          <w:p w14:paraId="1D651DC8"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B3430A3"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E47F24" w:rsidRPr="00C541C7" w14:paraId="5EE1E350" w14:textId="77777777" w:rsidTr="00BF03BD">
        <w:trPr>
          <w:trHeight w:val="761"/>
        </w:trPr>
        <w:tc>
          <w:tcPr>
            <w:tcW w:w="1877" w:type="dxa"/>
          </w:tcPr>
          <w:p w14:paraId="62E98D21" w14:textId="77777777" w:rsidR="00E47F24" w:rsidRPr="00CC72CE" w:rsidRDefault="00E47F2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Company-A</w:t>
            </w:r>
          </w:p>
        </w:tc>
        <w:tc>
          <w:tcPr>
            <w:tcW w:w="8044" w:type="dxa"/>
          </w:tcPr>
          <w:p w14:paraId="34D80919" w14:textId="77777777" w:rsidR="00E47F24" w:rsidRPr="00CC72CE" w:rsidRDefault="00E47F2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Comments here</w:t>
            </w:r>
          </w:p>
        </w:tc>
      </w:tr>
      <w:tr w:rsidR="00E47F24" w:rsidRPr="00C541C7" w14:paraId="0CF17FD0" w14:textId="77777777" w:rsidTr="00BF03BD">
        <w:trPr>
          <w:trHeight w:val="761"/>
        </w:trPr>
        <w:tc>
          <w:tcPr>
            <w:tcW w:w="1877" w:type="dxa"/>
          </w:tcPr>
          <w:p w14:paraId="1ADA6F19" w14:textId="77777777" w:rsidR="00E47F24" w:rsidRPr="00C541C7" w:rsidRDefault="00E47F24" w:rsidP="00BF03BD">
            <w:pPr>
              <w:pStyle w:val="BodyText"/>
              <w:spacing w:before="0" w:after="0" w:line="240" w:lineRule="auto"/>
              <w:rPr>
                <w:rFonts w:ascii="Times New Roman" w:hAnsi="Times New Roman"/>
                <w:szCs w:val="20"/>
                <w:lang w:eastAsia="zh-CN"/>
              </w:rPr>
            </w:pPr>
          </w:p>
        </w:tc>
        <w:tc>
          <w:tcPr>
            <w:tcW w:w="8044" w:type="dxa"/>
          </w:tcPr>
          <w:p w14:paraId="48E4CF4C" w14:textId="77777777"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6DA37F69" w14:textId="77777777" w:rsidTr="00BF03BD">
        <w:trPr>
          <w:trHeight w:val="761"/>
        </w:trPr>
        <w:tc>
          <w:tcPr>
            <w:tcW w:w="1877" w:type="dxa"/>
          </w:tcPr>
          <w:p w14:paraId="27C102F0" w14:textId="77777777" w:rsidR="00E47F24" w:rsidRPr="00C541C7" w:rsidRDefault="00E47F24" w:rsidP="00BF03BD">
            <w:pPr>
              <w:pStyle w:val="BodyText"/>
              <w:spacing w:before="0" w:after="0" w:line="240" w:lineRule="auto"/>
              <w:rPr>
                <w:rFonts w:ascii="Times New Roman" w:hAnsi="Times New Roman"/>
                <w:szCs w:val="20"/>
                <w:lang w:eastAsia="zh-CN"/>
              </w:rPr>
            </w:pPr>
          </w:p>
        </w:tc>
        <w:tc>
          <w:tcPr>
            <w:tcW w:w="8044" w:type="dxa"/>
          </w:tcPr>
          <w:p w14:paraId="329A89C1" w14:textId="77777777"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3A215324" w14:textId="77777777" w:rsidTr="00BF03BD">
        <w:trPr>
          <w:trHeight w:val="761"/>
        </w:trPr>
        <w:tc>
          <w:tcPr>
            <w:tcW w:w="1877" w:type="dxa"/>
          </w:tcPr>
          <w:p w14:paraId="345BD83B" w14:textId="77777777" w:rsidR="00E47F24" w:rsidRPr="00C541C7" w:rsidRDefault="00E47F24" w:rsidP="00BF03BD">
            <w:pPr>
              <w:pStyle w:val="BodyText"/>
              <w:spacing w:before="0" w:after="0" w:line="240" w:lineRule="auto"/>
              <w:rPr>
                <w:rFonts w:ascii="Times New Roman" w:hAnsi="Times New Roman"/>
                <w:szCs w:val="20"/>
                <w:lang w:eastAsia="zh-CN"/>
              </w:rPr>
            </w:pPr>
          </w:p>
        </w:tc>
        <w:tc>
          <w:tcPr>
            <w:tcW w:w="8044" w:type="dxa"/>
          </w:tcPr>
          <w:p w14:paraId="4283174A" w14:textId="77777777"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57FA4249" w14:textId="77777777" w:rsidTr="00BF03BD">
        <w:trPr>
          <w:trHeight w:val="761"/>
        </w:trPr>
        <w:tc>
          <w:tcPr>
            <w:tcW w:w="1877" w:type="dxa"/>
          </w:tcPr>
          <w:p w14:paraId="2B7F5D14" w14:textId="77777777" w:rsidR="00E47F24" w:rsidRPr="00C541C7" w:rsidRDefault="00E47F24" w:rsidP="00BF03BD">
            <w:pPr>
              <w:pStyle w:val="BodyText"/>
              <w:spacing w:before="0" w:after="0" w:line="240" w:lineRule="auto"/>
              <w:rPr>
                <w:rFonts w:ascii="Times New Roman" w:hAnsi="Times New Roman"/>
                <w:szCs w:val="20"/>
                <w:lang w:eastAsia="zh-CN"/>
              </w:rPr>
            </w:pPr>
          </w:p>
        </w:tc>
        <w:tc>
          <w:tcPr>
            <w:tcW w:w="8044" w:type="dxa"/>
          </w:tcPr>
          <w:p w14:paraId="5022894D" w14:textId="77777777" w:rsidR="00E47F24" w:rsidRPr="00C541C7" w:rsidRDefault="00E47F24" w:rsidP="00BF03BD">
            <w:pPr>
              <w:pStyle w:val="BodyText"/>
              <w:spacing w:before="0" w:after="0" w:line="240" w:lineRule="auto"/>
              <w:rPr>
                <w:rFonts w:ascii="Times New Roman" w:hAnsi="Times New Roman"/>
                <w:szCs w:val="20"/>
                <w:lang w:eastAsia="zh-CN"/>
              </w:rPr>
            </w:pPr>
          </w:p>
        </w:tc>
      </w:tr>
    </w:tbl>
    <w:p w14:paraId="36CDD944" w14:textId="77777777" w:rsidR="00E47F24" w:rsidRDefault="00E47F24" w:rsidP="00E47F24">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lastRenderedPageBreak/>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7377E4E6"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4DADD8A3" w14:textId="77777777" w:rsidR="005A052D" w:rsidRDefault="005A052D" w:rsidP="005A052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 “</w:t>
      </w:r>
      <w:r w:rsidRPr="00237668">
        <w:rPr>
          <w:rFonts w:ascii="Times New Roman" w:hAnsi="Times New Roman"/>
          <w:lang w:eastAsia="zh-CN"/>
        </w:rPr>
        <w:t>Issue Summary for NR Mobility Enhancements</w:t>
      </w:r>
      <w:r>
        <w:rPr>
          <w:rFonts w:ascii="Times New Roman" w:hAnsi="Times New Roman"/>
          <w:lang w:eastAsia="zh-CN"/>
        </w:rPr>
        <w:t xml:space="preserve">,” Moderator (Intel </w:t>
      </w:r>
      <w:r w:rsidRPr="00F07CBF">
        <w:rPr>
          <w:rFonts w:ascii="Times New Roman" w:hAnsi="Times New Roman"/>
          <w:lang w:eastAsia="zh-CN"/>
        </w:rPr>
        <w:t>Corporation</w:t>
      </w:r>
      <w:r>
        <w:rPr>
          <w:rFonts w:ascii="Times New Roman" w:hAnsi="Times New Roman"/>
          <w:lang w:eastAsia="zh-CN"/>
        </w:rPr>
        <w:t>)</w:t>
      </w:r>
    </w:p>
    <w:p w14:paraId="59953F65" w14:textId="77777777" w:rsidR="005A052D" w:rsidRDefault="005A052D" w:rsidP="005A052D">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5DC22" w14:textId="77777777" w:rsidR="008B69E3" w:rsidRDefault="008B69E3">
      <w:r>
        <w:separator/>
      </w:r>
    </w:p>
  </w:endnote>
  <w:endnote w:type="continuationSeparator" w:id="0">
    <w:p w14:paraId="5B6B09B6" w14:textId="77777777" w:rsidR="008B69E3" w:rsidRDefault="008B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BE6A" w14:textId="77777777" w:rsidR="008B69E3" w:rsidRDefault="008B69E3">
      <w:r>
        <w:separator/>
      </w:r>
    </w:p>
  </w:footnote>
  <w:footnote w:type="continuationSeparator" w:id="0">
    <w:p w14:paraId="6E70EADB" w14:textId="77777777" w:rsidR="008B69E3" w:rsidRDefault="008B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afff7df5-a137-4180-a445-635b252ac6e7"/>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cfa6e706-8601-4650-be9b-147c2ee1b24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4D5866-A627-48E2-8329-3061A1368BF7}">
  <ds:schemaRefs>
    <ds:schemaRef ds:uri="http://schemas.openxmlformats.org/officeDocument/2006/bibliography"/>
  </ds:schemaRefs>
</ds:datastoreItem>
</file>

<file path=customXml/itemProps5.xml><?xml version="1.0" encoding="utf-8"?>
<ds:datastoreItem xmlns:ds="http://schemas.openxmlformats.org/officeDocument/2006/customXml" ds:itemID="{B8EB77D6-2D76-4AE7-8204-5AF0FAD6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3</Pages>
  <Words>679</Words>
  <Characters>4040</Characters>
  <Application>Microsoft Office Word</Application>
  <DocSecurity>0</DocSecurity>
  <Lines>98</Lines>
  <Paragraphs>47</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20</cp:revision>
  <cp:lastPrinted>2011-11-09T07:49:00Z</cp:lastPrinted>
  <dcterms:created xsi:type="dcterms:W3CDTF">2020-04-20T04:37:00Z</dcterms:created>
  <dcterms:modified xsi:type="dcterms:W3CDTF">2020-04-20T06:53:00Z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2020-04-20 06:53:31Z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CTPClassification">
    <vt:lpwstr>CTP_NT</vt:lpwstr>
  </property>
</Properties>
</file>