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228" w14:textId="77777777"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0D47C229" w14:textId="77777777"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April, 2020</w:t>
      </w:r>
    </w:p>
    <w:p w14:paraId="0D47C22A" w14:textId="77777777" w:rsidR="003B2A11" w:rsidRDefault="003B2A11">
      <w:pPr>
        <w:tabs>
          <w:tab w:val="center" w:pos="4536"/>
          <w:tab w:val="right" w:pos="9072"/>
        </w:tabs>
        <w:spacing w:line="276" w:lineRule="auto"/>
        <w:rPr>
          <w:rFonts w:ascii="Arial" w:eastAsia="Malgun Gothic" w:hAnsi="Arial" w:cs="Arial"/>
          <w:b/>
          <w:bCs/>
          <w:szCs w:val="24"/>
          <w:lang w:eastAsia="en-US"/>
        </w:rPr>
      </w:pPr>
    </w:p>
    <w:p w14:paraId="0D47C22B" w14:textId="77777777"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0D47C22C" w14:textId="77777777" w:rsidR="003B2A11" w:rsidRDefault="00C62F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D47C22D" w14:textId="77777777"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14:paraId="0D47C22E" w14:textId="77777777"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D47C22F" w14:textId="77777777"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0D47C230" w14:textId="77777777" w:rsidR="003B2A11" w:rsidRDefault="00C62FFB">
      <w:pPr>
        <w:pStyle w:val="ListParagraph"/>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D47C231" w14:textId="77777777"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0D47C232" w14:textId="77777777" w:rsidR="003B2A11" w:rsidRDefault="003B2A11">
      <w:pPr>
        <w:rPr>
          <w:b/>
        </w:rPr>
      </w:pPr>
    </w:p>
    <w:p w14:paraId="0D47C233" w14:textId="77777777"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0D47C234" w14:textId="77777777" w:rsidR="003B2A11" w:rsidRDefault="003B2A11">
      <w:pPr>
        <w:rPr>
          <w:b/>
        </w:rPr>
      </w:pPr>
    </w:p>
    <w:p w14:paraId="0D47C235" w14:textId="77777777" w:rsidR="003B2A11" w:rsidRDefault="00C62FFB">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0D47C236" w14:textId="77777777" w:rsidR="003B2A11" w:rsidRDefault="00C62FFB">
      <w:pPr>
        <w:rPr>
          <w:b/>
        </w:rPr>
        <w:sectPr w:rsidR="003B2A11">
          <w:footerReference w:type="default" r:id="rId14"/>
          <w:pgSz w:w="11906" w:h="16838"/>
          <w:pgMar w:top="851" w:right="1134" w:bottom="567" w:left="1134" w:header="720" w:footer="720" w:gutter="0"/>
          <w:cols w:space="720"/>
          <w:docGrid w:linePitch="326"/>
        </w:sectPr>
      </w:pPr>
      <w:r>
        <w:rPr>
          <w:b/>
        </w:rPr>
        <w:br w:type="page"/>
      </w:r>
    </w:p>
    <w:p w14:paraId="0D47C237" w14:textId="77777777" w:rsidR="003B2A11" w:rsidRDefault="003B2A11">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D47C238" w14:textId="77777777" w:rsidR="003B2A11" w:rsidRDefault="00C62FFB">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14:paraId="0D47C2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39"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0D47C23A"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0D47C23B"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0D47C23C"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D47C23D"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47C23E"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 xml:space="preserve">Need for the </w:t>
            </w:r>
            <w:proofErr w:type="spellStart"/>
            <w:r>
              <w:rPr>
                <w:rFonts w:ascii="Arial" w:eastAsia="Times New Roman" w:hAnsi="Arial"/>
                <w:b/>
                <w:sz w:val="18"/>
                <w:lang w:eastAsia="zh-CN"/>
              </w:rPr>
              <w:t>gNB</w:t>
            </w:r>
            <w:proofErr w:type="spellEnd"/>
            <w:r>
              <w:rPr>
                <w:rFonts w:ascii="Arial" w:eastAsia="Times New Roman" w:hAnsi="Arial"/>
                <w:b/>
                <w:sz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47C23F"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47C240" w14:textId="77777777" w:rsidR="003B2A11" w:rsidRDefault="00C62FFB">
            <w:pPr>
              <w:keepNext/>
              <w:keepLines/>
              <w:rPr>
                <w:rFonts w:ascii="Arial" w:eastAsia="MS Mincho" w:hAnsi="Arial"/>
                <w:b/>
                <w:sz w:val="18"/>
              </w:rPr>
            </w:pPr>
            <w:r>
              <w:rPr>
                <w:rFonts w:ascii="Arial" w:eastAsia="MS Mincho"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47C241" w14:textId="77777777" w:rsidR="003B2A11" w:rsidRDefault="00C62FFB">
            <w:pPr>
              <w:keepNext/>
              <w:keepLines/>
              <w:rPr>
                <w:rFonts w:ascii="Arial" w:eastAsia="MS Mincho" w:hAnsi="Arial"/>
                <w:b/>
                <w:sz w:val="18"/>
              </w:rPr>
            </w:pPr>
            <w:r>
              <w:rPr>
                <w:rFonts w:ascii="Arial" w:eastAsia="MS Mincho" w:hAnsi="Arial"/>
                <w:b/>
                <w:sz w:val="18"/>
              </w:rPr>
              <w:t>Type</w:t>
            </w:r>
          </w:p>
          <w:p w14:paraId="0D47C242" w14:textId="77777777" w:rsidR="003B2A11" w:rsidRDefault="00C62FFB">
            <w:pPr>
              <w:keepNext/>
              <w:keepLines/>
              <w:rPr>
                <w:rFonts w:ascii="Arial" w:eastAsia="MS Mincho" w:hAnsi="Arial"/>
                <w:b/>
                <w:sz w:val="18"/>
              </w:rPr>
            </w:pPr>
            <w:r>
              <w:rPr>
                <w:rFonts w:ascii="Arial" w:eastAsia="MS Mincho" w:hAnsi="Arial"/>
                <w:b/>
                <w:sz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47C243"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47C244"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47C245"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47C246"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0D47C247"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14:paraId="0D47C25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49" w14:textId="77777777" w:rsidR="003B2A11" w:rsidRDefault="00C62FFB">
            <w:pPr>
              <w:keepNext/>
              <w:keepLines/>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4A" w14:textId="77777777" w:rsidR="003B2A11" w:rsidRDefault="00C62FFB">
            <w:pPr>
              <w:keepNext/>
              <w:keepLines/>
              <w:rPr>
                <w:rFonts w:ascii="Arial" w:eastAsia="MS Mincho" w:hAnsi="Arial"/>
                <w:sz w:val="18"/>
              </w:rPr>
            </w:pPr>
            <w:r>
              <w:rPr>
                <w:rFonts w:ascii="Arial" w:eastAsia="MS Mincho" w:hAnsi="Arial"/>
                <w:sz w:val="18"/>
              </w:rPr>
              <w:t>17-1</w:t>
            </w:r>
          </w:p>
        </w:tc>
        <w:tc>
          <w:tcPr>
            <w:tcW w:w="1559" w:type="dxa"/>
            <w:tcBorders>
              <w:top w:val="single" w:sz="4" w:space="0" w:color="auto"/>
              <w:left w:val="single" w:sz="4" w:space="0" w:color="auto"/>
              <w:bottom w:val="single" w:sz="4" w:space="0" w:color="auto"/>
              <w:right w:val="single" w:sz="4" w:space="0" w:color="auto"/>
            </w:tcBorders>
          </w:tcPr>
          <w:p w14:paraId="0D47C24B" w14:textId="77777777" w:rsidR="003B2A11" w:rsidRDefault="00C62FFB">
            <w:pPr>
              <w:keepNext/>
              <w:keepLines/>
              <w:rPr>
                <w:rFonts w:ascii="Arial" w:eastAsia="MS Mincho" w:hAnsi="Arial"/>
                <w:sz w:val="18"/>
                <w:lang w:eastAsia="en-US"/>
              </w:rPr>
            </w:pPr>
            <w:r>
              <w:rPr>
                <w:rFonts w:ascii="Arial" w:eastAsia="MS Mincho"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D47C24C" w14:textId="77777777" w:rsidR="003B2A11" w:rsidRDefault="00C62FFB">
            <w:pPr>
              <w:keepNext/>
              <w:keepLines/>
              <w:rPr>
                <w:rFonts w:ascii="Arial" w:eastAsia="MS Mincho" w:hAnsi="Arial"/>
                <w:sz w:val="18"/>
                <w:lang w:eastAsia="en-US"/>
              </w:rPr>
            </w:pPr>
            <w:r>
              <w:rPr>
                <w:rFonts w:ascii="Arial" w:eastAsia="MS Mincho" w:hAnsi="Arial"/>
                <w:sz w:val="18"/>
                <w:lang w:eastAsia="en-US"/>
              </w:rPr>
              <w:t>1. Support CLI-RSSI measurement. The max number of resources across all CCs configured to measure RSSI simultaneously shall not exceed 64.</w:t>
            </w:r>
          </w:p>
          <w:p w14:paraId="0D47C24D" w14:textId="77777777" w:rsidR="003B2A11" w:rsidRDefault="00C62FFB">
            <w:pPr>
              <w:keepNext/>
              <w:keepLines/>
              <w:rPr>
                <w:rFonts w:ascii="Arial" w:eastAsia="MS Mincho" w:hAnsi="Arial"/>
                <w:sz w:val="18"/>
              </w:rPr>
            </w:pPr>
            <w:r>
              <w:rPr>
                <w:rFonts w:ascii="Arial" w:eastAsia="MS Mincho" w:hAnsi="Arial" w:hint="eastAsia"/>
                <w:sz w:val="18"/>
              </w:rPr>
              <w:t>2</w:t>
            </w:r>
            <w:r>
              <w:rPr>
                <w:rFonts w:ascii="Arial" w:eastAsia="MS Mincho" w:hAnsi="Arial"/>
                <w:sz w:val="18"/>
              </w:rPr>
              <w:t>.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14:paraId="0D47C24E" w14:textId="77777777" w:rsidR="003B2A11" w:rsidRDefault="00C62FFB">
            <w:pPr>
              <w:keepNext/>
              <w:keepLines/>
              <w:rPr>
                <w:rFonts w:ascii="Arial" w:eastAsia="MS Mincho" w:hAnsi="Arial"/>
                <w:sz w:val="18"/>
                <w:highlight w:val="yellow"/>
              </w:rPr>
            </w:pPr>
            <w:del w:id="3"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4F" w14:textId="77777777" w:rsidR="003B2A11" w:rsidRDefault="00C62FFB">
            <w:pPr>
              <w:keepNext/>
              <w:keepLines/>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50" w14:textId="77777777" w:rsidR="003B2A11" w:rsidRDefault="00C62FFB">
            <w:pPr>
              <w:keepNext/>
              <w:keepLines/>
              <w:rPr>
                <w:rFonts w:ascii="Arial" w:eastAsia="MS Mincho" w:hAnsi="Arial"/>
                <w:i/>
                <w:sz w:val="18"/>
                <w:lang w:eastAsia="en-US"/>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51" w14:textId="77777777" w:rsidR="003B2A11" w:rsidRDefault="003B2A11">
            <w:pPr>
              <w:keepNext/>
              <w:keepLines/>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52" w14:textId="77777777" w:rsidR="003B2A11" w:rsidRDefault="00C62FFB">
            <w:pPr>
              <w:keepNext/>
              <w:keepLines/>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53" w14:textId="77777777" w:rsidR="003B2A11" w:rsidRDefault="00C62FFB">
            <w:pPr>
              <w:keepNext/>
              <w:keepLines/>
              <w:rPr>
                <w:rFonts w:ascii="Arial" w:eastAsia="MS Mincho" w:hAnsi="Arial"/>
                <w:sz w:val="18"/>
              </w:rPr>
            </w:pPr>
            <w:ins w:id="4"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5"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54" w14:textId="77777777" w:rsidR="003B2A11" w:rsidRDefault="00C62FFB">
            <w:pPr>
              <w:keepNext/>
              <w:keepLines/>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55" w14:textId="77777777" w:rsidR="003B2A11" w:rsidRDefault="00C62FFB">
            <w:pPr>
              <w:keepNext/>
              <w:keepLines/>
              <w:rPr>
                <w:rFonts w:ascii="Arial" w:eastAsia="MS Mincho" w:hAnsi="Arial"/>
                <w:sz w:val="18"/>
              </w:rPr>
            </w:pPr>
            <w:r>
              <w:rPr>
                <w:rFonts w:ascii="Arial" w:eastAsia="MS Mincho" w:hAnsi="Arial" w:hint="eastAsia"/>
                <w:sz w:val="18"/>
              </w:rPr>
              <w:t>N</w:t>
            </w:r>
            <w:r>
              <w:rPr>
                <w:rFonts w:ascii="Arial" w:eastAsia="MS Mincho"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D47C256" w14:textId="77777777" w:rsidR="003B2A11" w:rsidRDefault="00C62FFB">
            <w:pPr>
              <w:keepNext/>
              <w:keepLines/>
              <w:rPr>
                <w:rFonts w:ascii="Arial" w:eastAsia="MS Mincho" w:hAnsi="Arial"/>
                <w:sz w:val="18"/>
                <w:lang w:eastAsia="en-US"/>
              </w:rPr>
            </w:pPr>
            <w:r>
              <w:rPr>
                <w:rFonts w:ascii="Arial" w:eastAsia="MS Mincho" w:hAnsi="Arial"/>
                <w:sz w:val="18"/>
                <w:lang w:eastAsia="en-US"/>
              </w:rPr>
              <w:t>Candidate values for component 2 are {8, 16, 32, 64}.</w:t>
            </w:r>
          </w:p>
          <w:p w14:paraId="0D47C257" w14:textId="77777777" w:rsidR="003B2A11" w:rsidRDefault="003B2A11">
            <w:pPr>
              <w:keepNext/>
              <w:keepLines/>
              <w:rPr>
                <w:rFonts w:ascii="Arial" w:eastAsia="MS Mincho" w:hAnsi="Arial"/>
                <w:sz w:val="18"/>
                <w:lang w:eastAsia="en-US"/>
              </w:rPr>
            </w:pPr>
          </w:p>
          <w:p w14:paraId="0D47C258" w14:textId="77777777" w:rsidR="003B2A11" w:rsidRDefault="00C62FFB">
            <w:pPr>
              <w:keepNext/>
              <w:keepLines/>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59" w14:textId="77777777" w:rsidR="003B2A11" w:rsidRDefault="00C62FFB">
            <w:pPr>
              <w:keepNext/>
              <w:keepLines/>
              <w:rPr>
                <w:rFonts w:ascii="Arial" w:eastAsia="MS Mincho" w:hAnsi="Arial"/>
                <w:sz w:val="18"/>
              </w:rPr>
            </w:pPr>
            <w:r>
              <w:rPr>
                <w:rFonts w:ascii="Arial" w:eastAsia="MS Mincho" w:hAnsi="Arial"/>
                <w:sz w:val="18"/>
              </w:rPr>
              <w:t>Optional with capability signalling</w:t>
            </w:r>
          </w:p>
        </w:tc>
      </w:tr>
      <w:tr w:rsidR="003B2A11" w14:paraId="0D47C26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5B" w14:textId="77777777" w:rsidR="003B2A11" w:rsidRDefault="00C62FFB">
            <w:pPr>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5C" w14:textId="77777777" w:rsidR="003B2A11" w:rsidRDefault="00C62FFB">
            <w:pPr>
              <w:rPr>
                <w:rFonts w:ascii="Arial" w:eastAsia="MS Mincho" w:hAnsi="Arial"/>
                <w:sz w:val="18"/>
              </w:rPr>
            </w:pPr>
            <w:r>
              <w:rPr>
                <w:rFonts w:ascii="Arial" w:eastAsia="MS Mincho" w:hAnsi="Arial"/>
                <w:sz w:val="18"/>
              </w:rPr>
              <w:t>17-2</w:t>
            </w:r>
          </w:p>
        </w:tc>
        <w:tc>
          <w:tcPr>
            <w:tcW w:w="1559" w:type="dxa"/>
            <w:tcBorders>
              <w:top w:val="single" w:sz="4" w:space="0" w:color="auto"/>
              <w:left w:val="single" w:sz="4" w:space="0" w:color="auto"/>
              <w:bottom w:val="single" w:sz="4" w:space="0" w:color="auto"/>
              <w:right w:val="single" w:sz="4" w:space="0" w:color="auto"/>
            </w:tcBorders>
          </w:tcPr>
          <w:p w14:paraId="0D47C25D" w14:textId="77777777" w:rsidR="003B2A11" w:rsidRDefault="00C62FFB">
            <w:pPr>
              <w:rPr>
                <w:rFonts w:ascii="Arial" w:eastAsia="MS Mincho" w:hAnsi="Arial"/>
                <w:sz w:val="18"/>
                <w:lang w:eastAsia="en-US"/>
              </w:rPr>
            </w:pPr>
            <w:r>
              <w:rPr>
                <w:rFonts w:ascii="Arial" w:eastAsia="MS Mincho"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0D47C25E" w14:textId="77777777" w:rsidR="003B2A11" w:rsidRDefault="00C62FFB">
            <w:pPr>
              <w:rPr>
                <w:rFonts w:ascii="Arial" w:eastAsia="MS Mincho" w:hAnsi="Arial"/>
                <w:sz w:val="18"/>
                <w:lang w:eastAsia="en-US"/>
              </w:rPr>
            </w:pPr>
            <w:r>
              <w:rPr>
                <w:rFonts w:ascii="Arial" w:eastAsia="MS Mincho" w:hAnsi="Arial"/>
                <w:sz w:val="18"/>
                <w:lang w:eastAsia="en-US"/>
              </w:rPr>
              <w:t>1. Support SRS-RSRP measurement. The max number of SRS resources across all CCs configured to measure SRS-RSRP simultaneously shall not exceed 32.</w:t>
            </w:r>
          </w:p>
          <w:p w14:paraId="0D47C25F" w14:textId="77777777" w:rsidR="003B2A11" w:rsidRDefault="00C62FFB">
            <w:pPr>
              <w:rPr>
                <w:rFonts w:ascii="Arial" w:eastAsia="MS Mincho" w:hAnsi="Arial"/>
                <w:sz w:val="18"/>
                <w:lang w:eastAsia="en-US"/>
              </w:rPr>
            </w:pPr>
            <w:r>
              <w:rPr>
                <w:rFonts w:ascii="Arial" w:eastAsia="MS Mincho" w:hAnsi="Arial"/>
                <w:sz w:val="18"/>
                <w:lang w:eastAsia="en-US"/>
              </w:rPr>
              <w:t>2. Maximum number of measurement resources configured for SRS-RSRP measurement</w:t>
            </w:r>
          </w:p>
          <w:p w14:paraId="0D47C260" w14:textId="77777777" w:rsidR="003B2A11" w:rsidRDefault="00C62FFB">
            <w:pPr>
              <w:rPr>
                <w:rFonts w:ascii="Arial" w:eastAsia="MS Mincho" w:hAnsi="Arial"/>
                <w:sz w:val="18"/>
              </w:rPr>
            </w:pPr>
            <w:r>
              <w:rPr>
                <w:rFonts w:ascii="Arial" w:eastAsia="MS Mincho" w:hAnsi="Arial" w:hint="eastAsia"/>
                <w:sz w:val="18"/>
              </w:rPr>
              <w:t>3</w:t>
            </w:r>
            <w:r>
              <w:rPr>
                <w:rFonts w:ascii="Arial" w:eastAsia="MS Mincho"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14:paraId="0D47C261" w14:textId="77777777" w:rsidR="003B2A11" w:rsidRDefault="00C62FFB">
            <w:pPr>
              <w:rPr>
                <w:rFonts w:ascii="Arial" w:eastAsia="MS Mincho" w:hAnsi="Arial"/>
                <w:sz w:val="18"/>
                <w:highlight w:val="yellow"/>
              </w:rPr>
            </w:pPr>
            <w:del w:id="6"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62" w14:textId="77777777" w:rsidR="003B2A11" w:rsidRDefault="00C62FFB">
            <w:pPr>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63" w14:textId="77777777" w:rsidR="003B2A11" w:rsidRDefault="00C62FFB">
            <w:pPr>
              <w:rPr>
                <w:rFonts w:ascii="Arial" w:eastAsia="MS Mincho" w:hAnsi="Arial"/>
                <w:sz w:val="18"/>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64" w14:textId="77777777" w:rsidR="003B2A11" w:rsidRDefault="003B2A11">
            <w:pPr>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65" w14:textId="77777777" w:rsidR="003B2A11" w:rsidRDefault="00C62FFB">
            <w:pPr>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66" w14:textId="77777777" w:rsidR="003B2A11" w:rsidRDefault="00C62FFB">
            <w:pPr>
              <w:rPr>
                <w:rFonts w:ascii="Arial" w:eastAsia="Malgun Gothic" w:hAnsi="Arial"/>
                <w:sz w:val="18"/>
                <w:lang w:eastAsia="ko-KR"/>
              </w:rPr>
            </w:pPr>
            <w:ins w:id="7"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8"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67" w14:textId="77777777" w:rsidR="003B2A11" w:rsidRDefault="00C62FFB">
            <w:pPr>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68" w14:textId="77777777" w:rsidR="003B2A11" w:rsidRDefault="00C62FFB">
            <w:pPr>
              <w:rPr>
                <w:rFonts w:ascii="Arial" w:eastAsia="MS Mincho" w:hAnsi="Arial"/>
                <w:sz w:val="18"/>
              </w:rPr>
            </w:pPr>
            <w:ins w:id="9"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69" w14:textId="77777777" w:rsidR="003B2A11" w:rsidRDefault="00C62FFB">
            <w:pPr>
              <w:rPr>
                <w:rFonts w:ascii="Arial" w:eastAsia="MS Mincho" w:hAnsi="Arial"/>
                <w:sz w:val="18"/>
                <w:lang w:eastAsia="en-US"/>
              </w:rPr>
            </w:pPr>
            <w:r>
              <w:rPr>
                <w:rFonts w:ascii="Arial" w:eastAsia="MS Mincho" w:hAnsi="Arial"/>
                <w:sz w:val="18"/>
                <w:lang w:eastAsia="en-US"/>
              </w:rPr>
              <w:t>Candidate values for component 2 are {4, 8, 16, 32}.</w:t>
            </w:r>
          </w:p>
          <w:p w14:paraId="0D47C26A" w14:textId="77777777" w:rsidR="003B2A11" w:rsidRDefault="00C62FFB">
            <w:pPr>
              <w:rPr>
                <w:rFonts w:ascii="Arial" w:eastAsia="MS Mincho" w:hAnsi="Arial"/>
                <w:sz w:val="18"/>
                <w:lang w:eastAsia="en-US"/>
              </w:rPr>
            </w:pPr>
            <w:r>
              <w:rPr>
                <w:rFonts w:ascii="Arial" w:eastAsia="MS Mincho" w:hAnsi="Arial"/>
                <w:sz w:val="18"/>
                <w:lang w:eastAsia="en-US"/>
              </w:rPr>
              <w:t>Candidate values for component 3 are {2, 4, 8}.</w:t>
            </w:r>
          </w:p>
          <w:p w14:paraId="0D47C26B" w14:textId="77777777" w:rsidR="003B2A11" w:rsidRDefault="003B2A11">
            <w:pPr>
              <w:rPr>
                <w:rFonts w:ascii="Arial" w:eastAsia="MS Mincho" w:hAnsi="Arial"/>
                <w:sz w:val="18"/>
                <w:lang w:eastAsia="en-US"/>
              </w:rPr>
            </w:pPr>
          </w:p>
          <w:p w14:paraId="0D47C26C" w14:textId="77777777" w:rsidR="003B2A11" w:rsidRDefault="00C62FFB">
            <w:pPr>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6D" w14:textId="77777777" w:rsidR="003B2A11" w:rsidRDefault="00C62FFB">
            <w:pPr>
              <w:rPr>
                <w:rFonts w:ascii="Arial" w:eastAsia="MS Mincho" w:hAnsi="Arial"/>
                <w:sz w:val="18"/>
              </w:rPr>
            </w:pPr>
            <w:r>
              <w:rPr>
                <w:rFonts w:ascii="Arial" w:eastAsia="MS Mincho" w:hAnsi="Arial"/>
                <w:sz w:val="18"/>
              </w:rPr>
              <w:t>Optional with capability signalling</w:t>
            </w:r>
          </w:p>
        </w:tc>
      </w:tr>
      <w:tr w:rsidR="003B2A11" w14:paraId="0D47C27D" w14:textId="77777777">
        <w:trPr>
          <w:trHeight w:val="20"/>
          <w:ins w:id="10"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6F" w14:textId="77777777" w:rsidR="003B2A11" w:rsidRDefault="00C62FFB">
            <w:pPr>
              <w:rPr>
                <w:ins w:id="11" w:author="Harada Hiroki" w:date="2020-05-05T11:18:00Z"/>
                <w:rFonts w:ascii="Arial" w:eastAsia="MS Mincho" w:hAnsi="Arial"/>
                <w:sz w:val="18"/>
              </w:rPr>
            </w:pPr>
            <w:ins w:id="12" w:author="Harada Hiroki" w:date="2020-05-05T11:18:00Z">
              <w:r>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tcPr>
          <w:p w14:paraId="0D47C270" w14:textId="77777777" w:rsidR="003B2A11" w:rsidRDefault="00C62FFB">
            <w:pPr>
              <w:rPr>
                <w:ins w:id="13" w:author="Harada Hiroki" w:date="2020-05-05T11:18:00Z"/>
                <w:rFonts w:ascii="Arial" w:eastAsia="MS Mincho" w:hAnsi="Arial"/>
                <w:sz w:val="18"/>
              </w:rPr>
            </w:pPr>
            <w:ins w:id="14" w:author="Harada Hiroki" w:date="2020-05-05T11:18:00Z">
              <w:r>
                <w:rPr>
                  <w:rFonts w:ascii="Arial" w:eastAsia="MS Mincho"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14:paraId="0D47C271" w14:textId="77777777" w:rsidR="003B2A11" w:rsidRDefault="00C62FFB">
            <w:pPr>
              <w:rPr>
                <w:ins w:id="15" w:author="Harada Hiroki" w:date="2020-05-05T11:18:00Z"/>
                <w:rFonts w:ascii="Arial" w:eastAsia="MS Mincho" w:hAnsi="Arial"/>
                <w:sz w:val="18"/>
                <w:lang w:eastAsia="en-US"/>
              </w:rPr>
            </w:pPr>
            <w:ins w:id="16" w:author="Harada Hiroki" w:date="2020-05-05T11:18:00Z">
              <w:r>
                <w:rPr>
                  <w:rFonts w:ascii="Arial" w:eastAsia="MS Mincho" w:hAnsi="Arial"/>
                  <w:sz w:val="18"/>
                  <w:lang w:eastAsia="en-US"/>
                </w:rPr>
                <w:t xml:space="preserve">Simultaneous reception of </w:t>
              </w:r>
            </w:ins>
            <w:ins w:id="17" w:author="Harada Hiroki" w:date="2020-05-06T17:16:00Z">
              <w:r>
                <w:rPr>
                  <w:rFonts w:ascii="Arial" w:eastAsia="MS Mincho" w:hAnsi="Arial"/>
                  <w:sz w:val="18"/>
                  <w:lang w:eastAsia="en-US"/>
                </w:rPr>
                <w:t>DL signals/channels</w:t>
              </w:r>
            </w:ins>
            <w:ins w:id="18" w:author="Harada Hiroki" w:date="2020-05-05T11:18:00Z">
              <w:r>
                <w:rPr>
                  <w:rFonts w:ascii="Arial" w:eastAsia="MS Mincho"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72" w14:textId="77777777" w:rsidR="003B2A11" w:rsidRDefault="00C62FFB">
            <w:pPr>
              <w:rPr>
                <w:ins w:id="19" w:author="Harada Hiroki" w:date="2020-05-05T11:18:00Z"/>
                <w:rFonts w:ascii="Arial" w:eastAsia="MS Mincho" w:hAnsi="Arial"/>
                <w:sz w:val="18"/>
                <w:lang w:eastAsia="en-US"/>
              </w:rPr>
            </w:pPr>
            <w:ins w:id="20" w:author="Harada Hiroki" w:date="2020-05-05T11:18:00Z">
              <w:r>
                <w:rPr>
                  <w:rFonts w:ascii="Arial" w:eastAsia="MS Mincho" w:hAnsi="Arial"/>
                  <w:sz w:val="18"/>
                  <w:lang w:eastAsia="en-US"/>
                </w:rPr>
                <w:t xml:space="preserve">Support </w:t>
              </w:r>
            </w:ins>
            <w:ins w:id="21" w:author="Harada Hiroki" w:date="2020-05-06T17:17:00Z">
              <w:r>
                <w:rPr>
                  <w:rFonts w:ascii="Arial" w:eastAsia="MS Mincho"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73" w14:textId="77777777" w:rsidR="003B2A11" w:rsidRDefault="00C62FFB">
            <w:pPr>
              <w:rPr>
                <w:ins w:id="22" w:author="Harada Hiroki" w:date="2020-05-05T11:18:00Z"/>
                <w:rFonts w:ascii="Arial" w:eastAsia="MS Mincho" w:hAnsi="Arial"/>
                <w:sz w:val="18"/>
              </w:rPr>
            </w:pPr>
            <w:ins w:id="23" w:author="Harada Hiroki" w:date="2020-05-05T11:18:00Z">
              <w:r>
                <w:rPr>
                  <w:rFonts w:ascii="Arial" w:eastAsia="MS Mincho"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14:paraId="0D47C274" w14:textId="77777777" w:rsidR="003B2A11" w:rsidRDefault="00C62FFB">
            <w:pPr>
              <w:rPr>
                <w:ins w:id="24" w:author="Harada Hiroki" w:date="2020-05-05T11:18:00Z"/>
                <w:rFonts w:ascii="Arial" w:eastAsia="MS Mincho" w:hAnsi="Arial"/>
                <w:iCs/>
                <w:sz w:val="18"/>
              </w:rPr>
            </w:pPr>
            <w:ins w:id="25"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75" w14:textId="77777777" w:rsidR="003B2A11" w:rsidRDefault="00C62FFB">
            <w:pPr>
              <w:rPr>
                <w:ins w:id="26" w:author="Harada Hiroki" w:date="2020-05-05T11:18:00Z"/>
                <w:rFonts w:ascii="Arial" w:eastAsia="MS Mincho" w:hAnsi="Arial"/>
                <w:sz w:val="18"/>
              </w:rPr>
            </w:pPr>
            <w:ins w:id="27"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76" w14:textId="77777777" w:rsidR="003B2A11" w:rsidRDefault="003B2A11">
            <w:pPr>
              <w:rPr>
                <w:ins w:id="28" w:author="Harada Hiroki" w:date="2020-05-05T11:18:00Z"/>
                <w:rFonts w:ascii="Arial" w:eastAsia="MS Mincho"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14:paraId="0D47C277" w14:textId="77777777" w:rsidR="003B2A11" w:rsidRDefault="00C62FFB">
            <w:pPr>
              <w:rPr>
                <w:ins w:id="29" w:author="Harada Hiroki" w:date="2020-05-05T11:18:00Z"/>
                <w:rFonts w:ascii="Arial" w:eastAsia="MS Mincho" w:hAnsi="Arial"/>
                <w:sz w:val="18"/>
              </w:rPr>
            </w:pPr>
            <w:ins w:id="30"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78" w14:textId="77777777" w:rsidR="003B2A11" w:rsidRDefault="00C62FFB">
            <w:pPr>
              <w:rPr>
                <w:ins w:id="31" w:author="Harada Hiroki" w:date="2020-05-05T11:18:00Z"/>
                <w:rFonts w:ascii="Arial" w:eastAsia="Malgun Gothic" w:hAnsi="Arial"/>
                <w:sz w:val="18"/>
                <w:lang w:eastAsia="ko-KR"/>
              </w:rPr>
            </w:pPr>
            <w:ins w:id="32" w:author="Harada Hiroki" w:date="2020-05-07T10:58:00Z">
              <w:r>
                <w:rPr>
                  <w:rFonts w:ascii="Arial" w:eastAsia="Malgun Gothic" w:hAnsi="Arial"/>
                  <w:sz w:val="18"/>
                  <w:lang w:eastAsia="ko-KR"/>
                </w:rPr>
                <w:t>No (</w:t>
              </w:r>
            </w:ins>
            <w:ins w:id="33" w:author="Harada Hiroki" w:date="2020-05-05T11:18:00Z">
              <w:r>
                <w:rPr>
                  <w:rFonts w:ascii="Arial" w:eastAsia="Malgun Gothic" w:hAnsi="Arial"/>
                  <w:sz w:val="18"/>
                  <w:lang w:eastAsia="ko-KR"/>
                </w:rPr>
                <w:t>TDD only</w:t>
              </w:r>
            </w:ins>
            <w:ins w:id="34"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79" w14:textId="77777777" w:rsidR="003B2A11" w:rsidRDefault="00C62FFB">
            <w:pPr>
              <w:rPr>
                <w:ins w:id="35" w:author="Harada Hiroki" w:date="2020-05-05T11:18:00Z"/>
                <w:rFonts w:ascii="Arial" w:eastAsia="MS Mincho" w:hAnsi="Arial"/>
                <w:sz w:val="18"/>
              </w:rPr>
            </w:pPr>
            <w:ins w:id="36"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7A" w14:textId="77777777" w:rsidR="003B2A11" w:rsidRDefault="00C62FFB">
            <w:pPr>
              <w:rPr>
                <w:ins w:id="37" w:author="Harada Hiroki" w:date="2020-05-05T11:18:00Z"/>
                <w:rFonts w:ascii="Arial" w:eastAsia="MS Mincho" w:hAnsi="Arial"/>
                <w:sz w:val="18"/>
              </w:rPr>
            </w:pPr>
            <w:ins w:id="38"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7B" w14:textId="77777777" w:rsidR="003B2A11" w:rsidRDefault="00C62FFB">
            <w:pPr>
              <w:rPr>
                <w:ins w:id="39" w:author="Harada Hiroki" w:date="2020-05-05T11:18:00Z"/>
                <w:rFonts w:ascii="Arial" w:eastAsia="MS Mincho" w:hAnsi="Arial"/>
                <w:sz w:val="18"/>
                <w:lang w:eastAsia="en-US"/>
              </w:rPr>
            </w:pPr>
            <w:ins w:id="40" w:author="Harada Hiroki" w:date="2020-05-06T17:19:00Z">
              <w:r>
                <w:rPr>
                  <w:rFonts w:ascii="Arial" w:eastAsia="MS Mincho"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7C" w14:textId="77777777" w:rsidR="003B2A11" w:rsidRDefault="00C62FFB">
            <w:pPr>
              <w:rPr>
                <w:ins w:id="41" w:author="Harada Hiroki" w:date="2020-05-05T11:18:00Z"/>
                <w:rFonts w:ascii="Arial" w:eastAsia="MS Mincho" w:hAnsi="Arial"/>
                <w:sz w:val="18"/>
              </w:rPr>
            </w:pPr>
            <w:ins w:id="42" w:author="Harada Hiroki" w:date="2020-05-05T11:18:00Z">
              <w:r>
                <w:rPr>
                  <w:rFonts w:ascii="Arial" w:eastAsia="MS Mincho" w:hAnsi="Arial"/>
                  <w:sz w:val="18"/>
                </w:rPr>
                <w:t>Optional with capability signalling</w:t>
              </w:r>
            </w:ins>
          </w:p>
        </w:tc>
      </w:tr>
      <w:tr w:rsidR="003B2A11" w14:paraId="0D47C28C" w14:textId="77777777">
        <w:trPr>
          <w:trHeight w:val="20"/>
          <w:ins w:id="43"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7E" w14:textId="77777777" w:rsidR="003B2A11" w:rsidRDefault="00C62FFB">
            <w:pPr>
              <w:rPr>
                <w:ins w:id="44" w:author="Harada Hiroki" w:date="2020-05-05T11:18:00Z"/>
                <w:rFonts w:ascii="Arial" w:eastAsia="MS Mincho" w:hAnsi="Arial"/>
                <w:sz w:val="18"/>
              </w:rPr>
            </w:pPr>
            <w:ins w:id="45" w:author="Harada Hiroki" w:date="2020-05-05T11:18:00Z">
              <w:r>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tcPr>
          <w:p w14:paraId="0D47C27F" w14:textId="77777777" w:rsidR="003B2A11" w:rsidRDefault="00C62FFB">
            <w:pPr>
              <w:rPr>
                <w:ins w:id="46" w:author="Harada Hiroki" w:date="2020-05-05T11:18:00Z"/>
                <w:rFonts w:ascii="Arial" w:eastAsia="MS Mincho" w:hAnsi="Arial"/>
                <w:sz w:val="18"/>
              </w:rPr>
            </w:pPr>
            <w:ins w:id="47" w:author="Harada Hiroki" w:date="2020-05-05T11:18:00Z">
              <w:r>
                <w:rPr>
                  <w:rFonts w:ascii="Arial" w:eastAsia="MS Mincho"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14:paraId="0D47C280" w14:textId="77777777" w:rsidR="003B2A11" w:rsidRDefault="00C62FFB">
            <w:pPr>
              <w:rPr>
                <w:ins w:id="48" w:author="Harada Hiroki" w:date="2020-05-05T11:18:00Z"/>
                <w:rFonts w:ascii="Arial" w:eastAsia="MS Mincho" w:hAnsi="Arial"/>
                <w:sz w:val="18"/>
                <w:lang w:eastAsia="en-US"/>
              </w:rPr>
            </w:pPr>
            <w:ins w:id="49" w:author="Harada Hiroki" w:date="2020-05-05T11:18:00Z">
              <w:r>
                <w:rPr>
                  <w:rFonts w:ascii="Arial" w:eastAsia="MS Mincho" w:hAnsi="Arial"/>
                  <w:sz w:val="18"/>
                  <w:lang w:eastAsia="en-US"/>
                </w:rPr>
                <w:t xml:space="preserve">Simultaneous reception of </w:t>
              </w:r>
            </w:ins>
            <w:ins w:id="50" w:author="Harada Hiroki" w:date="2020-05-06T17:16:00Z">
              <w:r>
                <w:rPr>
                  <w:rFonts w:ascii="Arial" w:eastAsia="MS Mincho" w:hAnsi="Arial"/>
                  <w:sz w:val="18"/>
                  <w:lang w:eastAsia="en-US"/>
                </w:rPr>
                <w:t>DL signals/channels</w:t>
              </w:r>
            </w:ins>
            <w:ins w:id="51" w:author="Harada Hiroki" w:date="2020-05-05T11:18:00Z">
              <w:r>
                <w:rPr>
                  <w:rFonts w:ascii="Arial" w:eastAsia="MS Mincho"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81" w14:textId="77777777" w:rsidR="003B2A11" w:rsidRDefault="00C62FFB">
            <w:pPr>
              <w:rPr>
                <w:ins w:id="52" w:author="Harada Hiroki" w:date="2020-05-05T11:18:00Z"/>
                <w:rFonts w:ascii="Arial" w:eastAsia="MS Mincho" w:hAnsi="Arial"/>
                <w:sz w:val="18"/>
                <w:lang w:eastAsia="en-US"/>
              </w:rPr>
            </w:pPr>
            <w:ins w:id="53" w:author="Harada Hiroki" w:date="2020-05-05T11:18:00Z">
              <w:r>
                <w:rPr>
                  <w:rFonts w:ascii="Arial" w:eastAsia="MS Mincho" w:hAnsi="Arial"/>
                  <w:sz w:val="18"/>
                  <w:lang w:eastAsia="en-US"/>
                </w:rPr>
                <w:t xml:space="preserve">Support </w:t>
              </w:r>
            </w:ins>
            <w:ins w:id="54" w:author="Harada Hiroki" w:date="2020-05-06T17:17:00Z">
              <w:r>
                <w:rPr>
                  <w:rFonts w:ascii="Arial" w:eastAsia="MS Mincho"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82" w14:textId="77777777" w:rsidR="003B2A11" w:rsidRDefault="00C62FFB">
            <w:pPr>
              <w:rPr>
                <w:ins w:id="55" w:author="Harada Hiroki" w:date="2020-05-05T11:18:00Z"/>
                <w:rFonts w:ascii="Arial" w:eastAsia="MS Mincho" w:hAnsi="Arial"/>
                <w:sz w:val="18"/>
              </w:rPr>
            </w:pPr>
            <w:ins w:id="56" w:author="Harada Hiroki" w:date="2020-05-05T11:18:00Z">
              <w:r>
                <w:rPr>
                  <w:rFonts w:ascii="Arial" w:eastAsia="MS Mincho"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14:paraId="0D47C283" w14:textId="77777777" w:rsidR="003B2A11" w:rsidRDefault="00C62FFB">
            <w:pPr>
              <w:rPr>
                <w:ins w:id="57" w:author="Harada Hiroki" w:date="2020-05-05T11:18:00Z"/>
                <w:rFonts w:ascii="Arial" w:eastAsia="MS Mincho" w:hAnsi="Arial"/>
                <w:iCs/>
                <w:sz w:val="18"/>
              </w:rPr>
            </w:pPr>
            <w:ins w:id="58"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84" w14:textId="77777777" w:rsidR="003B2A11" w:rsidRDefault="00C62FFB">
            <w:pPr>
              <w:rPr>
                <w:ins w:id="59" w:author="Harada Hiroki" w:date="2020-05-05T11:18:00Z"/>
                <w:rFonts w:ascii="Arial" w:eastAsia="MS Mincho" w:hAnsi="Arial"/>
                <w:sz w:val="18"/>
              </w:rPr>
            </w:pPr>
            <w:ins w:id="60"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85" w14:textId="77777777" w:rsidR="003B2A11" w:rsidRDefault="003B2A11">
            <w:pPr>
              <w:rPr>
                <w:ins w:id="61" w:author="Harada Hiroki" w:date="2020-05-05T11:18:00Z"/>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86" w14:textId="77777777" w:rsidR="003B2A11" w:rsidRDefault="00C62FFB">
            <w:pPr>
              <w:rPr>
                <w:ins w:id="62" w:author="Harada Hiroki" w:date="2020-05-05T11:18:00Z"/>
                <w:rFonts w:ascii="Arial" w:eastAsia="MS Mincho" w:hAnsi="Arial"/>
                <w:sz w:val="18"/>
              </w:rPr>
            </w:pPr>
            <w:ins w:id="63"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87" w14:textId="77777777" w:rsidR="003B2A11" w:rsidRDefault="00C62FFB">
            <w:pPr>
              <w:rPr>
                <w:ins w:id="64" w:author="Harada Hiroki" w:date="2020-05-05T11:18:00Z"/>
                <w:rFonts w:ascii="Arial" w:eastAsia="Malgun Gothic" w:hAnsi="Arial"/>
                <w:sz w:val="18"/>
                <w:lang w:eastAsia="ko-KR"/>
              </w:rPr>
            </w:pPr>
            <w:ins w:id="65" w:author="Harada Hiroki" w:date="2020-05-07T10:58:00Z">
              <w:r>
                <w:rPr>
                  <w:rFonts w:ascii="Arial" w:eastAsia="Malgun Gothic" w:hAnsi="Arial"/>
                  <w:sz w:val="18"/>
                  <w:lang w:eastAsia="ko-KR"/>
                </w:rPr>
                <w:t>No (</w:t>
              </w:r>
            </w:ins>
            <w:ins w:id="66" w:author="Harada Hiroki" w:date="2020-05-05T11:18:00Z">
              <w:r>
                <w:rPr>
                  <w:rFonts w:ascii="Arial" w:eastAsia="Malgun Gothic" w:hAnsi="Arial"/>
                  <w:sz w:val="18"/>
                  <w:lang w:eastAsia="ko-KR"/>
                </w:rPr>
                <w:t>TDD only</w:t>
              </w:r>
            </w:ins>
            <w:ins w:id="67"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88" w14:textId="77777777" w:rsidR="003B2A11" w:rsidRDefault="00C62FFB">
            <w:pPr>
              <w:rPr>
                <w:ins w:id="68" w:author="Harada Hiroki" w:date="2020-05-05T11:18:00Z"/>
                <w:rFonts w:ascii="Arial" w:eastAsia="MS Mincho" w:hAnsi="Arial"/>
                <w:sz w:val="18"/>
              </w:rPr>
            </w:pPr>
            <w:ins w:id="69"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89" w14:textId="77777777" w:rsidR="003B2A11" w:rsidRDefault="00C62FFB">
            <w:pPr>
              <w:rPr>
                <w:ins w:id="70" w:author="Harada Hiroki" w:date="2020-05-05T11:18:00Z"/>
                <w:rFonts w:ascii="Arial" w:eastAsia="MS Mincho" w:hAnsi="Arial"/>
                <w:sz w:val="18"/>
              </w:rPr>
            </w:pPr>
            <w:ins w:id="71"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8A" w14:textId="77777777" w:rsidR="003B2A11" w:rsidRDefault="00C62FFB">
            <w:pPr>
              <w:rPr>
                <w:ins w:id="72" w:author="Harada Hiroki" w:date="2020-05-05T11:18:00Z"/>
                <w:rFonts w:ascii="Arial" w:eastAsia="MS Mincho" w:hAnsi="Arial"/>
                <w:sz w:val="18"/>
                <w:lang w:eastAsia="en-US"/>
              </w:rPr>
            </w:pPr>
            <w:ins w:id="73" w:author="Harada Hiroki" w:date="2020-05-06T17:20:00Z">
              <w:r>
                <w:rPr>
                  <w:rFonts w:ascii="Arial" w:eastAsia="MS Mincho"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8B" w14:textId="77777777" w:rsidR="003B2A11" w:rsidRDefault="00C62FFB">
            <w:pPr>
              <w:rPr>
                <w:ins w:id="74" w:author="Harada Hiroki" w:date="2020-05-05T11:18:00Z"/>
                <w:rFonts w:ascii="Arial" w:eastAsia="MS Mincho" w:hAnsi="Arial"/>
                <w:sz w:val="18"/>
              </w:rPr>
            </w:pPr>
            <w:ins w:id="75" w:author="Harada Hiroki" w:date="2020-05-05T11:18:00Z">
              <w:r>
                <w:rPr>
                  <w:rFonts w:ascii="Arial" w:eastAsia="MS Mincho" w:hAnsi="Arial"/>
                  <w:sz w:val="18"/>
                </w:rPr>
                <w:t>Optional with capability signalling</w:t>
              </w:r>
            </w:ins>
          </w:p>
        </w:tc>
      </w:tr>
    </w:tbl>
    <w:p w14:paraId="0D47C28D" w14:textId="77777777" w:rsidR="003B2A11" w:rsidRDefault="003B2A11">
      <w:pPr>
        <w:spacing w:afterLines="50" w:after="120"/>
        <w:jc w:val="both"/>
        <w:rPr>
          <w:ins w:id="76" w:author="Harada Hiroki" w:date="2020-05-05T11:18:00Z"/>
          <w:rFonts w:eastAsia="MS Mincho"/>
          <w:sz w:val="22"/>
        </w:rPr>
      </w:pPr>
    </w:p>
    <w:p w14:paraId="0D47C28E" w14:textId="77777777" w:rsidR="003B2A11" w:rsidRDefault="003B2A11">
      <w:pPr>
        <w:spacing w:afterLines="50" w:after="120"/>
        <w:jc w:val="both"/>
        <w:rPr>
          <w:rFonts w:eastAsia="MS Mincho"/>
          <w:sz w:val="22"/>
        </w:rPr>
      </w:pPr>
    </w:p>
    <w:tbl>
      <w:tblPr>
        <w:tblStyle w:val="TableGrid"/>
        <w:tblW w:w="9962" w:type="dxa"/>
        <w:tblLayout w:type="fixed"/>
        <w:tblLook w:val="04A0" w:firstRow="1" w:lastRow="0" w:firstColumn="1" w:lastColumn="0" w:noHBand="0" w:noVBand="1"/>
      </w:tblPr>
      <w:tblGrid>
        <w:gridCol w:w="1980"/>
        <w:gridCol w:w="7982"/>
      </w:tblGrid>
      <w:tr w:rsidR="003B2A11" w14:paraId="0D47C291" w14:textId="77777777">
        <w:tc>
          <w:tcPr>
            <w:tcW w:w="1980" w:type="dxa"/>
            <w:shd w:val="clear" w:color="auto" w:fill="F2F2F2" w:themeFill="background1" w:themeFillShade="F2"/>
          </w:tcPr>
          <w:p w14:paraId="0D47C28F" w14:textId="77777777"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47C290" w14:textId="77777777"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14:paraId="0D47C295" w14:textId="77777777">
        <w:tc>
          <w:tcPr>
            <w:tcW w:w="1980" w:type="dxa"/>
          </w:tcPr>
          <w:p w14:paraId="0D47C292" w14:textId="77777777" w:rsidR="003B2A11" w:rsidRDefault="00C62FFB">
            <w:pPr>
              <w:spacing w:after="0"/>
              <w:jc w:val="both"/>
              <w:rPr>
                <w:sz w:val="22"/>
                <w:szCs w:val="22"/>
                <w:lang w:val="en-US"/>
              </w:rPr>
            </w:pPr>
            <w:r>
              <w:rPr>
                <w:sz w:val="22"/>
                <w:szCs w:val="22"/>
                <w:lang w:val="en-US"/>
              </w:rPr>
              <w:t>Nokia, NSB</w:t>
            </w:r>
          </w:p>
        </w:tc>
        <w:tc>
          <w:tcPr>
            <w:tcW w:w="7982" w:type="dxa"/>
          </w:tcPr>
          <w:p w14:paraId="0D47C293" w14:textId="77777777" w:rsidR="003B2A11" w:rsidRDefault="00C62FFB">
            <w:pPr>
              <w:spacing w:after="0"/>
              <w:rPr>
                <w:sz w:val="22"/>
                <w:szCs w:val="22"/>
                <w:lang w:val="en-US"/>
              </w:rPr>
            </w:pPr>
            <w:r>
              <w:rPr>
                <w:sz w:val="22"/>
                <w:szCs w:val="22"/>
                <w:lang w:val="en-US"/>
              </w:rPr>
              <w:t>We support the proposals in the table above.</w:t>
            </w:r>
          </w:p>
          <w:p w14:paraId="0D47C294" w14:textId="77777777"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14:paraId="0D47C299" w14:textId="77777777">
        <w:tc>
          <w:tcPr>
            <w:tcW w:w="1980" w:type="dxa"/>
          </w:tcPr>
          <w:p w14:paraId="0D47C296" w14:textId="77777777" w:rsidR="003B2A11" w:rsidRDefault="00C62FFB">
            <w:pPr>
              <w:spacing w:after="0"/>
              <w:jc w:val="both"/>
              <w:rPr>
                <w:sz w:val="22"/>
                <w:lang w:val="en-US"/>
              </w:rPr>
            </w:pPr>
            <w:r>
              <w:rPr>
                <w:sz w:val="22"/>
                <w:lang w:val="en-US"/>
              </w:rPr>
              <w:t>Intel</w:t>
            </w:r>
          </w:p>
        </w:tc>
        <w:tc>
          <w:tcPr>
            <w:tcW w:w="7982" w:type="dxa"/>
          </w:tcPr>
          <w:p w14:paraId="0D47C297" w14:textId="77777777" w:rsidR="003B2A11" w:rsidRDefault="00C62FFB">
            <w:pPr>
              <w:tabs>
                <w:tab w:val="left" w:pos="1800"/>
              </w:tabs>
              <w:spacing w:after="0"/>
              <w:rPr>
                <w:sz w:val="22"/>
                <w:lang w:val="en-US"/>
              </w:rPr>
            </w:pPr>
            <w:r>
              <w:rPr>
                <w:sz w:val="22"/>
                <w:lang w:val="en-US"/>
              </w:rPr>
              <w:t>We support the UE features listed above. However, the word “simultaneously” should be removed from 17-1 component 1 and 17-2 component 1 to avoid confusion.</w:t>
            </w:r>
          </w:p>
          <w:p w14:paraId="0D47C298" w14:textId="77777777" w:rsidR="003B2A11" w:rsidRDefault="00C62FFB">
            <w:pPr>
              <w:tabs>
                <w:tab w:val="left" w:pos="1800"/>
              </w:tabs>
              <w:spacing w:after="0"/>
              <w:rPr>
                <w:sz w:val="22"/>
                <w:lang w:val="en-US"/>
              </w:rPr>
            </w:pPr>
            <w:r>
              <w:rPr>
                <w:sz w:val="22"/>
                <w:lang w:val="en-US"/>
              </w:rPr>
              <w:lastRenderedPageBreak/>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14:paraId="0D47C2A6" w14:textId="77777777">
        <w:tc>
          <w:tcPr>
            <w:tcW w:w="1980" w:type="dxa"/>
          </w:tcPr>
          <w:p w14:paraId="0D47C29A" w14:textId="77777777" w:rsidR="003B2A11" w:rsidRDefault="00C62FFB">
            <w:pPr>
              <w:spacing w:after="0"/>
              <w:jc w:val="both"/>
              <w:rPr>
                <w:rFonts w:eastAsia="SimSun"/>
                <w:sz w:val="22"/>
                <w:lang w:val="en-US" w:eastAsia="zh-CN"/>
              </w:rPr>
            </w:pPr>
            <w:r>
              <w:rPr>
                <w:rFonts w:eastAsia="SimSun" w:hint="eastAsia"/>
                <w:sz w:val="22"/>
                <w:lang w:val="en-US" w:eastAsia="zh-CN"/>
              </w:rPr>
              <w:lastRenderedPageBreak/>
              <w:t>ZTE</w:t>
            </w:r>
          </w:p>
        </w:tc>
        <w:tc>
          <w:tcPr>
            <w:tcW w:w="7982" w:type="dxa"/>
          </w:tcPr>
          <w:p w14:paraId="0D47C29B" w14:textId="77777777" w:rsidR="003B2A11" w:rsidRDefault="00C62FFB">
            <w:pPr>
              <w:spacing w:after="0"/>
              <w:jc w:val="both"/>
              <w:rPr>
                <w:rFonts w:eastAsia="SimSun"/>
                <w:sz w:val="22"/>
                <w:szCs w:val="22"/>
                <w:lang w:val="en-US" w:eastAsia="zh-CN"/>
              </w:rPr>
            </w:pPr>
            <w:r>
              <w:rPr>
                <w:rFonts w:eastAsia="SimSun" w:hint="eastAsia"/>
                <w:sz w:val="22"/>
                <w:szCs w:val="22"/>
                <w:lang w:val="en-US" w:eastAsia="zh-CN"/>
              </w:rPr>
              <w:t xml:space="preserve">(1)Firstly, we agree with Intel to delete </w:t>
            </w:r>
            <w:r>
              <w:rPr>
                <w:sz w:val="22"/>
                <w:lang w:val="en-US"/>
              </w:rPr>
              <w:t>“simultaneously” from 17-1 component 1 and 17-2 component 1</w:t>
            </w:r>
            <w:r>
              <w:rPr>
                <w:rFonts w:eastAsia="SimSun" w:hint="eastAsia"/>
                <w:sz w:val="22"/>
                <w:szCs w:val="22"/>
                <w:lang w:val="en-US" w:eastAsia="zh-CN"/>
              </w:rPr>
              <w:t xml:space="preserve">. The agreements copied below limit the maximum numbers of CLI-RSSI and SRS-RSRP measurement resources to 64 and 32 respectively, but there is no </w:t>
            </w:r>
            <w:r>
              <w:rPr>
                <w:rFonts w:eastAsia="SimSun"/>
                <w:sz w:val="22"/>
                <w:szCs w:val="22"/>
                <w:lang w:val="en-US" w:eastAsia="zh-CN"/>
              </w:rPr>
              <w:t>“</w:t>
            </w:r>
            <w:r>
              <w:rPr>
                <w:rFonts w:eastAsia="SimSun" w:hint="eastAsia"/>
                <w:sz w:val="22"/>
                <w:szCs w:val="22"/>
                <w:lang w:val="en-US" w:eastAsia="zh-CN"/>
              </w:rPr>
              <w:t>simultaneously</w:t>
            </w:r>
            <w:r>
              <w:rPr>
                <w:rFonts w:eastAsia="SimSun"/>
                <w:sz w:val="22"/>
                <w:szCs w:val="22"/>
                <w:lang w:val="en-US" w:eastAsia="zh-CN"/>
              </w:rPr>
              <w:t>”</w:t>
            </w:r>
            <w:r>
              <w:rPr>
                <w:rFonts w:eastAsia="SimSun" w:hint="eastAsia"/>
                <w:sz w:val="22"/>
                <w:szCs w:val="22"/>
                <w:lang w:val="en-US" w:eastAsia="zh-CN"/>
              </w:rPr>
              <w:t xml:space="preserve"> restriction. Furthermore, in 17-2 component 3, maximum number of SRS-RSRP measurement resources within a slot is {2, 4,</w:t>
            </w:r>
            <w:r>
              <w:rPr>
                <w:rFonts w:eastAsia="SimSun" w:hint="eastAsia"/>
                <w:sz w:val="22"/>
                <w:szCs w:val="22"/>
                <w:highlight w:val="yellow"/>
                <w:lang w:val="en-US" w:eastAsia="zh-CN"/>
              </w:rPr>
              <w:t xml:space="preserve"> 8</w:t>
            </w:r>
            <w:r>
              <w:rPr>
                <w:rFonts w:eastAsia="SimSun" w:hint="eastAsia"/>
                <w:sz w:val="22"/>
                <w:szCs w:val="22"/>
                <w:lang w:val="en-US" w:eastAsia="zh-CN"/>
              </w:rPr>
              <w:t xml:space="preserve">}, thus it is useless to restrict the max number of SRS resources across all CCs configured to measure SRS-RSRP </w:t>
            </w:r>
            <w:r>
              <w:rPr>
                <w:rFonts w:eastAsia="SimSun" w:hint="eastAsia"/>
                <w:sz w:val="22"/>
                <w:szCs w:val="22"/>
                <w:highlight w:val="yellow"/>
                <w:lang w:val="en-US" w:eastAsia="zh-CN"/>
              </w:rPr>
              <w:t>simultaneously shall not exceed 32</w:t>
            </w:r>
            <w:r>
              <w:rPr>
                <w:rFonts w:eastAsia="SimSun" w:hint="eastAsia"/>
                <w:sz w:val="22"/>
                <w:szCs w:val="22"/>
                <w:lang w:val="en-US" w:eastAsia="zh-CN"/>
              </w:rPr>
              <w:t xml:space="preserve">. </w:t>
            </w:r>
          </w:p>
          <w:p w14:paraId="0D47C29C"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Agreements</w:t>
            </w:r>
            <w:r>
              <w:rPr>
                <w:rFonts w:eastAsia="SimSun" w:hint="eastAsia"/>
                <w:sz w:val="20"/>
                <w:lang w:val="en-US" w:eastAsia="zh-CN"/>
              </w:rPr>
              <w:t xml:space="preserve"> reached  in RAN1 #AH_1901 in Jan. 2019</w:t>
            </w:r>
          </w:p>
          <w:p w14:paraId="0D47C29D" w14:textId="77777777" w:rsidR="003B2A11" w:rsidRDefault="00C62FFB">
            <w:pPr>
              <w:pStyle w:val="ListParagraph"/>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14:paraId="0D47C29E" w14:textId="77777777" w:rsidR="003B2A11" w:rsidRDefault="00C62FFB">
            <w:pPr>
              <w:pStyle w:val="ListParagraph"/>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14:paraId="0D47C29F" w14:textId="77777777"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14:paraId="0D47C2A0"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 xml:space="preserve">Agreements </w:t>
            </w:r>
            <w:r>
              <w:rPr>
                <w:rFonts w:eastAsia="SimSun" w:hint="eastAsia"/>
                <w:sz w:val="20"/>
                <w:lang w:val="en-US" w:eastAsia="zh-CN"/>
              </w:rPr>
              <w:t>reached in RAN1 #96 in Feb. 2019</w:t>
            </w:r>
          </w:p>
          <w:p w14:paraId="0D47C2A1" w14:textId="77777777" w:rsidR="003B2A11" w:rsidRDefault="00C62FFB">
            <w:pPr>
              <w:pStyle w:val="ListParagraph"/>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14:paraId="0D47C2A2" w14:textId="77777777" w:rsidR="003B2A11" w:rsidRDefault="00C62FFB">
            <w:pPr>
              <w:pStyle w:val="ListParagraph"/>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14:paraId="0D47C2A3" w14:textId="77777777" w:rsidR="003B2A11" w:rsidRDefault="00C62FFB">
            <w:pPr>
              <w:pStyle w:val="ListParagraph"/>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14:paraId="0D47C2A4" w14:textId="77777777" w:rsidR="003B2A11" w:rsidRDefault="00C62FFB">
            <w:pPr>
              <w:numPr>
                <w:ilvl w:val="0"/>
                <w:numId w:val="12"/>
              </w:numPr>
              <w:spacing w:after="0"/>
              <w:jc w:val="both"/>
              <w:rPr>
                <w:rFonts w:eastAsia="SimSun"/>
                <w:sz w:val="22"/>
                <w:szCs w:val="22"/>
                <w:lang w:val="en-US" w:eastAsia="zh-CN"/>
              </w:rPr>
            </w:pPr>
            <w:r>
              <w:rPr>
                <w:rFonts w:eastAsia="SimSun" w:hint="eastAsia"/>
                <w:sz w:val="22"/>
                <w:lang w:val="en-US" w:eastAsia="zh-CN"/>
              </w:rPr>
              <w:t>For FFS in</w:t>
            </w:r>
            <w:r>
              <w:rPr>
                <w:sz w:val="22"/>
                <w:szCs w:val="22"/>
                <w:lang w:val="en-US"/>
              </w:rPr>
              <w:t xml:space="preserve"> 17-1/2</w:t>
            </w:r>
            <w:r>
              <w:rPr>
                <w:rFonts w:eastAsia="SimSun"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14:paraId="0D47C2A5" w14:textId="77777777" w:rsidR="003B2A11" w:rsidRDefault="00C62FFB">
            <w:pPr>
              <w:numPr>
                <w:ilvl w:val="0"/>
                <w:numId w:val="12"/>
              </w:numPr>
              <w:spacing w:after="0"/>
              <w:jc w:val="both"/>
              <w:rPr>
                <w:rFonts w:eastAsia="SimSun"/>
                <w:sz w:val="22"/>
                <w:lang w:val="en-US" w:eastAsia="zh-CN"/>
              </w:rPr>
            </w:pPr>
            <w:r>
              <w:rPr>
                <w:rFonts w:eastAsia="SimSun" w:hint="eastAsia"/>
                <w:sz w:val="22"/>
                <w:szCs w:val="22"/>
                <w:lang w:val="en-US" w:eastAsia="zh-CN"/>
              </w:rPr>
              <w:t>A typo is found in the first column of FG17-3/4</w:t>
            </w:r>
            <w:r>
              <w:rPr>
                <w:rFonts w:eastAsia="SimSun"/>
                <w:sz w:val="22"/>
                <w:szCs w:val="22"/>
                <w:lang w:val="en-US" w:eastAsia="zh-CN"/>
              </w:rPr>
              <w:t>. “</w:t>
            </w:r>
            <w:ins w:id="77" w:author="Harada Hiroki" w:date="2020-05-05T11:18:00Z">
              <w:r>
                <w:rPr>
                  <w:rFonts w:eastAsia="MS Mincho"/>
                  <w:sz w:val="18"/>
                </w:rPr>
                <w:t>NR_CLI_RIM I</w:t>
              </w:r>
            </w:ins>
            <w:r>
              <w:rPr>
                <w:rFonts w:eastAsia="SimSun"/>
                <w:sz w:val="22"/>
                <w:szCs w:val="22"/>
                <w:lang w:val="en-US" w:eastAsia="zh-CN"/>
              </w:rPr>
              <w:t>” should be “</w:t>
            </w:r>
            <w:ins w:id="78" w:author="Harada Hiroki" w:date="2020-05-05T11:18:00Z">
              <w:r>
                <w:rPr>
                  <w:rFonts w:eastAsia="MS Mincho"/>
                  <w:sz w:val="18"/>
                </w:rPr>
                <w:t>NR_CLI_RIM</w:t>
              </w:r>
            </w:ins>
            <w:r>
              <w:rPr>
                <w:rFonts w:eastAsia="SimSun"/>
                <w:sz w:val="22"/>
                <w:szCs w:val="22"/>
                <w:lang w:val="en-US" w:eastAsia="zh-CN"/>
              </w:rPr>
              <w:t>”</w:t>
            </w:r>
          </w:p>
        </w:tc>
      </w:tr>
      <w:tr w:rsidR="003B2A11" w:rsidRPr="00A20E2A" w14:paraId="0D47C2B2" w14:textId="77777777">
        <w:trPr>
          <w:trHeight w:val="70"/>
        </w:trPr>
        <w:tc>
          <w:tcPr>
            <w:tcW w:w="1980" w:type="dxa"/>
          </w:tcPr>
          <w:p w14:paraId="0D47C2A7" w14:textId="77777777" w:rsidR="003B2A11" w:rsidRPr="00A20E2A" w:rsidRDefault="00A20E2A">
            <w:pPr>
              <w:spacing w:after="0"/>
              <w:jc w:val="both"/>
              <w:rPr>
                <w:rFonts w:eastAsiaTheme="minorEastAsia"/>
                <w:sz w:val="22"/>
                <w:lang w:val="en-US" w:eastAsia="zh-CN"/>
              </w:rPr>
            </w:pPr>
            <w:r>
              <w:rPr>
                <w:rFonts w:eastAsiaTheme="minorEastAsia" w:hint="eastAsia"/>
                <w:sz w:val="22"/>
                <w:lang w:val="en-US" w:eastAsia="zh-CN"/>
              </w:rPr>
              <w:t>Hu</w:t>
            </w:r>
            <w:r>
              <w:rPr>
                <w:rFonts w:eastAsiaTheme="minorEastAsia"/>
                <w:sz w:val="22"/>
                <w:lang w:val="en-US" w:eastAsia="zh-CN"/>
              </w:rPr>
              <w:t xml:space="preserve">awei, </w:t>
            </w:r>
            <w:proofErr w:type="spellStart"/>
            <w:r>
              <w:rPr>
                <w:rFonts w:eastAsiaTheme="minorEastAsia"/>
                <w:sz w:val="22"/>
                <w:lang w:val="en-US" w:eastAsia="zh-CN"/>
              </w:rPr>
              <w:t>HiSilicon</w:t>
            </w:r>
            <w:proofErr w:type="spellEnd"/>
          </w:p>
        </w:tc>
        <w:tc>
          <w:tcPr>
            <w:tcW w:w="7982" w:type="dxa"/>
          </w:tcPr>
          <w:p w14:paraId="0D47C2A8" w14:textId="77777777" w:rsidR="003B2A11" w:rsidRPr="00A20E2A" w:rsidRDefault="00A20E2A" w:rsidP="00A20E2A">
            <w:pPr>
              <w:pStyle w:val="ListParagraph"/>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14:paraId="0D47C2A9" w14:textId="77777777" w:rsidR="00A20E2A" w:rsidRDefault="00A20E2A" w:rsidP="00A20E2A">
            <w:pPr>
              <w:pStyle w:val="ListParagraph"/>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14:paraId="0D47C2AA"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14:paraId="0D47C2AB"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14:paraId="0D47C2AC"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RAN4 LS has been confirmed by RAN2:</w:t>
            </w:r>
          </w:p>
          <w:p w14:paraId="0D47C2AD" w14:textId="77777777" w:rsidR="00A20E2A" w:rsidRDefault="00A77881" w:rsidP="00A20E2A">
            <w:pPr>
              <w:pStyle w:val="Doc-title"/>
              <w:ind w:left="1440" w:hanging="480"/>
            </w:pPr>
            <w:hyperlink r:id="rId15" w:tooltip="C:Data3GPPExtractsR2-2002528_R4-2002221.doc" w:history="1">
              <w:r w:rsidR="00A20E2A" w:rsidRPr="00907913">
                <w:rPr>
                  <w:rStyle w:val="Hyperlink"/>
                  <w:rFonts w:eastAsia="MS Mincho"/>
                </w:rPr>
                <w:t>R2-2002528</w:t>
              </w:r>
            </w:hyperlink>
            <w:r w:rsidR="00A20E2A">
              <w:tab/>
              <w:t>Reply LS on CLI measurement capability (R4-2002221; contact: Huawei)</w:t>
            </w:r>
            <w:r w:rsidR="00A20E2A">
              <w:tab/>
              <w:t>RAN4</w:t>
            </w:r>
            <w:r w:rsidR="00A20E2A">
              <w:tab/>
              <w:t>LS in</w:t>
            </w:r>
            <w:r w:rsidR="00A20E2A">
              <w:tab/>
              <w:t>Rel-16</w:t>
            </w:r>
            <w:r w:rsidR="00A20E2A">
              <w:tab/>
              <w:t>NR_CLI_RIM-Core</w:t>
            </w:r>
            <w:r w:rsidR="00A20E2A">
              <w:tab/>
              <w:t>To:RAN2</w:t>
            </w:r>
            <w:r w:rsidR="00A20E2A">
              <w:tab/>
              <w:t>Cc:RAN1</w:t>
            </w:r>
          </w:p>
          <w:p w14:paraId="0D47C2AE" w14:textId="77777777" w:rsidR="00A20E2A" w:rsidRDefault="00A20E2A" w:rsidP="00A20E2A">
            <w:pPr>
              <w:pStyle w:val="Doc-text2"/>
              <w:numPr>
                <w:ilvl w:val="0"/>
                <w:numId w:val="16"/>
              </w:numPr>
            </w:pPr>
            <w:r>
              <w:t xml:space="preserve">Ericsson and QC are fine with the indication from RAN4 and then revert the RAN2 agreement. </w:t>
            </w:r>
          </w:p>
          <w:p w14:paraId="0D47C2AF" w14:textId="77777777"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14:paraId="0D47C2B0" w14:textId="77777777" w:rsidR="00A20E2A" w:rsidRDefault="00A77881" w:rsidP="00A20E2A">
            <w:pPr>
              <w:pStyle w:val="ListParagraph"/>
              <w:ind w:leftChars="0" w:left="420"/>
              <w:rPr>
                <w:rFonts w:eastAsiaTheme="minorEastAsia"/>
                <w:sz w:val="22"/>
                <w:lang w:eastAsia="zh-CN"/>
              </w:rPr>
            </w:pPr>
            <w:hyperlink r:id="rId16" w:history="1">
              <w:r w:rsidR="00A20E2A" w:rsidRPr="0059125C">
                <w:rPr>
                  <w:rStyle w:val="Hyperlink"/>
                  <w:rFonts w:eastAsiaTheme="minorEastAsia"/>
                  <w:kern w:val="0"/>
                  <w:sz w:val="22"/>
                  <w:lang w:eastAsia="zh-CN"/>
                </w:rPr>
                <w:t>https://www.3gpp.org/ftp/tsg_ran/WG2_RL2/TSGR2_109bis-e/Inbox/Chairmans_Notes/RAN2-109bis-e-SRVCC-CLI-PRN-eMIMO-RACS_final.docx</w:t>
              </w:r>
            </w:hyperlink>
          </w:p>
          <w:p w14:paraId="0D47C2B1" w14:textId="77777777" w:rsidR="00A20E2A" w:rsidRPr="00A20E2A" w:rsidRDefault="00A20E2A" w:rsidP="00A20E2A">
            <w:pPr>
              <w:pStyle w:val="ListParagraph"/>
              <w:numPr>
                <w:ilvl w:val="0"/>
                <w:numId w:val="14"/>
              </w:numPr>
              <w:ind w:leftChars="0"/>
              <w:rPr>
                <w:rFonts w:eastAsiaTheme="minorEastAsia"/>
                <w:sz w:val="22"/>
                <w:lang w:val="en-US" w:eastAsia="zh-CN"/>
              </w:rPr>
            </w:pPr>
            <w:r>
              <w:rPr>
                <w:rFonts w:eastAsiaTheme="minorEastAsia"/>
                <w:sz w:val="22"/>
                <w:lang w:val="en-US" w:eastAsia="zh-CN"/>
              </w:rPr>
              <w:t>Regarding the FFS about unlicensed, more discussions are expected before any conclusion.</w:t>
            </w:r>
          </w:p>
        </w:tc>
      </w:tr>
      <w:tr w:rsidR="003B2A11" w14:paraId="0D47C2B7" w14:textId="77777777">
        <w:trPr>
          <w:trHeight w:val="70"/>
        </w:trPr>
        <w:tc>
          <w:tcPr>
            <w:tcW w:w="1980" w:type="dxa"/>
          </w:tcPr>
          <w:p w14:paraId="0D47C2B3" w14:textId="77777777" w:rsidR="003B2A11" w:rsidRDefault="005F5671">
            <w:pPr>
              <w:jc w:val="both"/>
              <w:rPr>
                <w:sz w:val="22"/>
                <w:lang w:val="en-US"/>
              </w:rPr>
            </w:pPr>
            <w:r>
              <w:rPr>
                <w:sz w:val="22"/>
                <w:lang w:val="en-US"/>
              </w:rPr>
              <w:lastRenderedPageBreak/>
              <w:t>MTK</w:t>
            </w:r>
          </w:p>
        </w:tc>
        <w:tc>
          <w:tcPr>
            <w:tcW w:w="7982" w:type="dxa"/>
          </w:tcPr>
          <w:p w14:paraId="0D47C2B4" w14:textId="77777777" w:rsidR="005F5671" w:rsidRPr="005F5671" w:rsidRDefault="005F5671" w:rsidP="005F5671">
            <w:pPr>
              <w:pStyle w:val="ListParagraph"/>
              <w:numPr>
                <w:ilvl w:val="0"/>
                <w:numId w:val="14"/>
              </w:numPr>
              <w:ind w:leftChars="0"/>
              <w:rPr>
                <w:sz w:val="22"/>
                <w:lang w:val="en-US"/>
              </w:rPr>
            </w:pPr>
            <w:r>
              <w:rPr>
                <w:sz w:val="22"/>
                <w:lang w:val="en-US"/>
              </w:rPr>
              <w:t>We support the proposals in the table. We think it’s fine to keep the notes in 17-3 and 17-4.</w:t>
            </w:r>
          </w:p>
          <w:p w14:paraId="0D47C2B5" w14:textId="77777777" w:rsidR="003B2A11" w:rsidRPr="005F5671" w:rsidRDefault="005F5671" w:rsidP="005F5671">
            <w:pPr>
              <w:pStyle w:val="ListParagraph"/>
              <w:numPr>
                <w:ilvl w:val="0"/>
                <w:numId w:val="14"/>
              </w:numPr>
              <w:ind w:leftChars="0"/>
              <w:rPr>
                <w:sz w:val="22"/>
                <w:lang w:val="en-US"/>
              </w:rPr>
            </w:pPr>
            <w:r w:rsidRPr="00A20E2A">
              <w:rPr>
                <w:rFonts w:eastAsiaTheme="minorEastAsia" w:hint="eastAsia"/>
                <w:sz w:val="22"/>
                <w:lang w:val="en-US" w:eastAsia="zh-CN"/>
              </w:rPr>
              <w:t>Ag</w:t>
            </w:r>
            <w:r>
              <w:rPr>
                <w:rFonts w:eastAsiaTheme="minorEastAsia"/>
                <w:sz w:val="22"/>
                <w:lang w:val="en-US" w:eastAsia="zh-CN"/>
              </w:rPr>
              <w:t>ree with Intel/</w:t>
            </w:r>
            <w:r w:rsidRPr="00A20E2A">
              <w:rPr>
                <w:rFonts w:eastAsiaTheme="minorEastAsia"/>
                <w:sz w:val="22"/>
                <w:lang w:val="en-US" w:eastAsia="zh-CN"/>
              </w:rPr>
              <w:t>ZTE</w:t>
            </w:r>
            <w:r>
              <w:rPr>
                <w:rFonts w:eastAsiaTheme="minorEastAsia"/>
                <w:sz w:val="22"/>
                <w:lang w:val="en-US" w:eastAsia="zh-CN"/>
              </w:rPr>
              <w:t>/HW</w:t>
            </w:r>
            <w:r w:rsidRPr="00A20E2A">
              <w:rPr>
                <w:rFonts w:eastAsiaTheme="minorEastAsia"/>
                <w:sz w:val="22"/>
                <w:lang w:val="en-US" w:eastAsia="zh-CN"/>
              </w:rPr>
              <w:t xml:space="preserve"> to delete “simultaneously” from component 1 of both 17-1 and 17-2.</w:t>
            </w:r>
            <w:r>
              <w:rPr>
                <w:rFonts w:eastAsiaTheme="minorEastAsia"/>
                <w:sz w:val="22"/>
                <w:lang w:val="en-US" w:eastAsia="zh-CN"/>
              </w:rPr>
              <w:t xml:space="preserve"> This is also the consensus achieved in RAN1 100-bis-e.</w:t>
            </w:r>
          </w:p>
          <w:p w14:paraId="0D47C2B6" w14:textId="77777777" w:rsidR="005F5671" w:rsidRDefault="005F5671" w:rsidP="005F5671">
            <w:pPr>
              <w:pStyle w:val="ListParagraph"/>
              <w:numPr>
                <w:ilvl w:val="0"/>
                <w:numId w:val="14"/>
              </w:numPr>
              <w:ind w:leftChars="0"/>
              <w:rPr>
                <w:sz w:val="22"/>
                <w:lang w:val="en-US"/>
              </w:rPr>
            </w:pPr>
            <w:r>
              <w:rPr>
                <w:rFonts w:eastAsiaTheme="minorEastAsia"/>
                <w:sz w:val="22"/>
                <w:lang w:val="en-US" w:eastAsia="zh-CN"/>
              </w:rPr>
              <w:t>Regarding the FFS about unlicensed operation, more discussions are expected before decision.</w:t>
            </w:r>
          </w:p>
        </w:tc>
      </w:tr>
      <w:tr w:rsidR="005E5C23" w14:paraId="0F1FE473" w14:textId="77777777">
        <w:trPr>
          <w:trHeight w:val="70"/>
        </w:trPr>
        <w:tc>
          <w:tcPr>
            <w:tcW w:w="1980" w:type="dxa"/>
          </w:tcPr>
          <w:p w14:paraId="6E561769" w14:textId="6F260AD1" w:rsidR="005E5C23" w:rsidRDefault="005E5C23">
            <w:pPr>
              <w:jc w:val="both"/>
              <w:rPr>
                <w:sz w:val="22"/>
                <w:lang w:val="en-US"/>
              </w:rPr>
            </w:pPr>
            <w:r>
              <w:rPr>
                <w:sz w:val="22"/>
                <w:lang w:val="en-US"/>
              </w:rPr>
              <w:t>Qualcomm</w:t>
            </w:r>
          </w:p>
        </w:tc>
        <w:tc>
          <w:tcPr>
            <w:tcW w:w="7982" w:type="dxa"/>
          </w:tcPr>
          <w:p w14:paraId="77CD0403" w14:textId="26F797B5" w:rsidR="00A77881" w:rsidRPr="005E5C23" w:rsidRDefault="005E5C23" w:rsidP="00A77881">
            <w:pPr>
              <w:rPr>
                <w:sz w:val="22"/>
                <w:lang w:val="en-US"/>
              </w:rPr>
            </w:pPr>
            <w:r>
              <w:rPr>
                <w:sz w:val="22"/>
                <w:lang w:val="en-US"/>
              </w:rPr>
              <w:t xml:space="preserve">We support to keep FG </w:t>
            </w:r>
            <w:r w:rsidR="006F5D35">
              <w:rPr>
                <w:sz w:val="22"/>
                <w:lang w:val="en-US"/>
              </w:rPr>
              <w:t>17-3 and FG 17-4</w:t>
            </w:r>
            <w:r w:rsidR="009861CA">
              <w:rPr>
                <w:sz w:val="22"/>
                <w:lang w:val="en-US"/>
              </w:rPr>
              <w:t xml:space="preserve">, given that the conflict between RAN2 and RAN4 </w:t>
            </w:r>
            <w:proofErr w:type="spellStart"/>
            <w:r w:rsidR="002322BC">
              <w:rPr>
                <w:sz w:val="22"/>
                <w:lang w:val="en-US"/>
              </w:rPr>
              <w:t>agreeemnts</w:t>
            </w:r>
            <w:proofErr w:type="spellEnd"/>
            <w:r w:rsidR="002322BC">
              <w:rPr>
                <w:sz w:val="22"/>
                <w:lang w:val="en-US"/>
              </w:rPr>
              <w:t xml:space="preserve"> </w:t>
            </w:r>
            <w:r w:rsidR="009861CA">
              <w:rPr>
                <w:sz w:val="22"/>
                <w:lang w:val="en-US"/>
              </w:rPr>
              <w:t xml:space="preserve">have been resolved by RAN2 reverting their </w:t>
            </w:r>
            <w:r w:rsidR="00D95312">
              <w:rPr>
                <w:sz w:val="22"/>
                <w:lang w:val="en-US"/>
              </w:rPr>
              <w:t xml:space="preserve">agreements of prioritizing serving cell channel/signal when it collides with </w:t>
            </w:r>
            <w:r w:rsidR="009520CC">
              <w:rPr>
                <w:sz w:val="22"/>
                <w:lang w:val="en-US"/>
              </w:rPr>
              <w:t>CLI measurement resource.</w:t>
            </w:r>
            <w:r w:rsidR="00A77881">
              <w:rPr>
                <w:sz w:val="22"/>
                <w:lang w:val="en-US"/>
              </w:rPr>
              <w:t xml:space="preserve"> I</w:t>
            </w:r>
            <w:r w:rsidR="00A77881" w:rsidRPr="00A77881">
              <w:rPr>
                <w:sz w:val="22"/>
                <w:lang w:val="en-US"/>
              </w:rPr>
              <w:t>t’s fine to keep the notes in 17-3 and 17-4.</w:t>
            </w:r>
            <w:bookmarkStart w:id="79" w:name="_GoBack"/>
            <w:bookmarkEnd w:id="79"/>
          </w:p>
        </w:tc>
      </w:tr>
    </w:tbl>
    <w:p w14:paraId="0D47C2B8" w14:textId="77777777" w:rsidR="003B2A11" w:rsidRDefault="003B2A11">
      <w:pPr>
        <w:spacing w:afterLines="50" w:after="120"/>
        <w:jc w:val="both"/>
        <w:rPr>
          <w:rFonts w:eastAsia="MS Mincho"/>
          <w:sz w:val="22"/>
          <w:lang w:val="en-US"/>
        </w:rPr>
      </w:pPr>
    </w:p>
    <w:p w14:paraId="0D47C2B9" w14:textId="77777777" w:rsidR="003B2A11" w:rsidRDefault="003B2A11">
      <w:pPr>
        <w:spacing w:afterLines="50" w:after="120"/>
        <w:jc w:val="both"/>
        <w:rPr>
          <w:rFonts w:eastAsia="MS Mincho"/>
          <w:sz w:val="22"/>
        </w:rPr>
      </w:pPr>
    </w:p>
    <w:sectPr w:rsidR="003B2A11">
      <w:footerReference w:type="default" r:id="rId17"/>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7C2BC" w14:textId="77777777" w:rsidR="00DA6848" w:rsidRDefault="00DA6848">
      <w:r>
        <w:separator/>
      </w:r>
    </w:p>
  </w:endnote>
  <w:endnote w:type="continuationSeparator" w:id="0">
    <w:p w14:paraId="0D47C2BD" w14:textId="77777777" w:rsidR="00DA6848" w:rsidRDefault="00DA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C2BE" w14:textId="77777777"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F567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F5671">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C2BF" w14:textId="77777777"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F5671">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F5671">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7C2BA" w14:textId="77777777" w:rsidR="00DA6848" w:rsidRDefault="00DA6848">
      <w:r>
        <w:separator/>
      </w:r>
    </w:p>
  </w:footnote>
  <w:footnote w:type="continuationSeparator" w:id="0">
    <w:p w14:paraId="0D47C2BB" w14:textId="77777777" w:rsidR="00DA6848" w:rsidRDefault="00DA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C9C2E53"/>
    <w:multiLevelType w:val="singleLevel"/>
    <w:tmpl w:val="3C9C2E53"/>
    <w:lvl w:ilvl="0">
      <w:start w:val="2"/>
      <w:numFmt w:val="decimal"/>
      <w:lvlText w:val="(%1)"/>
      <w:lvlJc w:val="left"/>
      <w:pPr>
        <w:tabs>
          <w:tab w:val="left" w:pos="312"/>
        </w:tabs>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14"/>
  </w:num>
  <w:num w:numId="5">
    <w:abstractNumId w:val="2"/>
  </w:num>
  <w:num w:numId="6">
    <w:abstractNumId w:val="12"/>
  </w:num>
  <w:num w:numId="7">
    <w:abstractNumId w:val="9"/>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8"/>
  </w:num>
  <w:num w:numId="13">
    <w:abstractNumId w:val="10"/>
  </w:num>
  <w:num w:numId="14">
    <w:abstractNumId w:val="1"/>
  </w:num>
  <w:num w:numId="15">
    <w:abstractNumId w:val="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2B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23"/>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671"/>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5D35"/>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0CC"/>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CA"/>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881"/>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2"/>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848"/>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47C228"/>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Inbox/Chairmans_Notes/RAN2-109bis-e-SRVCC-CLI-PRN-eMIMO-RACS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002528_R4-2002221.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1c5aaf6-e6ce-465b-b873-5148d2a4c105"/>
    <ds:schemaRef ds:uri="ebabf6ce-2443-438c-9946-ecc878e7654a"/>
    <ds:schemaRef ds:uri="95d2e41d-1f11-4347-bb1c-11d6a32975dd"/>
    <ds:schemaRef ds:uri="3b34c8f0-1ef5-4d1e-bb66-517ce7fe7356"/>
    <ds:schemaRef ds:uri="http://www.w3.org/XML/1998/namespace"/>
    <ds:schemaRef ds:uri="http://purl.org/dc/dcmitype/"/>
  </ds:schemaRefs>
</ds:datastoreItem>
</file>

<file path=customXml/itemProps7.xml><?xml version="1.0" encoding="utf-8"?>
<ds:datastoreItem xmlns:ds="http://schemas.openxmlformats.org/officeDocument/2006/customXml" ds:itemID="{42B15609-02A9-4982-9E2D-C5F785D7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1103</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Qualcomm</cp:lastModifiedBy>
  <cp:revision>9</cp:revision>
  <cp:lastPrinted>2017-08-09T04:40:00Z</cp:lastPrinted>
  <dcterms:created xsi:type="dcterms:W3CDTF">2020-05-10T13:25:00Z</dcterms:created>
  <dcterms:modified xsi:type="dcterms:W3CDTF">2020-05-10T19:59:00Z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