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FDD3" w14:textId="39F35D00" w:rsidR="000A2F08" w:rsidRPr="00E04DF1" w:rsidRDefault="000A2F08" w:rsidP="000A2F08">
      <w:pPr>
        <w:pStyle w:val="a4"/>
        <w:tabs>
          <w:tab w:val="left" w:pos="8330"/>
        </w:tabs>
        <w:spacing w:after="0" w:afterAutospacing="0"/>
        <w:rPr>
          <w:rFonts w:eastAsiaTheme="minorEastAsia" w:cs="Arial"/>
          <w:iCs/>
          <w:noProof w:val="0"/>
          <w:sz w:val="28"/>
          <w:szCs w:val="28"/>
          <w:lang w:val="en-US" w:eastAsia="zh-CN"/>
        </w:rPr>
      </w:pPr>
      <w:bookmarkStart w:id="0" w:name="OLE_LINK3"/>
      <w:bookmarkStart w:id="1" w:name="_GoBack"/>
      <w:bookmarkEnd w:id="1"/>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100</w:t>
      </w:r>
      <w:r>
        <w:rPr>
          <w:rFonts w:eastAsia="MS Gothic" w:cs="Arial"/>
          <w:noProof w:val="0"/>
          <w:sz w:val="28"/>
          <w:szCs w:val="28"/>
          <w:lang w:val="en-US"/>
        </w:rPr>
        <w:tab/>
      </w:r>
      <w:r w:rsidR="00D95373" w:rsidRPr="00D95373">
        <w:rPr>
          <w:rFonts w:eastAsia="MS Gothic" w:cs="Arial"/>
          <w:iCs/>
          <w:noProof w:val="0"/>
          <w:sz w:val="28"/>
          <w:szCs w:val="28"/>
          <w:lang w:val="en-US"/>
        </w:rPr>
        <w:t>R1-</w:t>
      </w:r>
      <w:r w:rsidR="00676757" w:rsidRPr="00676757">
        <w:t xml:space="preserve"> </w:t>
      </w:r>
      <w:r w:rsidR="00676757" w:rsidRPr="00676757">
        <w:rPr>
          <w:rFonts w:eastAsia="MS Gothic" w:cs="Arial"/>
          <w:iCs/>
          <w:noProof w:val="0"/>
          <w:sz w:val="28"/>
          <w:szCs w:val="28"/>
          <w:lang w:val="en-US"/>
        </w:rPr>
        <w:t>2000879</w:t>
      </w:r>
    </w:p>
    <w:p w14:paraId="2D475E7F" w14:textId="6A3DE4A1" w:rsidR="000A2F08" w:rsidRPr="00CE6066" w:rsidRDefault="00E04DF1" w:rsidP="000A2F08">
      <w:pPr>
        <w:pStyle w:val="a4"/>
        <w:tabs>
          <w:tab w:val="right" w:pos="10206"/>
        </w:tabs>
        <w:spacing w:after="0" w:afterAutospacing="0"/>
        <w:rPr>
          <w:rFonts w:eastAsia="MS Gothic" w:cs="Arial"/>
          <w:noProof w:val="0"/>
          <w:sz w:val="28"/>
          <w:szCs w:val="28"/>
        </w:rPr>
      </w:pPr>
      <w:r>
        <w:rPr>
          <w:rFonts w:eastAsiaTheme="minorEastAsia" w:cs="Arial" w:hint="eastAsia"/>
          <w:noProof w:val="0"/>
          <w:sz w:val="28"/>
          <w:szCs w:val="28"/>
          <w:lang w:eastAsia="zh-CN"/>
        </w:rPr>
        <w:t>Athens</w:t>
      </w:r>
      <w:r w:rsidR="000A2F08" w:rsidRPr="00323178">
        <w:rPr>
          <w:rFonts w:eastAsia="MS Gothic" w:cs="Arial"/>
          <w:noProof w:val="0"/>
          <w:sz w:val="28"/>
          <w:szCs w:val="28"/>
        </w:rPr>
        <w:t xml:space="preserve">, </w:t>
      </w:r>
      <w:r>
        <w:rPr>
          <w:rFonts w:eastAsiaTheme="minorEastAsia" w:cs="Arial" w:hint="eastAsia"/>
          <w:noProof w:val="0"/>
          <w:sz w:val="28"/>
          <w:szCs w:val="28"/>
          <w:lang w:eastAsia="zh-CN"/>
        </w:rPr>
        <w:t>Greece</w:t>
      </w:r>
      <w:r w:rsidR="000A2F08" w:rsidRPr="00323178">
        <w:rPr>
          <w:rFonts w:eastAsia="MS Gothic" w:cs="Arial"/>
          <w:noProof w:val="0"/>
          <w:sz w:val="28"/>
          <w:szCs w:val="28"/>
        </w:rPr>
        <w:t xml:space="preserve">, </w:t>
      </w:r>
      <w:r>
        <w:rPr>
          <w:rFonts w:eastAsiaTheme="minorEastAsia" w:cs="Arial" w:hint="eastAsia"/>
          <w:noProof w:val="0"/>
          <w:sz w:val="28"/>
          <w:szCs w:val="28"/>
          <w:lang w:eastAsia="zh-CN"/>
        </w:rPr>
        <w:t>February</w:t>
      </w:r>
      <w:r w:rsidR="000A2F08" w:rsidRPr="00CE6066">
        <w:rPr>
          <w:rFonts w:eastAsia="MS Gothic" w:cs="Arial"/>
          <w:noProof w:val="0"/>
          <w:sz w:val="28"/>
          <w:szCs w:val="28"/>
        </w:rPr>
        <w:t xml:space="preserve"> </w:t>
      </w:r>
      <w:r>
        <w:rPr>
          <w:rFonts w:eastAsiaTheme="minorEastAsia" w:cs="Arial" w:hint="eastAsia"/>
          <w:noProof w:val="0"/>
          <w:sz w:val="28"/>
          <w:szCs w:val="28"/>
          <w:lang w:eastAsia="zh-CN"/>
        </w:rPr>
        <w:t>24</w:t>
      </w:r>
      <w:r w:rsidR="000A2F08" w:rsidRPr="00CE6066">
        <w:rPr>
          <w:rFonts w:eastAsia="MS Gothic" w:cs="Arial"/>
          <w:noProof w:val="0"/>
          <w:sz w:val="28"/>
          <w:szCs w:val="28"/>
        </w:rPr>
        <w:t xml:space="preserve">th – </w:t>
      </w:r>
      <w:r w:rsidR="000A2F08">
        <w:rPr>
          <w:rFonts w:eastAsia="MS Gothic" w:cs="Arial"/>
          <w:noProof w:val="0"/>
          <w:sz w:val="28"/>
          <w:szCs w:val="28"/>
        </w:rPr>
        <w:t>2</w:t>
      </w:r>
      <w:r>
        <w:rPr>
          <w:rFonts w:eastAsiaTheme="minorEastAsia" w:cs="Arial" w:hint="eastAsia"/>
          <w:noProof w:val="0"/>
          <w:sz w:val="28"/>
          <w:szCs w:val="28"/>
          <w:lang w:eastAsia="zh-CN"/>
        </w:rPr>
        <w:t>8</w:t>
      </w:r>
      <w:r w:rsidR="000A2F08" w:rsidRPr="00CE6066">
        <w:rPr>
          <w:rFonts w:eastAsia="MS Gothic" w:cs="Arial"/>
          <w:noProof w:val="0"/>
          <w:sz w:val="28"/>
          <w:szCs w:val="28"/>
        </w:rPr>
        <w:t>th, 20</w:t>
      </w:r>
      <w:r>
        <w:rPr>
          <w:rFonts w:eastAsiaTheme="minorEastAsia" w:cs="Arial" w:hint="eastAsia"/>
          <w:noProof w:val="0"/>
          <w:sz w:val="28"/>
          <w:szCs w:val="28"/>
          <w:lang w:eastAsia="zh-CN"/>
        </w:rPr>
        <w:t>20</w:t>
      </w:r>
    </w:p>
    <w:p w14:paraId="7EA9EC95" w14:textId="77777777" w:rsidR="000A2F08" w:rsidRPr="000A2F08"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46BE6E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1F0037" w:rsidRPr="001F0037">
        <w:rPr>
          <w:rFonts w:ascii="Arial" w:eastAsiaTheme="minorEastAsia" w:hAnsi="Arial" w:cs="Arial"/>
          <w:b/>
          <w:sz w:val="28"/>
          <w:szCs w:val="28"/>
          <w:lang w:val="en-US" w:eastAsia="zh-CN"/>
        </w:rPr>
        <w:t>synchronization mechanism</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3DBA279D"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1F0037">
        <w:rPr>
          <w:rFonts w:ascii="Arial" w:eastAsiaTheme="minorEastAsia" w:hAnsi="Arial" w:cs="Arial"/>
          <w:b/>
          <w:sz w:val="28"/>
          <w:szCs w:val="28"/>
          <w:lang w:val="pt-BR" w:eastAsia="zh-CN"/>
        </w:rPr>
        <w:t>3</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3C9DA22C" w14:textId="37451127"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1F0037" w:rsidRPr="001F0037">
        <w:rPr>
          <w:rFonts w:eastAsiaTheme="minorEastAsia"/>
          <w:lang w:eastAsia="zh-CN"/>
        </w:rPr>
        <w:t>synchronization mechanism</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1C26E675" w14:textId="1B568F05" w:rsidR="008D4CBD" w:rsidRPr="00956D79" w:rsidRDefault="00380CB1" w:rsidP="00380CB1">
      <w:pPr>
        <w:pStyle w:val="20"/>
        <w:rPr>
          <w:lang w:eastAsia="zh-CN"/>
        </w:rPr>
      </w:pPr>
      <w:r w:rsidRPr="00380CB1">
        <w:rPr>
          <w:lang w:eastAsia="zh-CN"/>
        </w:rPr>
        <w:t>DFN derivation from GNSS</w:t>
      </w:r>
    </w:p>
    <w:p w14:paraId="73288327" w14:textId="2224DB76" w:rsidR="00380CB1" w:rsidRDefault="00380CB1" w:rsidP="00B8183C">
      <w:pPr>
        <w:spacing w:before="240" w:after="240" w:afterAutospacing="0"/>
        <w:rPr>
          <w:rFonts w:eastAsia="宋体"/>
          <w:lang w:eastAsia="zh-CN"/>
        </w:rPr>
      </w:pPr>
      <w:r>
        <w:rPr>
          <w:rFonts w:eastAsia="宋体" w:hint="eastAsia"/>
          <w:lang w:eastAsia="zh-CN"/>
        </w:rPr>
        <w:t>I</w:t>
      </w:r>
      <w:r>
        <w:rPr>
          <w:rFonts w:eastAsia="宋体"/>
          <w:lang w:eastAsia="zh-CN"/>
        </w:rPr>
        <w:t>n LTE V2X, when the UE selects GNSS as the synchronization reference source, the DFN and subframe used for SL communication is derived from the current UTC time as follows,</w:t>
      </w:r>
    </w:p>
    <w:tbl>
      <w:tblPr>
        <w:tblStyle w:val="af2"/>
        <w:tblW w:w="0" w:type="auto"/>
        <w:tblLook w:val="04A0" w:firstRow="1" w:lastRow="0" w:firstColumn="1" w:lastColumn="0" w:noHBand="0" w:noVBand="1"/>
      </w:tblPr>
      <w:tblGrid>
        <w:gridCol w:w="9954"/>
      </w:tblGrid>
      <w:tr w:rsidR="00380CB1" w14:paraId="4E75B02C" w14:textId="77777777" w:rsidTr="00380CB1">
        <w:tc>
          <w:tcPr>
            <w:tcW w:w="10180" w:type="dxa"/>
          </w:tcPr>
          <w:p w14:paraId="2DFC51B5" w14:textId="77777777" w:rsidR="00380CB1" w:rsidRPr="00380CB1" w:rsidRDefault="00380CB1" w:rsidP="00380CB1">
            <w:pPr>
              <w:spacing w:before="240" w:after="240" w:afterAutospacing="0"/>
              <w:rPr>
                <w:rFonts w:eastAsia="宋体"/>
                <w:lang w:eastAsia="zh-CN"/>
              </w:rPr>
            </w:pPr>
            <w:r w:rsidRPr="00380CB1">
              <w:rPr>
                <w:rFonts w:eastAsia="宋体"/>
                <w:lang w:eastAsia="zh-CN"/>
              </w:rPr>
              <w:t>DFN= Floor (0.1*(Tcurrent –Tref–offsetDFN)) mod 1024</w:t>
            </w:r>
          </w:p>
          <w:p w14:paraId="72B615F8" w14:textId="5DF41717" w:rsidR="00380CB1" w:rsidRPr="00380CB1" w:rsidRDefault="00380CB1" w:rsidP="00B8183C">
            <w:pPr>
              <w:spacing w:before="240" w:after="240" w:afterAutospacing="0"/>
              <w:rPr>
                <w:rFonts w:eastAsia="宋体"/>
                <w:lang w:eastAsia="zh-CN"/>
              </w:rPr>
            </w:pPr>
            <w:r w:rsidRPr="00380CB1">
              <w:rPr>
                <w:rFonts w:eastAsia="宋体"/>
                <w:lang w:eastAsia="zh-CN"/>
              </w:rPr>
              <w:t>SubframeNumber= Floor (Tcurrent –Tref–offsetDFN) mod 10</w:t>
            </w:r>
          </w:p>
        </w:tc>
      </w:tr>
    </w:tbl>
    <w:p w14:paraId="7B041262" w14:textId="5530EC4B" w:rsidR="00380CB1" w:rsidRDefault="00A86FE5" w:rsidP="00B8183C">
      <w:pPr>
        <w:spacing w:before="240" w:after="240" w:afterAutospacing="0"/>
        <w:rPr>
          <w:rFonts w:eastAsia="宋体"/>
          <w:lang w:eastAsia="zh-CN"/>
        </w:rPr>
      </w:pPr>
      <w:r>
        <w:rPr>
          <w:rFonts w:eastAsia="宋体"/>
          <w:lang w:eastAsia="zh-CN"/>
        </w:rPr>
        <w:t>I</w:t>
      </w:r>
      <w:r w:rsidR="00380CB1">
        <w:rPr>
          <w:rFonts w:eastAsia="宋体"/>
          <w:lang w:eastAsia="zh-CN"/>
        </w:rPr>
        <w:t xml:space="preserve">n NR SL, the DFN derivation procedure in LTE V2X should be reused, with the addition of </w:t>
      </w:r>
      <w:r w:rsidR="00B21207">
        <w:rPr>
          <w:rFonts w:eastAsia="宋体"/>
          <w:lang w:eastAsia="zh-CN"/>
        </w:rPr>
        <w:t>clarifying how the</w:t>
      </w:r>
      <w:r w:rsidR="00380CB1">
        <w:rPr>
          <w:rFonts w:eastAsia="宋体"/>
          <w:lang w:eastAsia="zh-CN"/>
        </w:rPr>
        <w:t xml:space="preserve"> slot number</w:t>
      </w:r>
      <w:r w:rsidR="002C34E0">
        <w:rPr>
          <w:rFonts w:eastAsia="宋体"/>
          <w:lang w:eastAsia="zh-CN"/>
        </w:rPr>
        <w:t xml:space="preserve"> </w:t>
      </w:r>
      <w:r w:rsidR="00B21207">
        <w:rPr>
          <w:rFonts w:eastAsia="宋体"/>
          <w:lang w:eastAsia="zh-CN"/>
        </w:rPr>
        <w:t xml:space="preserve">within a subframe is derived, which in our understanding should be done </w:t>
      </w:r>
      <w:r w:rsidR="002C34E0">
        <w:rPr>
          <w:rFonts w:eastAsia="宋体"/>
          <w:lang w:eastAsia="zh-CN"/>
        </w:rPr>
        <w:t>as follows,</w:t>
      </w:r>
    </w:p>
    <w:p w14:paraId="0E629792" w14:textId="1EC7421C" w:rsidR="002C34E0" w:rsidRDefault="002C34E0" w:rsidP="00B8183C">
      <w:pPr>
        <w:spacing w:before="240" w:after="240" w:afterAutospacing="0"/>
        <w:rPr>
          <w:rFonts w:eastAsia="宋体"/>
          <w:lang w:eastAsia="zh-CN"/>
        </w:rPr>
      </w:pPr>
      <w:r>
        <w:rPr>
          <w:rFonts w:eastAsia="宋体"/>
          <w:lang w:eastAsia="zh-CN"/>
        </w:rPr>
        <w:t>SlotNumber = Floor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m:r>
              <m:rPr>
                <m:nor/>
              </m:rPr>
              <w:rPr>
                <w:rFonts w:ascii="Cambria Math" w:hAnsi="Cambria Math"/>
                <w:szCs w:val="24"/>
              </w:rPr>
              <m:t>subframe</m:t>
            </m:r>
            <m:r>
              <w:rPr>
                <w:rFonts w:ascii="Cambria Math" w:hAnsi="Cambria Math"/>
                <w:szCs w:val="24"/>
              </w:rPr>
              <m:t>,μ</m:t>
            </m:r>
          </m:sup>
        </m:sSubSup>
      </m:oMath>
      <w:r>
        <w:rPr>
          <w:rFonts w:eastAsia="宋体" w:hint="eastAsia"/>
          <w:szCs w:val="28"/>
          <w:lang w:eastAsia="zh-CN"/>
        </w:rPr>
        <w:t xml:space="preserve"> </w:t>
      </w:r>
      <w:r>
        <w:rPr>
          <w:rFonts w:eastAsia="宋体"/>
          <w:szCs w:val="28"/>
          <w:lang w:eastAsia="zh-CN"/>
        </w:rPr>
        <w:t>*</w:t>
      </w:r>
      <w:r>
        <w:rPr>
          <w:rFonts w:eastAsia="宋体" w:hint="eastAsia"/>
          <w:szCs w:val="28"/>
          <w:lang w:eastAsia="zh-CN"/>
        </w:rPr>
        <w:t xml:space="preserve"> </w:t>
      </w:r>
      <w:r>
        <w:rPr>
          <w:rFonts w:eastAsia="宋体"/>
          <w:szCs w:val="28"/>
          <w:lang w:eastAsia="zh-CN"/>
        </w:rPr>
        <w:t xml:space="preserve">(Tcurrent – Tref – offsetDFN)) mod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m:r>
              <m:rPr>
                <m:nor/>
              </m:rPr>
              <w:rPr>
                <w:rFonts w:ascii="Cambria Math" w:hAnsi="Cambria Math"/>
                <w:szCs w:val="24"/>
              </w:rPr>
              <m:t>subframe</m:t>
            </m:r>
            <m:r>
              <w:rPr>
                <w:rFonts w:ascii="Cambria Math" w:hAnsi="Cambria Math"/>
                <w:szCs w:val="24"/>
              </w:rPr>
              <m:t>,μ</m:t>
            </m:r>
          </m:sup>
        </m:sSubSup>
      </m:oMath>
    </w:p>
    <w:p w14:paraId="24B65EBF" w14:textId="438A624E" w:rsidR="00762CA5" w:rsidRPr="00762CA5" w:rsidRDefault="00762CA5" w:rsidP="00762CA5">
      <w:pPr>
        <w:spacing w:before="240" w:after="240" w:afterAutospacing="0"/>
        <w:rPr>
          <w:rFonts w:eastAsia="宋体"/>
          <w:lang w:eastAsia="zh-CN"/>
        </w:rPr>
      </w:pPr>
      <w:r>
        <w:rPr>
          <w:rFonts w:eastAsia="宋体"/>
          <w:lang w:eastAsia="zh-CN"/>
        </w:rPr>
        <w:t>The reuse of LTE V2X formulae has been captured in the</w:t>
      </w:r>
      <w:r w:rsidR="00676757">
        <w:rPr>
          <w:rFonts w:eastAsia="宋体"/>
          <w:lang w:eastAsia="zh-CN"/>
        </w:rPr>
        <w:t xml:space="preserve"> latest running CR to TS 38.331</w:t>
      </w:r>
      <w:r w:rsidRPr="00762CA5">
        <w:rPr>
          <w:rFonts w:eastAsia="宋体"/>
          <w:lang w:eastAsia="zh-CN"/>
        </w:rPr>
        <w:t>,</w:t>
      </w:r>
      <w:r>
        <w:rPr>
          <w:rFonts w:eastAsia="宋体"/>
          <w:lang w:eastAsia="zh-CN"/>
        </w:rPr>
        <w:t xml:space="preserve"> with derivation of slot number still missing. Therefore, RAN1 should agree on </w:t>
      </w:r>
      <w:r w:rsidR="0087748C">
        <w:rPr>
          <w:rFonts w:eastAsia="宋体"/>
          <w:lang w:eastAsia="zh-CN"/>
        </w:rPr>
        <w:t xml:space="preserve">clarification of </w:t>
      </w:r>
      <w:r>
        <w:rPr>
          <w:rFonts w:eastAsia="宋体"/>
          <w:lang w:eastAsia="zh-CN"/>
        </w:rPr>
        <w:t>slot number derivation and ask RAN2 to complete this piece in TS 38.331.</w:t>
      </w:r>
    </w:p>
    <w:p w14:paraId="0481C824" w14:textId="66D56CA8" w:rsidR="002C34E0" w:rsidRPr="002437B5" w:rsidRDefault="002C34E0" w:rsidP="002C34E0">
      <w:pPr>
        <w:spacing w:after="0" w:afterAutospacing="0"/>
        <w:rPr>
          <w:rFonts w:eastAsia="宋体"/>
          <w:i/>
          <w:lang w:eastAsia="zh-CN"/>
        </w:rPr>
      </w:pPr>
      <w:r w:rsidRPr="002D2968">
        <w:rPr>
          <w:rFonts w:eastAsia="宋体" w:hint="eastAsia"/>
          <w:b/>
          <w:i/>
          <w:lang w:eastAsia="zh-CN"/>
        </w:rPr>
        <w:t xml:space="preserve">Proposal 1: </w:t>
      </w:r>
      <w:r w:rsidRPr="002437B5">
        <w:rPr>
          <w:rFonts w:eastAsia="宋体"/>
          <w:i/>
          <w:lang w:eastAsia="zh-CN"/>
        </w:rPr>
        <w:t>For DFN derivation from GNSS</w:t>
      </w:r>
      <w:r w:rsidR="00A86FE5" w:rsidRPr="002437B5">
        <w:rPr>
          <w:rFonts w:eastAsia="宋体"/>
          <w:i/>
          <w:lang w:eastAsia="zh-CN"/>
        </w:rPr>
        <w:t xml:space="preserve"> in NR SL</w:t>
      </w:r>
      <w:r w:rsidRPr="002437B5">
        <w:rPr>
          <w:rFonts w:eastAsia="宋体"/>
          <w:i/>
          <w:lang w:eastAsia="zh-CN"/>
        </w:rPr>
        <w:t>,</w:t>
      </w:r>
    </w:p>
    <w:p w14:paraId="01E7BCD0" w14:textId="6B725997" w:rsidR="002C34E0" w:rsidRPr="002437B5" w:rsidRDefault="002C34E0" w:rsidP="002C34E0">
      <w:pPr>
        <w:numPr>
          <w:ilvl w:val="0"/>
          <w:numId w:val="12"/>
        </w:numPr>
        <w:snapToGrid/>
        <w:spacing w:after="0" w:afterAutospacing="0"/>
        <w:ind w:left="714" w:hanging="357"/>
        <w:jc w:val="left"/>
        <w:rPr>
          <w:rFonts w:eastAsia="宋体"/>
          <w:i/>
          <w:lang w:eastAsia="zh-CN"/>
        </w:rPr>
      </w:pPr>
      <w:r w:rsidRPr="002437B5">
        <w:rPr>
          <w:rFonts w:eastAsia="宋体"/>
          <w:i/>
          <w:lang w:eastAsia="zh-CN"/>
        </w:rPr>
        <w:t>The formulae for DFN and SubframeNumber are reused</w:t>
      </w:r>
      <w:r w:rsidR="00A86FE5" w:rsidRPr="002437B5">
        <w:rPr>
          <w:rFonts w:eastAsia="宋体"/>
          <w:i/>
          <w:lang w:eastAsia="zh-CN"/>
        </w:rPr>
        <w:t xml:space="preserve"> from LTE V2X</w:t>
      </w:r>
      <w:r w:rsidRPr="002437B5">
        <w:rPr>
          <w:rFonts w:eastAsia="宋体"/>
          <w:i/>
          <w:lang w:eastAsia="zh-CN"/>
        </w:rPr>
        <w:t>.</w:t>
      </w:r>
    </w:p>
    <w:p w14:paraId="13EDDD5B" w14:textId="6095888A" w:rsidR="002C34E0" w:rsidRPr="002437B5" w:rsidRDefault="002C34E0" w:rsidP="002C34E0">
      <w:pPr>
        <w:numPr>
          <w:ilvl w:val="0"/>
          <w:numId w:val="12"/>
        </w:numPr>
        <w:snapToGrid/>
        <w:spacing w:after="0" w:afterAutospacing="0"/>
        <w:ind w:left="714" w:hanging="357"/>
        <w:jc w:val="left"/>
        <w:rPr>
          <w:rFonts w:eastAsia="宋体"/>
          <w:i/>
          <w:lang w:eastAsia="zh-CN"/>
        </w:rPr>
      </w:pPr>
      <w:r w:rsidRPr="002437B5">
        <w:rPr>
          <w:rFonts w:eastAsia="宋体"/>
          <w:i/>
          <w:lang w:eastAsia="zh-CN"/>
        </w:rPr>
        <w:t>Slot number is derived as follows,</w:t>
      </w:r>
    </w:p>
    <w:p w14:paraId="63A40A0C" w14:textId="368D5BDF" w:rsidR="002C34E0" w:rsidRPr="002437B5" w:rsidRDefault="00A86FE5" w:rsidP="002C34E0">
      <w:pPr>
        <w:numPr>
          <w:ilvl w:val="1"/>
          <w:numId w:val="12"/>
        </w:numPr>
        <w:snapToGrid/>
        <w:spacing w:after="0" w:afterAutospacing="0"/>
        <w:ind w:left="1134" w:hanging="425"/>
        <w:jc w:val="left"/>
        <w:rPr>
          <w:rFonts w:eastAsia="宋体"/>
          <w:i/>
          <w:lang w:eastAsia="zh-CN"/>
        </w:rPr>
      </w:pPr>
      <w:r w:rsidRPr="002437B5">
        <w:rPr>
          <w:rFonts w:eastAsia="宋体"/>
          <w:lang w:eastAsia="zh-CN"/>
        </w:rPr>
        <w:t>SlotNumber = Floor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m:r>
              <m:rPr>
                <m:nor/>
              </m:rPr>
              <w:rPr>
                <w:rFonts w:ascii="Cambria Math" w:hAnsi="Cambria Math"/>
                <w:szCs w:val="24"/>
              </w:rPr>
              <m:t>subframe</m:t>
            </m:r>
            <m:r>
              <w:rPr>
                <w:rFonts w:ascii="Cambria Math" w:hAnsi="Cambria Math"/>
                <w:szCs w:val="24"/>
              </w:rPr>
              <m:t>,μ</m:t>
            </m:r>
          </m:sup>
        </m:sSubSup>
      </m:oMath>
      <w:r w:rsidRPr="002437B5">
        <w:rPr>
          <w:rFonts w:eastAsia="宋体" w:hint="eastAsia"/>
          <w:szCs w:val="28"/>
          <w:lang w:eastAsia="zh-CN"/>
        </w:rPr>
        <w:t xml:space="preserve"> </w:t>
      </w:r>
      <w:r w:rsidRPr="002437B5">
        <w:rPr>
          <w:rFonts w:eastAsia="宋体"/>
          <w:szCs w:val="28"/>
          <w:lang w:eastAsia="zh-CN"/>
        </w:rPr>
        <w:t>*</w:t>
      </w:r>
      <w:r w:rsidRPr="002437B5">
        <w:rPr>
          <w:rFonts w:eastAsia="宋体" w:hint="eastAsia"/>
          <w:szCs w:val="28"/>
          <w:lang w:eastAsia="zh-CN"/>
        </w:rPr>
        <w:t xml:space="preserve"> </w:t>
      </w:r>
      <w:r w:rsidRPr="002437B5">
        <w:rPr>
          <w:rFonts w:eastAsia="宋体"/>
          <w:szCs w:val="28"/>
          <w:lang w:eastAsia="zh-CN"/>
        </w:rPr>
        <w:t xml:space="preserve">(Tcurrent – Tref – offsetDFN)) mod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m:r>
              <m:rPr>
                <m:nor/>
              </m:rPr>
              <w:rPr>
                <w:rFonts w:ascii="Cambria Math" w:hAnsi="Cambria Math"/>
                <w:szCs w:val="24"/>
              </w:rPr>
              <m:t>subframe</m:t>
            </m:r>
            <m:r>
              <w:rPr>
                <w:rFonts w:ascii="Cambria Math" w:hAnsi="Cambria Math"/>
                <w:szCs w:val="24"/>
              </w:rPr>
              <m:t>,μ</m:t>
            </m:r>
          </m:sup>
        </m:sSubSup>
      </m:oMath>
    </w:p>
    <w:p w14:paraId="32A0B035" w14:textId="1CD3E118" w:rsidR="002C34E0" w:rsidRPr="002437B5" w:rsidRDefault="00A86FE5" w:rsidP="00A86FE5">
      <w:pPr>
        <w:numPr>
          <w:ilvl w:val="0"/>
          <w:numId w:val="12"/>
        </w:numPr>
        <w:snapToGrid/>
        <w:spacing w:after="0" w:afterAutospacing="0"/>
        <w:ind w:left="714" w:hanging="357"/>
        <w:jc w:val="left"/>
        <w:rPr>
          <w:rFonts w:eastAsia="宋体"/>
          <w:i/>
          <w:lang w:eastAsia="zh-CN"/>
        </w:rPr>
      </w:pPr>
      <w:r w:rsidRPr="002437B5">
        <w:rPr>
          <w:rFonts w:eastAsia="宋体" w:hint="eastAsia"/>
          <w:i/>
          <w:lang w:eastAsia="zh-CN"/>
        </w:rPr>
        <w:t>S</w:t>
      </w:r>
      <w:r w:rsidRPr="002437B5">
        <w:rPr>
          <w:rFonts w:eastAsia="宋体"/>
          <w:i/>
          <w:lang w:eastAsia="zh-CN"/>
        </w:rPr>
        <w:t>end an LS to request RAN2 to capture the above in TS 38.331.</w:t>
      </w:r>
    </w:p>
    <w:p w14:paraId="23816AC7" w14:textId="282488E2" w:rsidR="000E6263" w:rsidRDefault="000E6263" w:rsidP="000E6263">
      <w:pPr>
        <w:spacing w:before="240" w:after="240" w:afterAutospacing="0"/>
        <w:rPr>
          <w:rFonts w:eastAsia="宋体"/>
          <w:lang w:eastAsia="zh-CN"/>
        </w:rPr>
      </w:pPr>
    </w:p>
    <w:p w14:paraId="01834213" w14:textId="746DBE1D" w:rsidR="00B93D73" w:rsidRPr="00956D79" w:rsidRDefault="00B93D73" w:rsidP="00B93D73">
      <w:pPr>
        <w:pStyle w:val="20"/>
        <w:rPr>
          <w:lang w:eastAsia="zh-CN"/>
        </w:rPr>
      </w:pPr>
      <w:r>
        <w:rPr>
          <w:lang w:eastAsia="zh-CN"/>
        </w:rPr>
        <w:lastRenderedPageBreak/>
        <w:t>Determination of in-coverage and out-of-coverage</w:t>
      </w:r>
    </w:p>
    <w:p w14:paraId="0EF622D7" w14:textId="37C2B979" w:rsidR="009A5158" w:rsidRDefault="00B93D73" w:rsidP="00B93D73">
      <w:pPr>
        <w:spacing w:before="240" w:after="240" w:afterAutospacing="0"/>
        <w:rPr>
          <w:rFonts w:eastAsia="宋体"/>
          <w:lang w:eastAsia="zh-CN"/>
        </w:rPr>
      </w:pPr>
      <w:r>
        <w:rPr>
          <w:rFonts w:eastAsia="宋体" w:hint="eastAsia"/>
          <w:lang w:eastAsia="zh-CN"/>
        </w:rPr>
        <w:t>I</w:t>
      </w:r>
      <w:r>
        <w:rPr>
          <w:rFonts w:eastAsia="宋体"/>
          <w:lang w:eastAsia="zh-CN"/>
        </w:rPr>
        <w:t xml:space="preserve">n LTE SL, </w:t>
      </w:r>
      <w:r w:rsidR="003B6FA2">
        <w:rPr>
          <w:rFonts w:eastAsia="宋体"/>
          <w:lang w:eastAsia="zh-CN"/>
        </w:rPr>
        <w:t xml:space="preserve">according to </w:t>
      </w:r>
      <w:r w:rsidR="009A5158">
        <w:rPr>
          <w:rFonts w:eastAsia="宋体" w:hint="eastAsia"/>
          <w:lang w:eastAsia="zh-CN"/>
        </w:rPr>
        <w:t>section</w:t>
      </w:r>
      <w:r w:rsidR="009A5158">
        <w:rPr>
          <w:rFonts w:eastAsia="宋体"/>
          <w:lang w:eastAsia="zh-CN"/>
        </w:rPr>
        <w:t xml:space="preserve"> 11.4, </w:t>
      </w:r>
      <w:r w:rsidR="00676757">
        <w:rPr>
          <w:rFonts w:eastAsia="宋体"/>
          <w:lang w:eastAsia="zh-CN"/>
        </w:rPr>
        <w:t>TS 36.304</w:t>
      </w:r>
      <w:r w:rsidR="003B6FA2">
        <w:rPr>
          <w:rFonts w:eastAsia="宋体"/>
          <w:lang w:eastAsia="zh-CN"/>
        </w:rPr>
        <w:t>, a UE</w:t>
      </w:r>
      <w:r w:rsidR="009A5158">
        <w:rPr>
          <w:rFonts w:eastAsia="宋体"/>
          <w:lang w:eastAsia="zh-CN"/>
        </w:rPr>
        <w:t xml:space="preserve"> should determine “in-coverage” and “out-of-coverage” for sidelink operation as follows,</w:t>
      </w:r>
    </w:p>
    <w:tbl>
      <w:tblPr>
        <w:tblStyle w:val="af2"/>
        <w:tblW w:w="0" w:type="auto"/>
        <w:tblLook w:val="04A0" w:firstRow="1" w:lastRow="0" w:firstColumn="1" w:lastColumn="0" w:noHBand="0" w:noVBand="1"/>
      </w:tblPr>
      <w:tblGrid>
        <w:gridCol w:w="9954"/>
      </w:tblGrid>
      <w:tr w:rsidR="009A5158" w14:paraId="4E60E603" w14:textId="77777777" w:rsidTr="009A5158">
        <w:tc>
          <w:tcPr>
            <w:tcW w:w="10180" w:type="dxa"/>
          </w:tcPr>
          <w:p w14:paraId="4F8FEA2D" w14:textId="77777777" w:rsidR="009A5158" w:rsidRDefault="009A5158" w:rsidP="00B93D73">
            <w:pPr>
              <w:spacing w:before="240" w:after="240" w:afterAutospacing="0"/>
              <w:rPr>
                <w:lang w:eastAsia="zh-CN"/>
              </w:rPr>
            </w:pPr>
            <w:r w:rsidRPr="00FD7F9E">
              <w:rPr>
                <w:lang w:eastAsia="ko-KR"/>
              </w:rPr>
              <w:t xml:space="preserve">When UE is interested to perform sidelink communication or sidelink discovery announcement on </w:t>
            </w:r>
            <w:r w:rsidRPr="009A5158">
              <w:rPr>
                <w:highlight w:val="yellow"/>
                <w:lang w:eastAsia="ko-KR"/>
              </w:rPr>
              <w:t>non-serving frequency</w:t>
            </w:r>
            <w:r w:rsidRPr="00FD7F9E">
              <w:rPr>
                <w:lang w:eastAsia="ko-KR"/>
              </w:rPr>
              <w:t xml:space="preserve">, it shall perform measurements on </w:t>
            </w:r>
            <w:r w:rsidRPr="009A5158">
              <w:rPr>
                <w:highlight w:val="yellow"/>
                <w:lang w:eastAsia="ko-KR"/>
              </w:rPr>
              <w:t>that frequency</w:t>
            </w:r>
            <w:r w:rsidRPr="00FD7F9E">
              <w:rPr>
                <w:lang w:eastAsia="ko-KR"/>
              </w:rPr>
              <w:t xml:space="preserve"> for cell selection and intra-frequency reselection purpose in accordance with TS 36.133 [10].</w:t>
            </w:r>
            <w:r w:rsidRPr="00FD7F9E">
              <w:rPr>
                <w:lang w:eastAsia="zh-CN"/>
              </w:rPr>
              <w:t xml:space="preserve"> When UE is interested to perform V2X sidelink communication on </w:t>
            </w:r>
            <w:r w:rsidRPr="009A5158">
              <w:rPr>
                <w:highlight w:val="yellow"/>
                <w:lang w:eastAsia="zh-CN"/>
              </w:rPr>
              <w:t>non-serving frequency</w:t>
            </w:r>
            <w:r w:rsidRPr="00FD7F9E">
              <w:rPr>
                <w:lang w:eastAsia="zh-CN"/>
              </w:rPr>
              <w:t xml:space="preserve">, it may perform measurements on </w:t>
            </w:r>
            <w:r w:rsidRPr="009A5158">
              <w:rPr>
                <w:highlight w:val="yellow"/>
                <w:lang w:eastAsia="zh-CN"/>
              </w:rPr>
              <w:t>that frequency</w:t>
            </w:r>
            <w:r w:rsidRPr="00FD7F9E">
              <w:rPr>
                <w:lang w:eastAsia="zh-CN"/>
              </w:rPr>
              <w:t xml:space="preserve"> or the frequencies which can provide inter-carrier V2X sidelink configuration for that frequency for cell selection and intra-frequency reselection purpose in accordance with TS 36.133 [10].</w:t>
            </w:r>
          </w:p>
          <w:p w14:paraId="59C3FA29" w14:textId="5E446257" w:rsidR="009A5158" w:rsidRPr="009A5158" w:rsidRDefault="009A5158" w:rsidP="009A5158">
            <w:pPr>
              <w:rPr>
                <w:rFonts w:eastAsia="Malgun Gothic"/>
                <w:lang w:eastAsia="ko-KR"/>
              </w:rPr>
            </w:pPr>
            <w:r w:rsidRPr="00FD7F9E">
              <w:t xml:space="preserve">If the UE </w:t>
            </w:r>
            <w:r w:rsidRPr="00FD7F9E">
              <w:rPr>
                <w:lang w:eastAsia="ko-KR"/>
              </w:rPr>
              <w:t xml:space="preserve">detects </w:t>
            </w:r>
            <w:r w:rsidRPr="00FD7F9E">
              <w:t>a</w:t>
            </w:r>
            <w:r w:rsidRPr="00FD7F9E">
              <w:rPr>
                <w:lang w:eastAsia="ko-KR"/>
              </w:rPr>
              <w:t>t least one</w:t>
            </w:r>
            <w:r w:rsidRPr="00FD7F9E">
              <w:t xml:space="preserve"> cell on </w:t>
            </w:r>
            <w:r w:rsidRPr="009A5158">
              <w:rPr>
                <w:highlight w:val="yellow"/>
              </w:rPr>
              <w:t xml:space="preserve">the </w:t>
            </w:r>
            <w:r w:rsidRPr="009A5158">
              <w:rPr>
                <w:highlight w:val="yellow"/>
                <w:lang w:eastAsia="ko-KR"/>
              </w:rPr>
              <w:t>frequency</w:t>
            </w:r>
            <w:r w:rsidRPr="00FD7F9E">
              <w:rPr>
                <w:lang w:eastAsia="ko-KR"/>
              </w:rPr>
              <w:t xml:space="preserve"> which UE is configured to perform sidelink operation on fulfilling</w:t>
            </w:r>
            <w:r w:rsidRPr="00FD7F9E">
              <w:t xml:space="preserve"> the S</w:t>
            </w:r>
            <w:r w:rsidRPr="00FD7F9E">
              <w:rPr>
                <w:lang w:eastAsia="ko-KR"/>
              </w:rPr>
              <w:t xml:space="preserve"> </w:t>
            </w:r>
            <w:r w:rsidRPr="00FD7F9E">
              <w:t>criteri</w:t>
            </w:r>
            <w:r w:rsidRPr="00FD7F9E">
              <w:rPr>
                <w:lang w:eastAsia="ko-KR"/>
              </w:rPr>
              <w:t>on</w:t>
            </w:r>
            <w:r w:rsidRPr="00FD7F9E">
              <w:t xml:space="preserve"> in accordance with clause 11.4.1, it shall consider itself to be </w:t>
            </w:r>
            <w:r w:rsidRPr="00FD7F9E">
              <w:rPr>
                <w:lang w:eastAsia="ko-KR"/>
              </w:rPr>
              <w:t xml:space="preserve">in-coverage for </w:t>
            </w:r>
            <w:r w:rsidRPr="00FD7F9E">
              <w:rPr>
                <w:rFonts w:eastAsia="Malgun Gothic"/>
                <w:lang w:eastAsia="ko-KR"/>
              </w:rPr>
              <w:t>sidelink</w:t>
            </w:r>
            <w:r w:rsidRPr="00FD7F9E">
              <w:rPr>
                <w:lang w:eastAsia="ko-KR"/>
              </w:rPr>
              <w:t xml:space="preserve"> </w:t>
            </w:r>
            <w:r w:rsidRPr="00FD7F9E">
              <w:rPr>
                <w:rFonts w:eastAsia="Malgun Gothic"/>
                <w:lang w:eastAsia="ko-KR"/>
              </w:rPr>
              <w:t xml:space="preserve">operation </w:t>
            </w:r>
            <w:r w:rsidRPr="00FD7F9E">
              <w:rPr>
                <w:lang w:eastAsia="ko-KR"/>
              </w:rPr>
              <w:t>on that frequency</w:t>
            </w:r>
            <w:r w:rsidRPr="00FD7F9E">
              <w:t xml:space="preserve">. If the UE </w:t>
            </w:r>
            <w:r w:rsidRPr="00FD7F9E">
              <w:rPr>
                <w:lang w:eastAsia="ko-KR"/>
              </w:rPr>
              <w:t xml:space="preserve">cannot detect any </w:t>
            </w:r>
            <w:r w:rsidRPr="00FD7F9E">
              <w:t xml:space="preserve">cell on </w:t>
            </w:r>
            <w:r w:rsidRPr="009A5158">
              <w:rPr>
                <w:highlight w:val="yellow"/>
                <w:lang w:eastAsia="ko-KR"/>
              </w:rPr>
              <w:t>that frequency</w:t>
            </w:r>
            <w:r w:rsidRPr="00FD7F9E">
              <w:rPr>
                <w:lang w:eastAsia="ko-KR"/>
              </w:rPr>
              <w:t xml:space="preserve"> </w:t>
            </w:r>
            <w:r w:rsidRPr="00FD7F9E">
              <w:t xml:space="preserve">meeting </w:t>
            </w:r>
            <w:r w:rsidRPr="00FD7F9E">
              <w:rPr>
                <w:lang w:eastAsia="ko-KR"/>
              </w:rPr>
              <w:t xml:space="preserve">the </w:t>
            </w:r>
            <w:r w:rsidRPr="00FD7F9E">
              <w:t>S</w:t>
            </w:r>
            <w:r w:rsidRPr="00FD7F9E">
              <w:rPr>
                <w:lang w:eastAsia="ko-KR"/>
              </w:rPr>
              <w:t xml:space="preserve"> </w:t>
            </w:r>
            <w:r w:rsidRPr="00FD7F9E">
              <w:t>criteri</w:t>
            </w:r>
            <w:r w:rsidRPr="00FD7F9E">
              <w:rPr>
                <w:lang w:eastAsia="ko-KR"/>
              </w:rPr>
              <w:t>on</w:t>
            </w:r>
            <w:r w:rsidRPr="00FD7F9E">
              <w:t xml:space="preserve">, it shall consider itself to be </w:t>
            </w:r>
            <w:r w:rsidRPr="00FD7F9E">
              <w:rPr>
                <w:lang w:eastAsia="ko-KR"/>
              </w:rPr>
              <w:t xml:space="preserve">out-of-coverage for </w:t>
            </w:r>
            <w:r w:rsidRPr="00FD7F9E">
              <w:rPr>
                <w:rFonts w:eastAsia="Malgun Gothic"/>
                <w:lang w:eastAsia="ko-KR"/>
              </w:rPr>
              <w:t>sidelink</w:t>
            </w:r>
            <w:r w:rsidRPr="00FD7F9E">
              <w:rPr>
                <w:lang w:eastAsia="ko-KR"/>
              </w:rPr>
              <w:t xml:space="preserve"> </w:t>
            </w:r>
            <w:r w:rsidRPr="00FD7F9E">
              <w:rPr>
                <w:rFonts w:eastAsia="Malgun Gothic"/>
                <w:lang w:eastAsia="ko-KR"/>
              </w:rPr>
              <w:t>operation</w:t>
            </w:r>
            <w:r w:rsidRPr="00FD7F9E">
              <w:rPr>
                <w:lang w:eastAsia="ko-KR"/>
              </w:rPr>
              <w:t xml:space="preserve"> on that frequency.</w:t>
            </w:r>
          </w:p>
        </w:tc>
      </w:tr>
    </w:tbl>
    <w:p w14:paraId="08AE0A22" w14:textId="77777777" w:rsidR="009A5158" w:rsidRDefault="009A5158" w:rsidP="00B93D73">
      <w:pPr>
        <w:spacing w:before="240" w:after="240" w:afterAutospacing="0"/>
        <w:rPr>
          <w:rFonts w:eastAsia="宋体"/>
          <w:lang w:eastAsia="zh-CN"/>
        </w:rPr>
      </w:pPr>
      <w:r>
        <w:rPr>
          <w:rFonts w:eastAsia="宋体"/>
          <w:lang w:eastAsia="zh-CN"/>
        </w:rPr>
        <w:t xml:space="preserve">It can be seen that for determination of in-coverage or out-of-coverage for sidelink operation, a UE has to perform cell measurements and cell selection, and for this purpose a DL carrier frequency has to be first derived from the SL carrier configuration. </w:t>
      </w:r>
    </w:p>
    <w:p w14:paraId="5337B56A" w14:textId="1E83DB11" w:rsidR="009A5158" w:rsidRDefault="009A5158" w:rsidP="00B93D73">
      <w:pPr>
        <w:spacing w:before="240" w:after="240" w:afterAutospacing="0"/>
        <w:rPr>
          <w:rFonts w:eastAsia="宋体"/>
          <w:lang w:eastAsia="zh-CN"/>
        </w:rPr>
      </w:pPr>
      <w:r>
        <w:rPr>
          <w:rFonts w:eastAsia="宋体"/>
          <w:lang w:eastAsia="zh-CN"/>
        </w:rPr>
        <w:t xml:space="preserve">In LTE SL, and for TDD, it is obvious that the same carrier frequency as the SL carrier should be used as the DL carrier frequency. For FDD, </w:t>
      </w:r>
      <w:r w:rsidR="00DB00E9">
        <w:rPr>
          <w:rFonts w:eastAsia="宋体"/>
          <w:lang w:eastAsia="zh-CN"/>
        </w:rPr>
        <w:t>it is specifie</w:t>
      </w:r>
      <w:r w:rsidR="00676757">
        <w:rPr>
          <w:rFonts w:eastAsia="宋体"/>
          <w:lang w:eastAsia="zh-CN"/>
        </w:rPr>
        <w:t>d in section 9.3.2 of TS 36.331</w:t>
      </w:r>
      <w:r w:rsidR="00DB00E9">
        <w:rPr>
          <w:rFonts w:eastAsia="宋体"/>
          <w:lang w:eastAsia="zh-CN"/>
        </w:rPr>
        <w:t xml:space="preserve"> that the DL </w:t>
      </w:r>
      <w:r w:rsidR="00EE466D">
        <w:rPr>
          <w:rFonts w:eastAsia="宋体"/>
          <w:lang w:eastAsia="zh-CN"/>
        </w:rPr>
        <w:t xml:space="preserve">carrier </w:t>
      </w:r>
      <w:r w:rsidR="00DB00E9">
        <w:rPr>
          <w:rFonts w:eastAsia="宋体"/>
          <w:lang w:eastAsia="zh-CN"/>
        </w:rPr>
        <w:t>frequency is determined from the default TX-RX frequency separation.</w:t>
      </w:r>
    </w:p>
    <w:p w14:paraId="6589A403" w14:textId="77777777" w:rsidR="009275E9" w:rsidRDefault="00DB00E9" w:rsidP="000E5AAA">
      <w:pPr>
        <w:spacing w:before="240" w:after="240" w:afterAutospacing="0"/>
        <w:rPr>
          <w:rFonts w:eastAsia="宋体"/>
          <w:lang w:eastAsia="zh-CN"/>
        </w:rPr>
      </w:pPr>
      <w:r>
        <w:rPr>
          <w:rFonts w:eastAsia="宋体"/>
          <w:lang w:eastAsia="zh-CN"/>
        </w:rPr>
        <w:t xml:space="preserve">In NR SL, one difference </w:t>
      </w:r>
      <w:r w:rsidR="009275E9">
        <w:rPr>
          <w:rFonts w:eastAsia="宋体"/>
          <w:lang w:eastAsia="zh-CN"/>
        </w:rPr>
        <w:t>comparing</w:t>
      </w:r>
      <w:r>
        <w:rPr>
          <w:rFonts w:eastAsia="宋体"/>
          <w:lang w:eastAsia="zh-CN"/>
        </w:rPr>
        <w:t xml:space="preserve"> to LTE SL is that, in case the SL carrier corresponds to a SUL carrier in a TDD cell, the DL carrier frequency of the cell cannot be derived from the SL carrier frequency.</w:t>
      </w:r>
      <w:r w:rsidR="000E5AAA">
        <w:rPr>
          <w:rFonts w:eastAsia="宋体"/>
          <w:lang w:eastAsia="zh-CN"/>
        </w:rPr>
        <w:t xml:space="preserve"> </w:t>
      </w:r>
      <w:r>
        <w:rPr>
          <w:rFonts w:eastAsia="宋体"/>
          <w:lang w:eastAsia="zh-CN"/>
        </w:rPr>
        <w:t>Furthermore, unlike i</w:t>
      </w:r>
      <w:r w:rsidR="006F1C36">
        <w:rPr>
          <w:rFonts w:eastAsia="宋体"/>
          <w:lang w:eastAsia="zh-CN"/>
        </w:rPr>
        <w:t>n LTE</w:t>
      </w:r>
      <w:r>
        <w:rPr>
          <w:rFonts w:eastAsia="宋体"/>
          <w:lang w:eastAsia="zh-CN"/>
        </w:rPr>
        <w:t xml:space="preserve"> where</w:t>
      </w:r>
      <w:r w:rsidR="006F1C36">
        <w:rPr>
          <w:rFonts w:eastAsia="宋体"/>
          <w:lang w:eastAsia="zh-CN"/>
        </w:rPr>
        <w:t xml:space="preserve"> </w:t>
      </w:r>
      <w:r w:rsidR="00885167">
        <w:rPr>
          <w:rFonts w:eastAsia="宋体"/>
          <w:lang w:eastAsia="zh-CN"/>
        </w:rPr>
        <w:t xml:space="preserve">the synchronization signals </w:t>
      </w:r>
      <w:r w:rsidR="00B942DE">
        <w:rPr>
          <w:rFonts w:eastAsia="宋体"/>
          <w:lang w:eastAsia="zh-CN"/>
        </w:rPr>
        <w:t>can be</w:t>
      </w:r>
      <w:r w:rsidR="00885167">
        <w:rPr>
          <w:rFonts w:eastAsia="宋体"/>
          <w:lang w:eastAsia="zh-CN"/>
        </w:rPr>
        <w:t xml:space="preserve"> located </w:t>
      </w:r>
      <w:r w:rsidR="00B942DE">
        <w:rPr>
          <w:rFonts w:eastAsia="宋体"/>
          <w:lang w:eastAsia="zh-CN"/>
        </w:rPr>
        <w:t xml:space="preserve">based on </w:t>
      </w:r>
      <w:r w:rsidR="00885167">
        <w:rPr>
          <w:rFonts w:eastAsia="宋体"/>
          <w:lang w:eastAsia="zh-CN"/>
        </w:rPr>
        <w:t xml:space="preserve">the </w:t>
      </w:r>
      <w:r w:rsidR="00B942DE">
        <w:rPr>
          <w:rFonts w:eastAsia="宋体"/>
          <w:lang w:eastAsia="zh-CN"/>
        </w:rPr>
        <w:t xml:space="preserve">carrier </w:t>
      </w:r>
      <w:r w:rsidR="00885167">
        <w:rPr>
          <w:rFonts w:eastAsia="宋体"/>
          <w:lang w:eastAsia="zh-CN"/>
        </w:rPr>
        <w:t>frequency</w:t>
      </w:r>
      <w:r w:rsidR="000E5AAA">
        <w:rPr>
          <w:rFonts w:eastAsia="宋体"/>
          <w:lang w:eastAsia="zh-CN"/>
        </w:rPr>
        <w:t xml:space="preserve"> (i.e. the centre frequency of the carrier), </w:t>
      </w:r>
      <w:r w:rsidR="00885167">
        <w:rPr>
          <w:rFonts w:eastAsia="宋体"/>
          <w:lang w:eastAsia="zh-CN"/>
        </w:rPr>
        <w:t xml:space="preserve">in NR, the SSB </w:t>
      </w:r>
      <w:r w:rsidR="00DB5DEA">
        <w:rPr>
          <w:rFonts w:eastAsia="宋体"/>
          <w:lang w:eastAsia="zh-CN"/>
        </w:rPr>
        <w:t xml:space="preserve">of a cell </w:t>
      </w:r>
      <w:r w:rsidR="00885167">
        <w:rPr>
          <w:rFonts w:eastAsia="宋体"/>
          <w:lang w:eastAsia="zh-CN"/>
        </w:rPr>
        <w:t>can be located anywhere in the carrier bandwidth</w:t>
      </w:r>
      <w:r w:rsidR="000E5AAA">
        <w:rPr>
          <w:rFonts w:eastAsia="宋体"/>
          <w:lang w:eastAsia="zh-CN"/>
        </w:rPr>
        <w:t xml:space="preserve"> (and cannot be derived from the centre frequency of the carrier)</w:t>
      </w:r>
      <w:r w:rsidR="00885167">
        <w:rPr>
          <w:rFonts w:eastAsia="宋体"/>
          <w:lang w:eastAsia="zh-CN"/>
        </w:rPr>
        <w:t xml:space="preserve">. </w:t>
      </w:r>
    </w:p>
    <w:p w14:paraId="32B807C4" w14:textId="2ABBE0E2" w:rsidR="009275E9" w:rsidRDefault="009275E9" w:rsidP="000E5AAA">
      <w:pPr>
        <w:spacing w:before="240" w:after="240" w:afterAutospacing="0"/>
        <w:rPr>
          <w:rFonts w:eastAsia="宋体"/>
          <w:lang w:eastAsia="zh-CN"/>
        </w:rPr>
      </w:pPr>
      <w:r>
        <w:rPr>
          <w:rFonts w:eastAsia="宋体"/>
          <w:lang w:eastAsia="zh-CN"/>
        </w:rPr>
        <w:t xml:space="preserve">Therefore, in our view, it is still unclear how the UE can determine the DL carrier frequency (to perform measurements) based on </w:t>
      </w:r>
      <w:r w:rsidR="00676757">
        <w:rPr>
          <w:rFonts w:eastAsia="宋体"/>
          <w:lang w:eastAsia="zh-CN"/>
        </w:rPr>
        <w:t>a</w:t>
      </w:r>
      <w:r>
        <w:rPr>
          <w:rFonts w:eastAsia="宋体"/>
          <w:lang w:eastAsia="zh-CN"/>
        </w:rPr>
        <w:t xml:space="preserve"> pre-configured SL carrier frequency.</w:t>
      </w:r>
    </w:p>
    <w:p w14:paraId="39659771" w14:textId="3CF6CE40" w:rsidR="00726ACF" w:rsidRPr="005E5091" w:rsidRDefault="00726ACF" w:rsidP="00726ACF">
      <w:pPr>
        <w:spacing w:after="0" w:afterAutospacing="0"/>
        <w:rPr>
          <w:rFonts w:eastAsia="宋体"/>
          <w:b/>
          <w:i/>
          <w:lang w:eastAsia="zh-CN"/>
        </w:rPr>
      </w:pPr>
      <w:r w:rsidRPr="00956D79">
        <w:rPr>
          <w:rFonts w:eastAsia="宋体" w:hint="eastAsia"/>
          <w:b/>
          <w:i/>
          <w:lang w:eastAsia="zh-CN"/>
        </w:rPr>
        <w:t xml:space="preserve">Proposal </w:t>
      </w:r>
      <w:r>
        <w:rPr>
          <w:rFonts w:eastAsia="宋体"/>
          <w:b/>
          <w:i/>
          <w:lang w:eastAsia="zh-CN"/>
        </w:rPr>
        <w:t>2</w:t>
      </w:r>
      <w:r w:rsidRPr="00956D79">
        <w:rPr>
          <w:rFonts w:eastAsia="宋体" w:hint="eastAsia"/>
          <w:b/>
          <w:i/>
          <w:lang w:eastAsia="zh-CN"/>
        </w:rPr>
        <w:t>:</w:t>
      </w:r>
      <w:r>
        <w:rPr>
          <w:rFonts w:eastAsia="宋体" w:hint="eastAsia"/>
          <w:b/>
          <w:i/>
          <w:lang w:eastAsia="zh-CN"/>
        </w:rPr>
        <w:t xml:space="preserve"> </w:t>
      </w:r>
      <w:r w:rsidR="009275E9" w:rsidRPr="002437B5">
        <w:rPr>
          <w:rFonts w:eastAsia="宋体"/>
          <w:i/>
          <w:lang w:eastAsia="zh-CN"/>
        </w:rPr>
        <w:t xml:space="preserve">RAN1 further discusses </w:t>
      </w:r>
      <w:r w:rsidR="00DA7CBE" w:rsidRPr="002437B5">
        <w:rPr>
          <w:rFonts w:eastAsia="宋体"/>
          <w:i/>
          <w:lang w:eastAsia="zh-CN"/>
        </w:rPr>
        <w:t xml:space="preserve">how a UE determines the DL carrier frequency (to perform measurements) based on </w:t>
      </w:r>
      <w:r w:rsidR="00676757">
        <w:rPr>
          <w:rFonts w:eastAsia="宋体"/>
          <w:i/>
          <w:lang w:eastAsia="zh-CN"/>
        </w:rPr>
        <w:t>a</w:t>
      </w:r>
      <w:r w:rsidR="00DA7CBE" w:rsidRPr="002437B5">
        <w:rPr>
          <w:rFonts w:eastAsia="宋体"/>
          <w:i/>
          <w:lang w:eastAsia="zh-CN"/>
        </w:rPr>
        <w:t xml:space="preserve"> pre-configured SL carrier frequency</w:t>
      </w:r>
      <w:r w:rsidRPr="002437B5">
        <w:rPr>
          <w:rFonts w:eastAsia="宋体"/>
          <w:i/>
          <w:lang w:eastAsia="zh-CN"/>
        </w:rPr>
        <w:t>.</w:t>
      </w:r>
    </w:p>
    <w:p w14:paraId="7A04E12E" w14:textId="4A5B31D6" w:rsidR="00E02F85" w:rsidRPr="00676757" w:rsidRDefault="00E02F85" w:rsidP="00B8183C">
      <w:pPr>
        <w:spacing w:before="240" w:after="240" w:afterAutospacing="0"/>
        <w:rPr>
          <w:rFonts w:eastAsia="宋体"/>
          <w:lang w:eastAsia="zh-CN"/>
        </w:rPr>
      </w:pPr>
    </w:p>
    <w:p w14:paraId="44BFC1D3" w14:textId="77777777" w:rsidR="0024685B" w:rsidRPr="00956D79" w:rsidRDefault="0024685B" w:rsidP="0024685B">
      <w:pPr>
        <w:pStyle w:val="10"/>
        <w:spacing w:after="180"/>
        <w:rPr>
          <w:lang w:val="en-US"/>
        </w:rPr>
      </w:pPr>
      <w:r w:rsidRPr="00956D79">
        <w:rPr>
          <w:lang w:val="en-US"/>
        </w:rPr>
        <w:t>Conclusion</w:t>
      </w:r>
    </w:p>
    <w:p w14:paraId="0B7B8C21" w14:textId="011B156B"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2D2968">
        <w:rPr>
          <w:rFonts w:eastAsiaTheme="minorEastAsia"/>
          <w:lang w:val="en-US" w:eastAsia="zh-CN"/>
        </w:rPr>
        <w:t>synchronization</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C028AA" w:rsidRPr="00956D79">
        <w:rPr>
          <w:lang w:val="en-US"/>
        </w:rPr>
        <w:t>:</w:t>
      </w:r>
    </w:p>
    <w:p w14:paraId="5758EF42" w14:textId="77777777" w:rsidR="002D2968" w:rsidRPr="002437B5" w:rsidRDefault="002D2968" w:rsidP="002D2968">
      <w:pPr>
        <w:spacing w:after="0" w:afterAutospacing="0"/>
        <w:rPr>
          <w:rFonts w:eastAsia="宋体"/>
          <w:i/>
          <w:lang w:eastAsia="zh-CN"/>
        </w:rPr>
      </w:pPr>
      <w:r w:rsidRPr="002D2968">
        <w:rPr>
          <w:rFonts w:eastAsia="宋体" w:hint="eastAsia"/>
          <w:b/>
          <w:i/>
          <w:lang w:eastAsia="zh-CN"/>
        </w:rPr>
        <w:t xml:space="preserve">Proposal 1: </w:t>
      </w:r>
      <w:r w:rsidRPr="002437B5">
        <w:rPr>
          <w:rFonts w:eastAsia="宋体"/>
          <w:i/>
          <w:lang w:eastAsia="zh-CN"/>
        </w:rPr>
        <w:t>For DFN derivation from GNSS in NR SL,</w:t>
      </w:r>
    </w:p>
    <w:p w14:paraId="09DF9790" w14:textId="77777777" w:rsidR="002D2968" w:rsidRPr="002437B5" w:rsidRDefault="002D2968" w:rsidP="002D2968">
      <w:pPr>
        <w:numPr>
          <w:ilvl w:val="0"/>
          <w:numId w:val="12"/>
        </w:numPr>
        <w:snapToGrid/>
        <w:spacing w:after="0" w:afterAutospacing="0"/>
        <w:ind w:left="714" w:hanging="357"/>
        <w:jc w:val="left"/>
        <w:rPr>
          <w:rFonts w:eastAsia="宋体"/>
          <w:i/>
          <w:lang w:eastAsia="zh-CN"/>
        </w:rPr>
      </w:pPr>
      <w:r w:rsidRPr="002437B5">
        <w:rPr>
          <w:rFonts w:eastAsia="宋体"/>
          <w:i/>
          <w:lang w:eastAsia="zh-CN"/>
        </w:rPr>
        <w:t>The formulae for DFN and SubframeNumber are reused from LTE V2X.</w:t>
      </w:r>
    </w:p>
    <w:p w14:paraId="61C627F5" w14:textId="77777777" w:rsidR="002D2968" w:rsidRPr="002437B5" w:rsidRDefault="002D2968" w:rsidP="002D2968">
      <w:pPr>
        <w:numPr>
          <w:ilvl w:val="0"/>
          <w:numId w:val="12"/>
        </w:numPr>
        <w:snapToGrid/>
        <w:spacing w:after="0" w:afterAutospacing="0"/>
        <w:ind w:left="714" w:hanging="357"/>
        <w:jc w:val="left"/>
        <w:rPr>
          <w:rFonts w:eastAsia="宋体"/>
          <w:i/>
          <w:lang w:eastAsia="zh-CN"/>
        </w:rPr>
      </w:pPr>
      <w:r w:rsidRPr="002437B5">
        <w:rPr>
          <w:rFonts w:eastAsia="宋体"/>
          <w:i/>
          <w:lang w:eastAsia="zh-CN"/>
        </w:rPr>
        <w:lastRenderedPageBreak/>
        <w:t>Slot number is derived as follows,</w:t>
      </w:r>
    </w:p>
    <w:p w14:paraId="09F7C823" w14:textId="6BDECF84" w:rsidR="002D2968" w:rsidRPr="002437B5" w:rsidRDefault="002D2968" w:rsidP="002D2968">
      <w:pPr>
        <w:numPr>
          <w:ilvl w:val="1"/>
          <w:numId w:val="12"/>
        </w:numPr>
        <w:snapToGrid/>
        <w:spacing w:after="0" w:afterAutospacing="0"/>
        <w:ind w:left="1134" w:hanging="425"/>
        <w:jc w:val="left"/>
        <w:rPr>
          <w:rFonts w:eastAsia="宋体"/>
          <w:i/>
          <w:lang w:eastAsia="zh-CN"/>
        </w:rPr>
      </w:pPr>
      <w:r w:rsidRPr="002437B5">
        <w:rPr>
          <w:rFonts w:eastAsia="宋体"/>
          <w:lang w:eastAsia="zh-CN"/>
        </w:rPr>
        <w:t>SlotNumber = Floor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m:r>
              <m:rPr>
                <m:nor/>
              </m:rPr>
              <w:rPr>
                <w:rFonts w:ascii="Cambria Math" w:hAnsi="Cambria Math"/>
                <w:szCs w:val="24"/>
              </w:rPr>
              <m:t>subframe</m:t>
            </m:r>
            <m:r>
              <w:rPr>
                <w:rFonts w:ascii="Cambria Math" w:hAnsi="Cambria Math"/>
                <w:szCs w:val="24"/>
              </w:rPr>
              <m:t>,μ</m:t>
            </m:r>
          </m:sup>
        </m:sSubSup>
      </m:oMath>
      <w:r w:rsidRPr="002437B5">
        <w:rPr>
          <w:rFonts w:eastAsia="宋体" w:hint="eastAsia"/>
          <w:szCs w:val="28"/>
          <w:lang w:eastAsia="zh-CN"/>
        </w:rPr>
        <w:t xml:space="preserve"> </w:t>
      </w:r>
      <w:r w:rsidRPr="002437B5">
        <w:rPr>
          <w:rFonts w:eastAsia="宋体"/>
          <w:szCs w:val="28"/>
          <w:lang w:eastAsia="zh-CN"/>
        </w:rPr>
        <w:t>*</w:t>
      </w:r>
      <w:r w:rsidRPr="002437B5">
        <w:rPr>
          <w:rFonts w:eastAsia="宋体" w:hint="eastAsia"/>
          <w:szCs w:val="28"/>
          <w:lang w:eastAsia="zh-CN"/>
        </w:rPr>
        <w:t xml:space="preserve"> </w:t>
      </w:r>
      <w:r w:rsidRPr="002437B5">
        <w:rPr>
          <w:rFonts w:eastAsia="宋体"/>
          <w:szCs w:val="28"/>
          <w:lang w:eastAsia="zh-CN"/>
        </w:rPr>
        <w:t xml:space="preserve">(Tcurrent – Tref – offsetDFN)) mod </w:t>
      </w:r>
      <m:oMath>
        <m:sSubSup>
          <m:sSubSupPr>
            <m:ctrlPr>
              <w:rPr>
                <w:rFonts w:ascii="Cambria Math" w:hAnsi="Cambria Math"/>
                <w:i/>
                <w:szCs w:val="24"/>
              </w:rPr>
            </m:ctrlPr>
          </m:sSubSupPr>
          <m:e>
            <m:r>
              <w:rPr>
                <w:rFonts w:ascii="Cambria Math" w:hAnsi="Cambria Math"/>
                <w:szCs w:val="24"/>
              </w:rPr>
              <m:t>N</m:t>
            </m:r>
          </m:e>
          <m:sub>
            <m:r>
              <m:rPr>
                <m:nor/>
              </m:rPr>
              <w:rPr>
                <w:rFonts w:ascii="Cambria Math" w:hAnsi="Cambria Math"/>
                <w:szCs w:val="24"/>
              </w:rPr>
              <m:t>slot</m:t>
            </m:r>
          </m:sub>
          <m:sup>
            <m:r>
              <m:rPr>
                <m:nor/>
              </m:rPr>
              <w:rPr>
                <w:rFonts w:ascii="Cambria Math" w:hAnsi="Cambria Math"/>
                <w:szCs w:val="24"/>
              </w:rPr>
              <m:t>subframe</m:t>
            </m:r>
            <m:r>
              <w:rPr>
                <w:rFonts w:ascii="Cambria Math" w:hAnsi="Cambria Math"/>
                <w:szCs w:val="24"/>
              </w:rPr>
              <m:t>,μ</m:t>
            </m:r>
          </m:sup>
        </m:sSubSup>
      </m:oMath>
    </w:p>
    <w:p w14:paraId="01C589EF" w14:textId="77777777" w:rsidR="002D2968" w:rsidRPr="002437B5" w:rsidRDefault="002D2968" w:rsidP="002D2968">
      <w:pPr>
        <w:numPr>
          <w:ilvl w:val="0"/>
          <w:numId w:val="12"/>
        </w:numPr>
        <w:snapToGrid/>
        <w:spacing w:afterLines="50" w:after="180" w:afterAutospacing="0"/>
        <w:ind w:left="714" w:hanging="357"/>
        <w:jc w:val="left"/>
        <w:rPr>
          <w:rFonts w:eastAsia="宋体"/>
          <w:i/>
          <w:lang w:eastAsia="zh-CN"/>
        </w:rPr>
      </w:pPr>
      <w:r w:rsidRPr="002437B5">
        <w:rPr>
          <w:rFonts w:eastAsia="宋体" w:hint="eastAsia"/>
          <w:i/>
          <w:lang w:eastAsia="zh-CN"/>
        </w:rPr>
        <w:t>S</w:t>
      </w:r>
      <w:r w:rsidRPr="002437B5">
        <w:rPr>
          <w:rFonts w:eastAsia="宋体"/>
          <w:i/>
          <w:lang w:eastAsia="zh-CN"/>
        </w:rPr>
        <w:t>end an LS to request RAN2 to capture the above in TS 38.331.</w:t>
      </w:r>
    </w:p>
    <w:p w14:paraId="6FFDE695" w14:textId="77777777" w:rsidR="002D2968" w:rsidRPr="002437B5" w:rsidRDefault="002D2968" w:rsidP="002D2968">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2</w:t>
      </w:r>
      <w:r w:rsidRPr="00956D79">
        <w:rPr>
          <w:rFonts w:eastAsia="宋体" w:hint="eastAsia"/>
          <w:b/>
          <w:i/>
          <w:lang w:eastAsia="zh-CN"/>
        </w:rPr>
        <w:t>:</w:t>
      </w:r>
      <w:r>
        <w:rPr>
          <w:rFonts w:eastAsia="宋体" w:hint="eastAsia"/>
          <w:b/>
          <w:i/>
          <w:lang w:eastAsia="zh-CN"/>
        </w:rPr>
        <w:t xml:space="preserve"> </w:t>
      </w:r>
      <w:r w:rsidRPr="002437B5">
        <w:rPr>
          <w:rFonts w:eastAsia="宋体"/>
          <w:i/>
          <w:lang w:eastAsia="zh-CN"/>
        </w:rPr>
        <w:t>RAN1 further discusses how a UE determines the DL carrier frequency (to perform measurements) based on the pre-configured SL carrier frequency.</w:t>
      </w:r>
    </w:p>
    <w:p w14:paraId="5C2D36FC" w14:textId="77777777" w:rsidR="002D2968" w:rsidRPr="002D2968" w:rsidRDefault="002D2968" w:rsidP="00A81515">
      <w:pPr>
        <w:spacing w:before="240" w:after="240" w:afterAutospacing="0"/>
        <w:rPr>
          <w:rFonts w:eastAsiaTheme="minorEastAsia"/>
          <w:lang w:eastAsia="zh-CN"/>
        </w:rPr>
      </w:pP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07A93CFE" w:rsidR="00755E67" w:rsidRPr="00304FE2" w:rsidRDefault="00BB0098" w:rsidP="00304FE2">
      <w:pPr>
        <w:pStyle w:val="textintend2"/>
        <w:rPr>
          <w:rFonts w:eastAsiaTheme="minorEastAsia"/>
          <w:sz w:val="22"/>
          <w:lang w:eastAsia="zh-CN"/>
        </w:rPr>
      </w:pPr>
      <w:bookmarkStart w:id="4" w:name="_Ref16682905"/>
      <w:bookmarkStart w:id="5" w:name="_Ref524697449"/>
      <w:r w:rsidRPr="00956D79">
        <w:rPr>
          <w:rFonts w:eastAsia="宋体"/>
          <w:sz w:val="22"/>
          <w:lang w:eastAsia="zh-CN"/>
        </w:rPr>
        <w:t>RP-190766, “New WID on 5G V2X with NR sidelink”, LG Electronics, Huawei, 3GPP RAN#83.</w:t>
      </w:r>
      <w:bookmarkEnd w:id="4"/>
      <w:bookmarkEnd w:id="5"/>
    </w:p>
    <w:sectPr w:rsidR="00755E67" w:rsidRPr="00304FE2"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518B6" w14:textId="77777777" w:rsidR="00C02E83" w:rsidRDefault="00C02E83">
      <w:r>
        <w:separator/>
      </w:r>
    </w:p>
  </w:endnote>
  <w:endnote w:type="continuationSeparator" w:id="0">
    <w:p w14:paraId="096BF172" w14:textId="77777777" w:rsidR="00C02E83" w:rsidRDefault="00C0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1EB3DBB8" w:rsidR="00DB00E9" w:rsidRDefault="00DB00E9">
    <w:pPr>
      <w:pStyle w:val="af"/>
      <w:jc w:val="center"/>
    </w:pPr>
    <w:r>
      <w:rPr>
        <w:b/>
      </w:rPr>
      <w:fldChar w:fldCharType="begin"/>
    </w:r>
    <w:r>
      <w:rPr>
        <w:b/>
      </w:rPr>
      <w:instrText>PAGE</w:instrText>
    </w:r>
    <w:r>
      <w:rPr>
        <w:b/>
      </w:rPr>
      <w:fldChar w:fldCharType="separate"/>
    </w:r>
    <w:r w:rsidR="00467AFF">
      <w:rPr>
        <w:b/>
        <w:noProof/>
      </w:rPr>
      <w:t>3</w:t>
    </w:r>
    <w:r>
      <w:rPr>
        <w:b/>
      </w:rPr>
      <w:fldChar w:fldCharType="end"/>
    </w:r>
  </w:p>
  <w:p w14:paraId="3D641BD9" w14:textId="77777777" w:rsidR="00DB00E9" w:rsidRDefault="00DB00E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FBA46" w14:textId="77777777" w:rsidR="00C02E83" w:rsidRDefault="00C02E83">
      <w:r>
        <w:separator/>
      </w:r>
    </w:p>
  </w:footnote>
  <w:footnote w:type="continuationSeparator" w:id="0">
    <w:p w14:paraId="5272F0DC" w14:textId="77777777" w:rsidR="00C02E83" w:rsidRDefault="00C02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37E"/>
    <w:multiLevelType w:val="hybridMultilevel"/>
    <w:tmpl w:val="7D2EC1F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6614551C"/>
    <w:multiLevelType w:val="hybridMultilevel"/>
    <w:tmpl w:val="C1E624E8"/>
    <w:lvl w:ilvl="0" w:tplc="EE167786">
      <w:numFmt w:val="bullet"/>
      <w:lvlText w:val=""/>
      <w:lvlJc w:val="left"/>
      <w:pPr>
        <w:ind w:left="360" w:hanging="360"/>
      </w:pPr>
      <w:rPr>
        <w:rFonts w:ascii="Wingdings" w:eastAsia="宋体" w:hAnsi="Wingdings"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3157D4"/>
    <w:multiLevelType w:val="multilevel"/>
    <w:tmpl w:val="F572A19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2"/>
  </w:num>
  <w:num w:numId="2">
    <w:abstractNumId w:val="4"/>
  </w:num>
  <w:num w:numId="3">
    <w:abstractNumId w:val="5"/>
  </w:num>
  <w:num w:numId="4">
    <w:abstractNumId w:val="13"/>
  </w:num>
  <w:num w:numId="5">
    <w:abstractNumId w:val="9"/>
  </w:num>
  <w:num w:numId="6">
    <w:abstractNumId w:val="10"/>
  </w:num>
  <w:num w:numId="7">
    <w:abstractNumId w:val="8"/>
  </w:num>
  <w:num w:numId="8">
    <w:abstractNumId w:val="3"/>
  </w:num>
  <w:num w:numId="9">
    <w:abstractNumId w:val="14"/>
  </w:num>
  <w:num w:numId="10">
    <w:abstractNumId w:val="6"/>
  </w:num>
  <w:num w:numId="11">
    <w:abstractNumId w:val="2"/>
  </w:num>
  <w:num w:numId="12">
    <w:abstractNumId w:val="1"/>
  </w:num>
  <w:num w:numId="13">
    <w:abstractNumId w:val="7"/>
  </w:num>
  <w:num w:numId="14">
    <w:abstractNumId w:val="15"/>
  </w:num>
  <w:num w:numId="15">
    <w:abstractNumId w:val="0"/>
  </w:num>
  <w:num w:numId="1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4DE8"/>
    <w:rsid w:val="00066012"/>
    <w:rsid w:val="000661B7"/>
    <w:rsid w:val="00066343"/>
    <w:rsid w:val="00066871"/>
    <w:rsid w:val="0006793D"/>
    <w:rsid w:val="00067BD9"/>
    <w:rsid w:val="00067E35"/>
    <w:rsid w:val="00067F48"/>
    <w:rsid w:val="0007174A"/>
    <w:rsid w:val="00071B25"/>
    <w:rsid w:val="00071BC8"/>
    <w:rsid w:val="000721E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435"/>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5AAA"/>
    <w:rsid w:val="000E6263"/>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5B6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70A"/>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4E9"/>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25D"/>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A0E"/>
    <w:rsid w:val="00235FB1"/>
    <w:rsid w:val="002362AE"/>
    <w:rsid w:val="00236469"/>
    <w:rsid w:val="00236CD1"/>
    <w:rsid w:val="00237062"/>
    <w:rsid w:val="002378CE"/>
    <w:rsid w:val="00237A75"/>
    <w:rsid w:val="00237E17"/>
    <w:rsid w:val="00240437"/>
    <w:rsid w:val="00240DBF"/>
    <w:rsid w:val="002414CB"/>
    <w:rsid w:val="00241BE2"/>
    <w:rsid w:val="00242BB1"/>
    <w:rsid w:val="002437B5"/>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10C"/>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34E0"/>
    <w:rsid w:val="002C457C"/>
    <w:rsid w:val="002C4956"/>
    <w:rsid w:val="002C4BFB"/>
    <w:rsid w:val="002C5B66"/>
    <w:rsid w:val="002C648D"/>
    <w:rsid w:val="002C6B87"/>
    <w:rsid w:val="002C74EA"/>
    <w:rsid w:val="002C774D"/>
    <w:rsid w:val="002C7ED2"/>
    <w:rsid w:val="002D0764"/>
    <w:rsid w:val="002D1D2A"/>
    <w:rsid w:val="002D2117"/>
    <w:rsid w:val="002D2551"/>
    <w:rsid w:val="002D2968"/>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F86"/>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D6F"/>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4A3"/>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D50"/>
    <w:rsid w:val="00380319"/>
    <w:rsid w:val="003805C8"/>
    <w:rsid w:val="003806A7"/>
    <w:rsid w:val="00380950"/>
    <w:rsid w:val="00380CB1"/>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0E3B"/>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6FA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0A3"/>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2812"/>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AFF"/>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F21"/>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B7BD8"/>
    <w:rsid w:val="004C000D"/>
    <w:rsid w:val="004C034E"/>
    <w:rsid w:val="004C06A8"/>
    <w:rsid w:val="004C0755"/>
    <w:rsid w:val="004C079D"/>
    <w:rsid w:val="004C07C8"/>
    <w:rsid w:val="004C0D5C"/>
    <w:rsid w:val="004C125A"/>
    <w:rsid w:val="004C2BA1"/>
    <w:rsid w:val="004C4374"/>
    <w:rsid w:val="004C4643"/>
    <w:rsid w:val="004C618D"/>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10"/>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154"/>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67CD8"/>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1FB4"/>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091"/>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757"/>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C36"/>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ACF"/>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2CA5"/>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2C2"/>
    <w:rsid w:val="00796701"/>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A6F"/>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D4"/>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3EB7"/>
    <w:rsid w:val="00834781"/>
    <w:rsid w:val="00834C5C"/>
    <w:rsid w:val="00835188"/>
    <w:rsid w:val="00835595"/>
    <w:rsid w:val="00835947"/>
    <w:rsid w:val="00835AAF"/>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48C"/>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167"/>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96B"/>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275E9"/>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98B"/>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45F6"/>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158"/>
    <w:rsid w:val="009A533C"/>
    <w:rsid w:val="009A5A55"/>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635"/>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ED4"/>
    <w:rsid w:val="00A81FD9"/>
    <w:rsid w:val="00A82A57"/>
    <w:rsid w:val="00A839B4"/>
    <w:rsid w:val="00A83F45"/>
    <w:rsid w:val="00A83FC0"/>
    <w:rsid w:val="00A845A6"/>
    <w:rsid w:val="00A85B11"/>
    <w:rsid w:val="00A85F38"/>
    <w:rsid w:val="00A862EC"/>
    <w:rsid w:val="00A863C2"/>
    <w:rsid w:val="00A86FE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0C40"/>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207"/>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27ED"/>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85C"/>
    <w:rsid w:val="00B9293E"/>
    <w:rsid w:val="00B92E29"/>
    <w:rsid w:val="00B930EC"/>
    <w:rsid w:val="00B93600"/>
    <w:rsid w:val="00B93B04"/>
    <w:rsid w:val="00B93D73"/>
    <w:rsid w:val="00B93E57"/>
    <w:rsid w:val="00B942DE"/>
    <w:rsid w:val="00B945CD"/>
    <w:rsid w:val="00B9529F"/>
    <w:rsid w:val="00B9574B"/>
    <w:rsid w:val="00B95904"/>
    <w:rsid w:val="00B95E82"/>
    <w:rsid w:val="00B96789"/>
    <w:rsid w:val="00B97602"/>
    <w:rsid w:val="00BA0C04"/>
    <w:rsid w:val="00BA151B"/>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2E83"/>
    <w:rsid w:val="00C03EC2"/>
    <w:rsid w:val="00C0430C"/>
    <w:rsid w:val="00C0482E"/>
    <w:rsid w:val="00C04874"/>
    <w:rsid w:val="00C04D8B"/>
    <w:rsid w:val="00C04DAE"/>
    <w:rsid w:val="00C05DB9"/>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4CA6"/>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4D74"/>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1289"/>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4ADC"/>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796"/>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516"/>
    <w:rsid w:val="00DA38C5"/>
    <w:rsid w:val="00DA443B"/>
    <w:rsid w:val="00DA61C8"/>
    <w:rsid w:val="00DA64D0"/>
    <w:rsid w:val="00DA6502"/>
    <w:rsid w:val="00DA663D"/>
    <w:rsid w:val="00DA6B92"/>
    <w:rsid w:val="00DA6D9E"/>
    <w:rsid w:val="00DA6FAC"/>
    <w:rsid w:val="00DA7584"/>
    <w:rsid w:val="00DA7CBE"/>
    <w:rsid w:val="00DB00E9"/>
    <w:rsid w:val="00DB1C1F"/>
    <w:rsid w:val="00DB2237"/>
    <w:rsid w:val="00DB2B94"/>
    <w:rsid w:val="00DB3387"/>
    <w:rsid w:val="00DB38E5"/>
    <w:rsid w:val="00DB42AC"/>
    <w:rsid w:val="00DB47AC"/>
    <w:rsid w:val="00DB4AA5"/>
    <w:rsid w:val="00DB4CC0"/>
    <w:rsid w:val="00DB5033"/>
    <w:rsid w:val="00DB5A84"/>
    <w:rsid w:val="00DB5DEA"/>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781"/>
    <w:rsid w:val="00E04902"/>
    <w:rsid w:val="00E04A77"/>
    <w:rsid w:val="00E04CA6"/>
    <w:rsid w:val="00E04DF1"/>
    <w:rsid w:val="00E0580E"/>
    <w:rsid w:val="00E0664F"/>
    <w:rsid w:val="00E0793E"/>
    <w:rsid w:val="00E07AAE"/>
    <w:rsid w:val="00E1086A"/>
    <w:rsid w:val="00E11DCC"/>
    <w:rsid w:val="00E12020"/>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57F5F"/>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1F03"/>
    <w:rsid w:val="00E7204B"/>
    <w:rsid w:val="00E723AC"/>
    <w:rsid w:val="00E724E9"/>
    <w:rsid w:val="00E7268D"/>
    <w:rsid w:val="00E727C7"/>
    <w:rsid w:val="00E7309C"/>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74D"/>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66D"/>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735"/>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AFA"/>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4EE"/>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389F"/>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E65EC38-FA44-492D-832B-C4831F9C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8566D4"/>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8566D4"/>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character" w:customStyle="1" w:styleId="TALCar">
    <w:name w:val="TAL Car"/>
    <w:link w:val="TAL"/>
    <w:qFormat/>
    <w:rsid w:val="00803AD4"/>
    <w:rPr>
      <w:rFonts w:ascii="Arial" w:hAnsi="Arial"/>
      <w:sz w:val="18"/>
      <w:lang w:val="en-GB" w:eastAsia="en-GB"/>
    </w:rPr>
  </w:style>
  <w:style w:type="character" w:customStyle="1" w:styleId="TAHCar">
    <w:name w:val="TAH Car"/>
    <w:link w:val="TAH"/>
    <w:qFormat/>
    <w:locked/>
    <w:rsid w:val="00803AD4"/>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28DF6-E678-4C28-B1AE-93549DC9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4083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2020-02-14T23:02:00Z</dcterms:created>
  <dcterms:modified xsi:type="dcterms:W3CDTF">2020-02-14T23:02:00Z</dcterms:modified>
</cp:coreProperties>
</file>