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326436" w14:textId="0A5BBA8C" w:rsidR="00B975F2" w:rsidRPr="00B822B1" w:rsidRDefault="00B975F2" w:rsidP="005A3B69">
      <w:pPr>
        <w:tabs>
          <w:tab w:val="left" w:pos="4590"/>
          <w:tab w:val="right" w:pos="10000"/>
        </w:tabs>
        <w:spacing w:after="0"/>
        <w:jc w:val="both"/>
        <w:rPr>
          <w:rFonts w:ascii="Arial" w:hAnsi="Arial" w:cs="Arial"/>
          <w:b/>
          <w:sz w:val="24"/>
          <w:lang w:val="en-US" w:eastAsia="zh-CN"/>
        </w:rPr>
      </w:pPr>
      <w:r w:rsidRPr="00B822B1">
        <w:rPr>
          <w:rFonts w:ascii="Arial" w:hAnsi="Arial" w:cs="Arial"/>
          <w:b/>
          <w:sz w:val="24"/>
          <w:lang w:val="en-US"/>
        </w:rPr>
        <w:t xml:space="preserve">3GPP TSG-RAN WG1 </w:t>
      </w:r>
      <w:r w:rsidR="00593B39">
        <w:rPr>
          <w:rFonts w:ascii="Arial" w:hAnsi="Arial" w:cs="Arial"/>
          <w:b/>
          <w:sz w:val="24"/>
          <w:lang w:val="en-US"/>
        </w:rPr>
        <w:t>#</w:t>
      </w:r>
      <w:r w:rsidR="00D03396">
        <w:rPr>
          <w:rFonts w:ascii="Arial" w:hAnsi="Arial" w:cs="Arial"/>
          <w:b/>
          <w:sz w:val="24"/>
          <w:lang w:val="en-US" w:eastAsia="zh-CN"/>
        </w:rPr>
        <w:t>100-emeeting</w:t>
      </w:r>
      <w:r w:rsidRPr="00B822B1">
        <w:rPr>
          <w:rFonts w:ascii="Arial" w:hAnsi="Arial" w:cs="Arial"/>
          <w:b/>
          <w:sz w:val="24"/>
          <w:lang w:val="en-US"/>
        </w:rPr>
        <w:tab/>
      </w:r>
      <w:r w:rsidR="005A3B69">
        <w:rPr>
          <w:rFonts w:ascii="Arial" w:hAnsi="Arial" w:cs="Arial"/>
          <w:b/>
          <w:sz w:val="24"/>
          <w:lang w:val="en-US"/>
        </w:rPr>
        <w:tab/>
      </w:r>
      <w:r w:rsidR="00931CC7" w:rsidRPr="00EE5C07">
        <w:rPr>
          <w:rFonts w:ascii="Arial" w:hAnsi="Arial" w:cs="Arial"/>
          <w:b/>
          <w:sz w:val="24"/>
          <w:lang w:val="en-US"/>
        </w:rPr>
        <w:t>R1-</w:t>
      </w:r>
      <w:r w:rsidR="00993785">
        <w:rPr>
          <w:rFonts w:ascii="Arial" w:hAnsi="Arial" w:cs="Arial"/>
          <w:b/>
          <w:sz w:val="24"/>
          <w:lang w:val="en-US"/>
        </w:rPr>
        <w:t>20</w:t>
      </w:r>
      <w:r w:rsidR="008C3FAC">
        <w:rPr>
          <w:rFonts w:ascii="Arial" w:hAnsi="Arial" w:cs="Arial"/>
          <w:b/>
          <w:sz w:val="24"/>
          <w:lang w:val="en-US"/>
        </w:rPr>
        <w:t>00849</w:t>
      </w:r>
      <w:bookmarkStart w:id="0" w:name="_GoBack"/>
      <w:bookmarkEnd w:id="0"/>
    </w:p>
    <w:p w14:paraId="0FBC8402" w14:textId="04392940" w:rsidR="00B975F2" w:rsidRPr="00147A76" w:rsidRDefault="00D03396" w:rsidP="00147A7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February</w:t>
      </w:r>
      <w:r w:rsidR="00147A76" w:rsidRPr="001C0CA8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24</w:t>
      </w:r>
      <w:r w:rsidR="00147A76" w:rsidRPr="001C0CA8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147A76" w:rsidRPr="001C0CA8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March 06</w:t>
      </w:r>
      <w:r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147A76" w:rsidRPr="001C0CA8">
        <w:rPr>
          <w:rFonts w:ascii="Arial" w:eastAsia="MS Mincho" w:hAnsi="Arial" w:cs="Arial"/>
          <w:b/>
          <w:bCs/>
          <w:sz w:val="24"/>
          <w:szCs w:val="24"/>
          <w:lang w:eastAsia="ja-JP"/>
        </w:rPr>
        <w:t>, 20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20</w:t>
      </w:r>
    </w:p>
    <w:p w14:paraId="4E210BBB" w14:textId="6983AB85" w:rsidR="00B975F2" w:rsidRPr="00B822B1" w:rsidRDefault="00B975F2" w:rsidP="00B975F2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B822B1">
        <w:rPr>
          <w:rFonts w:ascii="Arial" w:hAnsi="Arial" w:cs="Arial"/>
          <w:b/>
          <w:sz w:val="24"/>
          <w:lang w:val="en-US"/>
        </w:rPr>
        <w:t xml:space="preserve">Source: </w:t>
      </w:r>
      <w:r w:rsidRPr="00B822B1">
        <w:rPr>
          <w:rFonts w:ascii="Arial" w:hAnsi="Arial" w:cs="Arial"/>
          <w:b/>
          <w:sz w:val="24"/>
          <w:lang w:val="en-US"/>
        </w:rPr>
        <w:tab/>
      </w:r>
      <w:r w:rsidR="00284187" w:rsidRPr="00284187">
        <w:rPr>
          <w:rFonts w:ascii="Arial" w:hAnsi="Arial" w:cs="Arial"/>
          <w:b/>
          <w:sz w:val="24"/>
          <w:lang w:val="en-US" w:eastAsia="zh-CN"/>
        </w:rPr>
        <w:t>Apple Inc.</w:t>
      </w:r>
    </w:p>
    <w:p w14:paraId="64CBD7F4" w14:textId="21065B18" w:rsidR="00B975F2" w:rsidRPr="00B822B1" w:rsidRDefault="00B975F2" w:rsidP="00B975F2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B822B1">
        <w:rPr>
          <w:rFonts w:ascii="Arial" w:hAnsi="Arial" w:cs="Arial"/>
          <w:b/>
          <w:sz w:val="24"/>
          <w:lang w:val="en-US"/>
        </w:rPr>
        <w:t xml:space="preserve">Title:                     </w:t>
      </w:r>
      <w:r w:rsidR="000C6A59" w:rsidRPr="000C6A59">
        <w:rPr>
          <w:rFonts w:ascii="Arial" w:hAnsi="Arial" w:cs="Arial"/>
          <w:b/>
          <w:sz w:val="24"/>
          <w:lang w:val="en-US"/>
        </w:rPr>
        <w:t>Remaining issues on HARQ enhancement</w:t>
      </w:r>
    </w:p>
    <w:p w14:paraId="7B288F5E" w14:textId="31BB203F" w:rsidR="00B975F2" w:rsidRPr="00B822B1" w:rsidRDefault="00B975F2" w:rsidP="00B975F2">
      <w:pPr>
        <w:spacing w:after="0"/>
        <w:ind w:left="1983" w:hangingChars="823" w:hanging="1983"/>
        <w:jc w:val="both"/>
        <w:rPr>
          <w:rFonts w:ascii="Arial" w:hAnsi="Arial" w:cs="Arial"/>
          <w:sz w:val="24"/>
          <w:lang w:val="en-US" w:eastAsia="zh-CN"/>
        </w:rPr>
      </w:pPr>
      <w:r w:rsidRPr="00B822B1">
        <w:rPr>
          <w:rFonts w:ascii="Arial" w:hAnsi="Arial" w:cs="Arial"/>
          <w:b/>
          <w:sz w:val="24"/>
          <w:lang w:val="en-US"/>
        </w:rPr>
        <w:t>Agenda item:</w:t>
      </w:r>
      <w:r w:rsidRPr="00B822B1">
        <w:rPr>
          <w:rFonts w:ascii="Arial" w:hAnsi="Arial" w:cs="Arial"/>
          <w:b/>
          <w:sz w:val="24"/>
          <w:lang w:val="en-US"/>
        </w:rPr>
        <w:tab/>
      </w:r>
      <w:r w:rsidR="000C6A59" w:rsidRPr="000C6A59">
        <w:rPr>
          <w:rFonts w:ascii="Arial" w:hAnsi="Arial" w:cs="Arial"/>
          <w:b/>
          <w:sz w:val="24"/>
          <w:lang w:val="en-US"/>
        </w:rPr>
        <w:t>7.2.2.2.3</w:t>
      </w:r>
    </w:p>
    <w:p w14:paraId="5E110048" w14:textId="77777777" w:rsidR="00B975F2" w:rsidRPr="00B822B1" w:rsidRDefault="00B975F2" w:rsidP="00B975F2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B822B1">
        <w:rPr>
          <w:rFonts w:ascii="Arial" w:hAnsi="Arial" w:cs="Arial"/>
          <w:b/>
          <w:sz w:val="24"/>
          <w:lang w:val="en-US"/>
        </w:rPr>
        <w:t>Document for:</w:t>
      </w:r>
      <w:r w:rsidRPr="00B822B1">
        <w:rPr>
          <w:rFonts w:ascii="Arial" w:hAnsi="Arial" w:cs="Arial"/>
          <w:sz w:val="24"/>
          <w:lang w:val="en-US"/>
        </w:rPr>
        <w:tab/>
      </w:r>
      <w:bookmarkStart w:id="1" w:name="DocumentFor"/>
      <w:bookmarkEnd w:id="1"/>
      <w:r w:rsidRPr="00B822B1">
        <w:rPr>
          <w:rFonts w:ascii="Arial" w:hAnsi="Arial" w:cs="Arial"/>
          <w:b/>
          <w:sz w:val="24"/>
          <w:lang w:val="en-US"/>
        </w:rPr>
        <w:t>Discussion and Decision</w:t>
      </w:r>
    </w:p>
    <w:p w14:paraId="324CA89E" w14:textId="639B9A0E" w:rsidR="00EA7D94" w:rsidRDefault="00B975F2" w:rsidP="00EA7D94">
      <w:pPr>
        <w:pStyle w:val="Heading1"/>
        <w:ind w:left="1140" w:hanging="1140"/>
        <w:jc w:val="both"/>
        <w:rPr>
          <w:rFonts w:cs="Arial"/>
          <w:lang w:val="en-US"/>
        </w:rPr>
      </w:pPr>
      <w:r w:rsidRPr="00B822B1">
        <w:rPr>
          <w:rFonts w:cs="Arial"/>
          <w:lang w:val="en-US"/>
        </w:rPr>
        <w:t>1 Introduction</w:t>
      </w:r>
    </w:p>
    <w:p w14:paraId="67872D09" w14:textId="31EF0C96" w:rsidR="00B265FF" w:rsidRDefault="00974F9D" w:rsidP="002028B1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In this paper, we discuss remaining issues related to HARQ enhancement for NR-U operation, focusing on DCI format design for one-shot HARQ feedback triggering and RV orders for PUSCH transmission scheduled by multi-TTI </w:t>
      </w:r>
      <w:r w:rsidR="007972AD">
        <w:rPr>
          <w:rFonts w:ascii="Arial" w:hAnsi="Arial" w:cs="Arial"/>
          <w:lang w:val="en-US" w:eastAsia="zh-CN"/>
        </w:rPr>
        <w:t xml:space="preserve">DCI format. </w:t>
      </w:r>
      <w:r>
        <w:rPr>
          <w:rFonts w:ascii="Arial" w:hAnsi="Arial" w:cs="Arial"/>
          <w:lang w:val="en-US" w:eastAsia="zh-CN"/>
        </w:rPr>
        <w:t xml:space="preserve"> </w:t>
      </w:r>
    </w:p>
    <w:p w14:paraId="3C800B44" w14:textId="72B3F490" w:rsidR="007D05CA" w:rsidRDefault="00B975F2" w:rsidP="006F0588">
      <w:pPr>
        <w:pStyle w:val="Heading1"/>
        <w:rPr>
          <w:rFonts w:cs="Arial"/>
          <w:lang w:val="en-US"/>
        </w:rPr>
      </w:pPr>
      <w:r w:rsidRPr="00B822B1">
        <w:rPr>
          <w:rFonts w:cs="Arial"/>
          <w:lang w:val="en-US"/>
        </w:rPr>
        <w:t>2. Discussion</w:t>
      </w:r>
    </w:p>
    <w:p w14:paraId="442E91AE" w14:textId="27ACD7E9" w:rsidR="00EA049A" w:rsidRDefault="003A472D" w:rsidP="003D5D41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In the RAN1 #99 meeting, the following agreement was made [1]: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B3767" w14:paraId="03AD434B" w14:textId="77777777" w:rsidTr="006B3767">
        <w:tc>
          <w:tcPr>
            <w:tcW w:w="9962" w:type="dxa"/>
          </w:tcPr>
          <w:p w14:paraId="4A770AE6" w14:textId="77777777" w:rsidR="006B3767" w:rsidRPr="006B3767" w:rsidRDefault="006B3767" w:rsidP="006B3767">
            <w:pPr>
              <w:spacing w:after="0"/>
              <w:rPr>
                <w:rFonts w:ascii="Arial" w:hAnsi="Arial" w:cs="Arial"/>
                <w:color w:val="000000" w:themeColor="text1"/>
                <w:lang w:eastAsia="x-none"/>
              </w:rPr>
            </w:pPr>
            <w:r w:rsidRPr="006B3767">
              <w:rPr>
                <w:rFonts w:ascii="Arial" w:hAnsi="Arial" w:cs="Arial"/>
                <w:color w:val="000000" w:themeColor="text1"/>
                <w:highlight w:val="green"/>
                <w:lang w:eastAsia="x-none"/>
              </w:rPr>
              <w:t>Agreement:</w:t>
            </w:r>
          </w:p>
          <w:p w14:paraId="53E9E3F5" w14:textId="77777777" w:rsidR="006B3767" w:rsidRPr="006B3767" w:rsidRDefault="006B3767" w:rsidP="006B3767">
            <w:pPr>
              <w:spacing w:after="0"/>
              <w:rPr>
                <w:rFonts w:ascii="Arial" w:eastAsia="Times New Roman" w:hAnsi="Arial" w:cs="Arial"/>
                <w:bCs/>
                <w:color w:val="000000" w:themeColor="text1"/>
                <w:lang w:eastAsia="zh-CN"/>
              </w:rPr>
            </w:pPr>
            <w:r w:rsidRPr="006B3767">
              <w:rPr>
                <w:rFonts w:ascii="Arial" w:eastAsia="Times New Roman" w:hAnsi="Arial" w:cs="Arial"/>
                <w:bCs/>
                <w:color w:val="000000" w:themeColor="text1"/>
                <w:lang w:eastAsia="zh-CN"/>
              </w:rPr>
              <w:t xml:space="preserve">If a UE is configured to monitor feedback request for one-shot HARQ-ACK codebook feedback and the feedback is requested in </w:t>
            </w:r>
            <w:r w:rsidRPr="006B3767">
              <w:rPr>
                <w:rFonts w:ascii="Arial" w:hAnsi="Arial" w:cs="Arial"/>
                <w:color w:val="000000" w:themeColor="text1"/>
                <w:lang w:eastAsia="x-none"/>
              </w:rPr>
              <w:t>DL DCI 1_1</w:t>
            </w:r>
          </w:p>
          <w:p w14:paraId="4EDB1601" w14:textId="77777777" w:rsidR="006B3767" w:rsidRPr="006B3767" w:rsidRDefault="006B3767" w:rsidP="006B3767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 w:themeColor="text1"/>
                <w:lang w:eastAsia="x-none"/>
              </w:rPr>
            </w:pPr>
            <w:r w:rsidRPr="006B3767">
              <w:rPr>
                <w:rFonts w:ascii="Arial" w:hAnsi="Arial" w:cs="Arial"/>
                <w:color w:val="000000" w:themeColor="text1"/>
                <w:lang w:eastAsia="x-none"/>
              </w:rPr>
              <w:t>This DL DCI can either schedule or not schedule a PDSCH</w:t>
            </w:r>
          </w:p>
          <w:p w14:paraId="45E802B3" w14:textId="77777777" w:rsidR="006B3767" w:rsidRPr="006B3767" w:rsidRDefault="006B3767" w:rsidP="006B3767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 w:themeColor="text1"/>
                <w:lang w:eastAsia="x-none"/>
              </w:rPr>
            </w:pPr>
            <w:r w:rsidRPr="006B3767">
              <w:rPr>
                <w:rFonts w:ascii="Arial" w:hAnsi="Arial" w:cs="Arial"/>
                <w:color w:val="000000" w:themeColor="text1"/>
                <w:highlight w:val="darkYellow"/>
                <w:lang w:eastAsia="x-none"/>
              </w:rPr>
              <w:t>Working assumption:</w:t>
            </w:r>
            <w:r w:rsidRPr="006B3767">
              <w:rPr>
                <w:rFonts w:ascii="Arial" w:hAnsi="Arial" w:cs="Arial"/>
                <w:color w:val="000000" w:themeColor="text1"/>
                <w:lang w:eastAsia="x-none"/>
              </w:rPr>
              <w:t xml:space="preserve"> One value of the frequency domain resource assignment field indicates that this DCI does not schedule a PDSCH</w:t>
            </w:r>
          </w:p>
          <w:p w14:paraId="70BC5ACD" w14:textId="77777777" w:rsidR="006B3767" w:rsidRPr="006B3767" w:rsidRDefault="006B3767" w:rsidP="006B3767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 w:themeColor="text1"/>
                <w:lang w:eastAsia="x-none"/>
              </w:rPr>
            </w:pPr>
            <w:r w:rsidRPr="006B3767">
              <w:rPr>
                <w:rFonts w:ascii="Arial" w:hAnsi="Arial" w:cs="Arial"/>
                <w:color w:val="000000" w:themeColor="text1"/>
                <w:lang w:eastAsia="x-none"/>
              </w:rPr>
              <w:t>If the DL DCI does not schedule a PDSCH, the HARQ process ID and NDI fields are ignored by the UE</w:t>
            </w:r>
          </w:p>
          <w:p w14:paraId="3D79C5FD" w14:textId="7C9FB03C" w:rsidR="006B3767" w:rsidRPr="006B3767" w:rsidRDefault="006B3767" w:rsidP="006B3767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 w:themeColor="text1"/>
                <w:lang w:eastAsia="x-none"/>
              </w:rPr>
            </w:pPr>
            <w:r w:rsidRPr="006B3767">
              <w:rPr>
                <w:rFonts w:ascii="Arial" w:hAnsi="Arial" w:cs="Arial"/>
                <w:color w:val="000000" w:themeColor="text1"/>
                <w:lang w:eastAsia="x-none"/>
              </w:rPr>
              <w:t>If UE is triggered to report both one-shot and other HARQ-ACK feedback in the same slot, the UE reports only the one-shot feedback.</w:t>
            </w:r>
          </w:p>
        </w:tc>
      </w:tr>
    </w:tbl>
    <w:p w14:paraId="7107BED0" w14:textId="37C2F32B" w:rsidR="006B3767" w:rsidRDefault="006B3767" w:rsidP="005B5DBE">
      <w:pPr>
        <w:spacing w:before="120"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One of remaining issues for HARQ feedback enhancement is how to define DCI format </w:t>
      </w:r>
      <w:r w:rsidR="001A3531">
        <w:rPr>
          <w:rFonts w:ascii="Arial" w:hAnsi="Arial" w:cs="Arial"/>
          <w:lang w:val="en-US" w:eastAsia="zh-CN"/>
        </w:rPr>
        <w:t>that</w:t>
      </w:r>
      <w:r>
        <w:rPr>
          <w:rFonts w:ascii="Arial" w:hAnsi="Arial" w:cs="Arial"/>
          <w:lang w:val="en-US" w:eastAsia="zh-CN"/>
        </w:rPr>
        <w:t xml:space="preserve"> trigger</w:t>
      </w:r>
      <w:r w:rsidR="001A3531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 xml:space="preserve"> one-shot HARQ-ACK feedback. </w:t>
      </w:r>
      <w:r w:rsidR="003A472D">
        <w:rPr>
          <w:rFonts w:ascii="Arial" w:hAnsi="Arial" w:cs="Arial"/>
          <w:lang w:val="en-US" w:eastAsia="zh-CN"/>
        </w:rPr>
        <w:t xml:space="preserve">NR supports two types of frequency domain resource allocation i.e. Type-0 and Type-1. Type 0 is a bitmap-based allocation schemes </w:t>
      </w:r>
      <w:r w:rsidR="005B5DBE">
        <w:rPr>
          <w:rFonts w:ascii="Arial" w:hAnsi="Arial" w:cs="Arial"/>
          <w:lang w:val="en-US" w:eastAsia="zh-CN"/>
        </w:rPr>
        <w:t xml:space="preserve">and each bit is associated with </w:t>
      </w:r>
      <w:r w:rsidR="001A3531">
        <w:rPr>
          <w:rFonts w:ascii="Arial" w:hAnsi="Arial" w:cs="Arial"/>
          <w:lang w:val="en-US" w:eastAsia="zh-CN"/>
        </w:rPr>
        <w:t>an</w:t>
      </w:r>
      <w:r w:rsidR="005B5DBE">
        <w:rPr>
          <w:rFonts w:ascii="Arial" w:hAnsi="Arial" w:cs="Arial"/>
          <w:lang w:val="en-US" w:eastAsia="zh-CN"/>
        </w:rPr>
        <w:t xml:space="preserve"> RBG. While, Type 1 resource allocation encodes the resource allocation as a start position and length of the contiguous RBs. To differentiate the DCI 1-1 without PDSCH scheduling with DCI format scheduling PDSCH transmission, one nature way is to set FDRA field to be all “0” for Type 0 and set to be all “1” for Type 1 RA. We therefore propose the following:</w:t>
      </w:r>
    </w:p>
    <w:p w14:paraId="58073F55" w14:textId="6C3EE6F1" w:rsidR="00113889" w:rsidRPr="00EA049A" w:rsidRDefault="00EA049A" w:rsidP="006B0894">
      <w:pPr>
        <w:spacing w:after="0"/>
        <w:rPr>
          <w:rFonts w:ascii="Arial" w:hAnsi="Arial" w:cs="Arial"/>
          <w:b/>
          <w:bCs/>
          <w:lang w:val="en-US" w:eastAsia="zh-CN"/>
        </w:rPr>
      </w:pPr>
      <w:r w:rsidRPr="00EA049A">
        <w:rPr>
          <w:rFonts w:ascii="Arial" w:hAnsi="Arial" w:cs="Arial"/>
          <w:b/>
          <w:bCs/>
          <w:lang w:val="en-US" w:eastAsia="zh-CN"/>
        </w:rPr>
        <w:t xml:space="preserve">Proposal 1: </w:t>
      </w:r>
    </w:p>
    <w:p w14:paraId="0A1849D0" w14:textId="713D59E1" w:rsidR="00067F48" w:rsidRDefault="006B0894" w:rsidP="00EA049A">
      <w:pPr>
        <w:pStyle w:val="ListParagraph"/>
        <w:numPr>
          <w:ilvl w:val="0"/>
          <w:numId w:val="11"/>
        </w:numPr>
        <w:tabs>
          <w:tab w:val="left" w:pos="1440"/>
        </w:tabs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Confirm the working assumption to use one value of the frequency domain resource assignment (FDRA) field to trigger one-shot HARQ-ACK codebook feedback </w:t>
      </w:r>
    </w:p>
    <w:p w14:paraId="59AE0094" w14:textId="773C6C7F" w:rsidR="006B0894" w:rsidRDefault="006B0894" w:rsidP="00EA049A">
      <w:pPr>
        <w:pStyle w:val="ListParagraph"/>
        <w:numPr>
          <w:ilvl w:val="0"/>
          <w:numId w:val="11"/>
        </w:numPr>
        <w:tabs>
          <w:tab w:val="left" w:pos="1440"/>
        </w:tabs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FDRA is set to all ‘0’ for type-0 resource allocation. </w:t>
      </w:r>
    </w:p>
    <w:p w14:paraId="641B472F" w14:textId="41EE70E0" w:rsidR="006B0894" w:rsidRDefault="006B0894" w:rsidP="00EA049A">
      <w:pPr>
        <w:pStyle w:val="ListParagraph"/>
        <w:numPr>
          <w:ilvl w:val="0"/>
          <w:numId w:val="11"/>
        </w:numPr>
        <w:tabs>
          <w:tab w:val="left" w:pos="1440"/>
        </w:tabs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FDRA is set to all ‘1’ for type-1 resource allocation. </w:t>
      </w:r>
    </w:p>
    <w:p w14:paraId="0592AF44" w14:textId="77777777" w:rsidR="00031300" w:rsidRDefault="00031300" w:rsidP="006B0894">
      <w:pPr>
        <w:tabs>
          <w:tab w:val="left" w:pos="1440"/>
        </w:tabs>
        <w:spacing w:after="120"/>
        <w:rPr>
          <w:rFonts w:ascii="Arial" w:hAnsi="Arial" w:cs="Arial"/>
          <w:lang w:val="en-US" w:eastAsia="zh-CN"/>
        </w:rPr>
      </w:pPr>
    </w:p>
    <w:p w14:paraId="14E12EF4" w14:textId="5C0DC8B1" w:rsidR="00564C06" w:rsidRDefault="00031300" w:rsidP="006B0894">
      <w:pPr>
        <w:tabs>
          <w:tab w:val="left" w:pos="1440"/>
        </w:tabs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Another FFS aspect for multi-TTI PUSCH scheduling is</w:t>
      </w:r>
      <w:r w:rsidR="00564C06">
        <w:rPr>
          <w:rFonts w:ascii="Arial" w:hAnsi="Arial" w:cs="Arial"/>
          <w:lang w:val="en-US" w:eastAsia="zh-CN"/>
        </w:rPr>
        <w:t xml:space="preserve"> to define</w:t>
      </w:r>
      <w:r>
        <w:rPr>
          <w:rFonts w:ascii="Arial" w:hAnsi="Arial" w:cs="Arial"/>
          <w:lang w:val="en-US" w:eastAsia="zh-CN"/>
        </w:rPr>
        <w:t xml:space="preserve"> the values </w:t>
      </w:r>
      <w:r w:rsidR="00564C06">
        <w:rPr>
          <w:rFonts w:ascii="Arial" w:hAnsi="Arial" w:cs="Arial"/>
          <w:lang w:val="en-US" w:eastAsia="zh-CN"/>
        </w:rPr>
        <w:t>for</w:t>
      </w:r>
      <w:r>
        <w:rPr>
          <w:rFonts w:ascii="Arial" w:hAnsi="Arial" w:cs="Arial"/>
          <w:lang w:val="en-US" w:eastAsia="zh-CN"/>
        </w:rPr>
        <w:t xml:space="preserve"> 1-bit </w:t>
      </w:r>
      <w:r w:rsidR="00564C06">
        <w:rPr>
          <w:rFonts w:ascii="Arial" w:hAnsi="Arial" w:cs="Arial"/>
          <w:lang w:val="en-US" w:eastAsia="zh-CN"/>
        </w:rPr>
        <w:t xml:space="preserve">RV </w:t>
      </w:r>
      <w:r>
        <w:rPr>
          <w:rFonts w:ascii="Arial" w:hAnsi="Arial" w:cs="Arial"/>
          <w:lang w:val="en-US" w:eastAsia="zh-CN"/>
        </w:rPr>
        <w:t>field</w:t>
      </w:r>
      <w:r w:rsidR="00564C06">
        <w:rPr>
          <w:rFonts w:ascii="Arial" w:hAnsi="Arial" w:cs="Arial"/>
          <w:lang w:val="en-US" w:eastAsia="zh-CN"/>
        </w:rPr>
        <w:t xml:space="preserve"> in scheduling DCI</w:t>
      </w:r>
      <w:r>
        <w:rPr>
          <w:rFonts w:ascii="Arial" w:hAnsi="Arial" w:cs="Arial"/>
          <w:lang w:val="en-US" w:eastAsia="zh-CN"/>
        </w:rPr>
        <w:t>.</w:t>
      </w:r>
      <w:r w:rsidR="00564C06">
        <w:rPr>
          <w:rFonts w:ascii="Arial" w:hAnsi="Arial" w:cs="Arial"/>
          <w:lang w:val="en-US" w:eastAsia="zh-CN"/>
        </w:rPr>
        <w:t xml:space="preserve"> More specially, two candidates i.e. 2 or 3 were identified for further study. The performance for RV =2 vs. 3 was extensively investigated through evaluation during Rel-15 phase and the following was agreed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64C06" w14:paraId="72CA6117" w14:textId="77777777" w:rsidTr="00564C06">
        <w:tc>
          <w:tcPr>
            <w:tcW w:w="9962" w:type="dxa"/>
          </w:tcPr>
          <w:p w14:paraId="58FB915C" w14:textId="77777777" w:rsidR="00564C06" w:rsidRPr="00346258" w:rsidRDefault="00564C06" w:rsidP="00564C06">
            <w:pPr>
              <w:spacing w:after="0"/>
              <w:rPr>
                <w:rFonts w:ascii="Arial" w:eastAsia="MS Mincho" w:hAnsi="Arial" w:cs="Arial"/>
                <w:b/>
                <w:u w:val="single"/>
                <w:lang w:eastAsia="ja-JP"/>
              </w:rPr>
            </w:pPr>
            <w:r w:rsidRPr="00346258">
              <w:rPr>
                <w:rFonts w:ascii="Arial" w:eastAsia="MS Mincho" w:hAnsi="Arial" w:cs="Arial"/>
                <w:b/>
                <w:u w:val="single"/>
                <w:lang w:eastAsia="ja-JP"/>
              </w:rPr>
              <w:t xml:space="preserve">Observations: </w:t>
            </w:r>
          </w:p>
          <w:p w14:paraId="460466BD" w14:textId="77777777" w:rsidR="00564C06" w:rsidRPr="00346258" w:rsidRDefault="00564C06" w:rsidP="00564C06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346258">
              <w:rPr>
                <w:rFonts w:ascii="Arial" w:eastAsia="MS Mincho" w:hAnsi="Arial" w:cs="Arial"/>
                <w:lang w:eastAsia="ja-JP"/>
              </w:rPr>
              <w:t xml:space="preserve">If performance is the priority, {0,2,3,1} should be used. </w:t>
            </w:r>
          </w:p>
          <w:p w14:paraId="31E64537" w14:textId="77777777" w:rsidR="00564C06" w:rsidRPr="00346258" w:rsidRDefault="00564C06" w:rsidP="00564C06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346258">
              <w:rPr>
                <w:rFonts w:ascii="Arial" w:eastAsia="MS Mincho" w:hAnsi="Arial" w:cs="Arial"/>
                <w:lang w:eastAsia="ja-JP"/>
              </w:rPr>
              <w:t>If self-decodability is the priority, it should be taken into account that the upper limit of the code rate at which each RV is self-decodable is in the following order: 0&gt;3&gt;&gt;2&gt;1</w:t>
            </w:r>
          </w:p>
          <w:p w14:paraId="69FA1FAD" w14:textId="77777777" w:rsidR="00564C06" w:rsidRPr="00346258" w:rsidRDefault="00564C06" w:rsidP="00564C06">
            <w:pPr>
              <w:spacing w:after="0"/>
              <w:rPr>
                <w:rFonts w:ascii="Arial" w:eastAsia="MS Mincho" w:hAnsi="Arial" w:cs="Arial"/>
                <w:lang w:eastAsia="ja-JP"/>
              </w:rPr>
            </w:pPr>
          </w:p>
          <w:p w14:paraId="3B9E21BD" w14:textId="77777777" w:rsidR="00564C06" w:rsidRPr="00346258" w:rsidRDefault="00564C06" w:rsidP="00564C06">
            <w:pPr>
              <w:spacing w:after="0"/>
              <w:rPr>
                <w:rFonts w:ascii="Arial" w:eastAsia="MS Mincho" w:hAnsi="Arial" w:cs="Arial"/>
                <w:b/>
                <w:highlight w:val="green"/>
                <w:u w:val="single"/>
                <w:lang w:eastAsia="ja-JP"/>
              </w:rPr>
            </w:pPr>
            <w:r w:rsidRPr="00346258">
              <w:rPr>
                <w:rFonts w:ascii="Arial" w:eastAsia="MS Mincho" w:hAnsi="Arial" w:cs="Arial"/>
                <w:b/>
                <w:highlight w:val="green"/>
                <w:u w:val="single"/>
                <w:lang w:eastAsia="ja-JP"/>
              </w:rPr>
              <w:t xml:space="preserve">Agreement: </w:t>
            </w:r>
          </w:p>
          <w:p w14:paraId="271BDBC2" w14:textId="0A0B9581" w:rsidR="00564C06" w:rsidRPr="00564C06" w:rsidRDefault="00564C06" w:rsidP="00564C06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346258">
              <w:rPr>
                <w:rFonts w:ascii="Arial" w:eastAsia="MS Mincho" w:hAnsi="Arial" w:cs="Arial"/>
                <w:lang w:eastAsia="ja-JP"/>
              </w:rPr>
              <w:t>The default RV order is {0,2,3,1} for cases where RV index is not explicitly signalled or otherwise specified and there is no ambiguity about which instance of a transmission occurred, for both BG1 and BG2</w:t>
            </w:r>
          </w:p>
        </w:tc>
      </w:tr>
    </w:tbl>
    <w:p w14:paraId="20C9D32D" w14:textId="3E69766C" w:rsidR="006B0894" w:rsidRDefault="00564C06" w:rsidP="00564C06">
      <w:pPr>
        <w:tabs>
          <w:tab w:val="left" w:pos="1440"/>
        </w:tabs>
        <w:spacing w:before="120"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lastRenderedPageBreak/>
        <w:t xml:space="preserve">Based on the observation above, our preference is to adopt RV=2 for PUSCH </w:t>
      </w:r>
      <w:r w:rsidR="006E1B1D">
        <w:rPr>
          <w:rFonts w:ascii="Arial" w:hAnsi="Arial" w:cs="Arial"/>
          <w:lang w:val="en-US" w:eastAsia="zh-CN"/>
        </w:rPr>
        <w:t>re</w:t>
      </w:r>
      <w:r>
        <w:rPr>
          <w:rFonts w:ascii="Arial" w:hAnsi="Arial" w:cs="Arial"/>
          <w:lang w:val="en-US" w:eastAsia="zh-CN"/>
        </w:rPr>
        <w:t xml:space="preserve">transmission </w:t>
      </w:r>
      <w:r w:rsidR="006E1B1D">
        <w:rPr>
          <w:rFonts w:ascii="Arial" w:hAnsi="Arial" w:cs="Arial"/>
          <w:lang w:val="en-US" w:eastAsia="zh-CN"/>
        </w:rPr>
        <w:t>scheduled by</w:t>
      </w:r>
      <w:r>
        <w:rPr>
          <w:rFonts w:ascii="Arial" w:hAnsi="Arial" w:cs="Arial"/>
          <w:lang w:val="en-US" w:eastAsia="zh-CN"/>
        </w:rPr>
        <w:t xml:space="preserve"> multi-TTI </w:t>
      </w:r>
      <w:r w:rsidR="006E1B1D">
        <w:rPr>
          <w:rFonts w:ascii="Arial" w:hAnsi="Arial" w:cs="Arial"/>
          <w:lang w:val="en-US" w:eastAsia="zh-CN"/>
        </w:rPr>
        <w:t xml:space="preserve">DCI format </w:t>
      </w:r>
      <w:r>
        <w:rPr>
          <w:rFonts w:ascii="Arial" w:hAnsi="Arial" w:cs="Arial"/>
          <w:lang w:val="en-US" w:eastAsia="zh-CN"/>
        </w:rPr>
        <w:t>to maximize the throughput performance</w:t>
      </w:r>
      <w:r w:rsidR="006E1B1D">
        <w:rPr>
          <w:rFonts w:ascii="Arial" w:hAnsi="Arial" w:cs="Arial"/>
          <w:lang w:val="en-US" w:eastAsia="zh-CN"/>
        </w:rPr>
        <w:t xml:space="preserve"> of targeted eMBB traffic</w:t>
      </w:r>
      <w:r>
        <w:rPr>
          <w:rFonts w:ascii="Arial" w:hAnsi="Arial" w:cs="Arial"/>
          <w:lang w:val="en-US" w:eastAsia="zh-CN"/>
        </w:rPr>
        <w:t xml:space="preserve">.  </w:t>
      </w:r>
    </w:p>
    <w:p w14:paraId="041A1BF8" w14:textId="06D8CB37" w:rsidR="006B0894" w:rsidRPr="006B0894" w:rsidRDefault="006B0894" w:rsidP="006B0894">
      <w:pPr>
        <w:tabs>
          <w:tab w:val="left" w:pos="1440"/>
        </w:tabs>
        <w:spacing w:after="0"/>
        <w:rPr>
          <w:rFonts w:ascii="Arial" w:hAnsi="Arial" w:cs="Arial"/>
          <w:b/>
          <w:bCs/>
          <w:lang w:val="en-US" w:eastAsia="zh-CN"/>
        </w:rPr>
      </w:pPr>
      <w:r w:rsidRPr="006B0894">
        <w:rPr>
          <w:rFonts w:ascii="Arial" w:hAnsi="Arial" w:cs="Arial"/>
          <w:b/>
          <w:bCs/>
          <w:lang w:val="en-US" w:eastAsia="zh-CN"/>
        </w:rPr>
        <w:t xml:space="preserve">Proposal 2: </w:t>
      </w:r>
    </w:p>
    <w:p w14:paraId="45F8A3DE" w14:textId="3E0F98D9" w:rsidR="006B0894" w:rsidRPr="006B0894" w:rsidRDefault="006B0894" w:rsidP="006B0894">
      <w:pPr>
        <w:pStyle w:val="ListParagraph"/>
        <w:numPr>
          <w:ilvl w:val="0"/>
          <w:numId w:val="12"/>
        </w:numPr>
        <w:tabs>
          <w:tab w:val="left" w:pos="1440"/>
        </w:tabs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The single RV values is chosen from {0, 2}</w:t>
      </w:r>
    </w:p>
    <w:p w14:paraId="40028204" w14:textId="77777777" w:rsidR="006E2C0F" w:rsidRPr="005A4E4F" w:rsidRDefault="006E2C0F" w:rsidP="006E2C0F">
      <w:pPr>
        <w:pStyle w:val="Heading1"/>
        <w:rPr>
          <w:rFonts w:cs="Arial"/>
          <w:lang w:val="en-US" w:eastAsia="zh-CN"/>
        </w:rPr>
      </w:pPr>
      <w:r w:rsidRPr="00B822B1">
        <w:rPr>
          <w:rFonts w:cs="Arial"/>
          <w:lang w:val="en-US"/>
        </w:rPr>
        <w:t>3. C</w:t>
      </w:r>
      <w:r w:rsidRPr="00B822B1">
        <w:rPr>
          <w:rFonts w:cs="Arial"/>
          <w:lang w:val="en-US" w:eastAsia="zh-CN"/>
        </w:rPr>
        <w:t xml:space="preserve">onclusion </w:t>
      </w:r>
    </w:p>
    <w:p w14:paraId="2A1CE89A" w14:textId="6F38FDEF" w:rsidR="006E2C0F" w:rsidRDefault="0024338D" w:rsidP="006E2C0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this contribution, we discussed FFS aspects of DCI details</w:t>
      </w:r>
      <w:r w:rsidR="00042BB0">
        <w:rPr>
          <w:rFonts w:ascii="Arial" w:hAnsi="Arial" w:cs="Arial"/>
          <w:lang w:val="en-US"/>
        </w:rPr>
        <w:t xml:space="preserve"> for one-shot HARQ-ACK feedback triggering</w:t>
      </w:r>
      <w:r>
        <w:rPr>
          <w:rFonts w:ascii="Arial" w:hAnsi="Arial" w:cs="Arial"/>
          <w:lang w:val="en-US"/>
        </w:rPr>
        <w:t xml:space="preserve"> and RV order determination for multi-TTI PUSCH scheduling. Based on the discussions, we proposed the following: </w:t>
      </w:r>
    </w:p>
    <w:p w14:paraId="14C46993" w14:textId="77777777" w:rsidR="0024338D" w:rsidRPr="00EA049A" w:rsidRDefault="0024338D" w:rsidP="0024338D">
      <w:pPr>
        <w:spacing w:after="0"/>
        <w:rPr>
          <w:rFonts w:ascii="Arial" w:hAnsi="Arial" w:cs="Arial"/>
          <w:b/>
          <w:bCs/>
          <w:lang w:val="en-US" w:eastAsia="zh-CN"/>
        </w:rPr>
      </w:pPr>
      <w:r w:rsidRPr="00EA049A">
        <w:rPr>
          <w:rFonts w:ascii="Arial" w:hAnsi="Arial" w:cs="Arial"/>
          <w:b/>
          <w:bCs/>
          <w:lang w:val="en-US" w:eastAsia="zh-CN"/>
        </w:rPr>
        <w:t xml:space="preserve">Proposal 1: </w:t>
      </w:r>
    </w:p>
    <w:p w14:paraId="4E12ED5D" w14:textId="77777777" w:rsidR="0024338D" w:rsidRDefault="0024338D" w:rsidP="0024338D">
      <w:pPr>
        <w:pStyle w:val="ListParagraph"/>
        <w:numPr>
          <w:ilvl w:val="0"/>
          <w:numId w:val="11"/>
        </w:numPr>
        <w:tabs>
          <w:tab w:val="left" w:pos="1440"/>
        </w:tabs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Confirm the working assumption to use one value of the frequency domain resource assignment (FDRA) field to trigger one-shot HARQ-ACK codebook feedback </w:t>
      </w:r>
    </w:p>
    <w:p w14:paraId="4728F522" w14:textId="77777777" w:rsidR="0024338D" w:rsidRDefault="0024338D" w:rsidP="0024338D">
      <w:pPr>
        <w:pStyle w:val="ListParagraph"/>
        <w:numPr>
          <w:ilvl w:val="0"/>
          <w:numId w:val="11"/>
        </w:numPr>
        <w:tabs>
          <w:tab w:val="left" w:pos="1440"/>
        </w:tabs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FDRA is set to all ‘0’ for type-0 resource allocation. </w:t>
      </w:r>
    </w:p>
    <w:p w14:paraId="0950E5DB" w14:textId="77777777" w:rsidR="0024338D" w:rsidRDefault="0024338D" w:rsidP="0024338D">
      <w:pPr>
        <w:pStyle w:val="ListParagraph"/>
        <w:numPr>
          <w:ilvl w:val="0"/>
          <w:numId w:val="11"/>
        </w:numPr>
        <w:tabs>
          <w:tab w:val="left" w:pos="1440"/>
        </w:tabs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FDRA is set to all ‘1’ for type-1 resource allocation. </w:t>
      </w:r>
    </w:p>
    <w:p w14:paraId="2DA64CBE" w14:textId="77777777" w:rsidR="0024338D" w:rsidRPr="006B0894" w:rsidRDefault="0024338D" w:rsidP="0024338D">
      <w:pPr>
        <w:tabs>
          <w:tab w:val="left" w:pos="1440"/>
        </w:tabs>
        <w:spacing w:after="0"/>
        <w:rPr>
          <w:rFonts w:ascii="Arial" w:hAnsi="Arial" w:cs="Arial"/>
          <w:b/>
          <w:bCs/>
          <w:lang w:val="en-US" w:eastAsia="zh-CN"/>
        </w:rPr>
      </w:pPr>
      <w:r w:rsidRPr="006B0894">
        <w:rPr>
          <w:rFonts w:ascii="Arial" w:hAnsi="Arial" w:cs="Arial"/>
          <w:b/>
          <w:bCs/>
          <w:lang w:val="en-US" w:eastAsia="zh-CN"/>
        </w:rPr>
        <w:t xml:space="preserve">Proposal 2: </w:t>
      </w:r>
    </w:p>
    <w:p w14:paraId="5FDADA7B" w14:textId="77777777" w:rsidR="0024338D" w:rsidRPr="006B0894" w:rsidRDefault="0024338D" w:rsidP="0024338D">
      <w:pPr>
        <w:pStyle w:val="ListParagraph"/>
        <w:numPr>
          <w:ilvl w:val="0"/>
          <w:numId w:val="12"/>
        </w:numPr>
        <w:tabs>
          <w:tab w:val="left" w:pos="1440"/>
        </w:tabs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The single RV values is chosen from {0, 2}</w:t>
      </w:r>
    </w:p>
    <w:p w14:paraId="3C4F1A60" w14:textId="77777777" w:rsidR="0024338D" w:rsidRDefault="0024338D" w:rsidP="006E2C0F">
      <w:pPr>
        <w:rPr>
          <w:rFonts w:ascii="Arial" w:hAnsi="Arial" w:cs="Arial"/>
          <w:lang w:val="en-US"/>
        </w:rPr>
      </w:pPr>
    </w:p>
    <w:p w14:paraId="7E2A3AAF" w14:textId="77777777" w:rsidR="006E2C0F" w:rsidRPr="00B822B1" w:rsidRDefault="006E2C0F" w:rsidP="006E2C0F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 w:rsidRPr="00B822B1">
        <w:rPr>
          <w:rFonts w:cs="Arial"/>
          <w:lang w:val="en-US"/>
        </w:rPr>
        <w:t>References</w:t>
      </w:r>
    </w:p>
    <w:p w14:paraId="4AF0423F" w14:textId="61CD6E6C" w:rsidR="006E2C0F" w:rsidRDefault="006E2C0F" w:rsidP="006E2C0F">
      <w:pPr>
        <w:numPr>
          <w:ilvl w:val="0"/>
          <w:numId w:val="1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RAN1 Chairman’s Notes, RAN1 #9</w:t>
      </w:r>
      <w:r w:rsidR="00993785">
        <w:rPr>
          <w:rFonts w:ascii="Arial" w:hAnsi="Arial" w:cs="Arial"/>
          <w:lang w:val="en-US" w:eastAsia="zh-CN"/>
        </w:rPr>
        <w:t>9</w:t>
      </w:r>
      <w:r>
        <w:rPr>
          <w:rFonts w:ascii="Arial" w:hAnsi="Arial" w:cs="Arial"/>
          <w:lang w:val="en-US" w:eastAsia="zh-CN"/>
        </w:rPr>
        <w:t xml:space="preserve"> </w:t>
      </w:r>
    </w:p>
    <w:p w14:paraId="21120A64" w14:textId="6AEC003D" w:rsidR="00564C06" w:rsidRPr="00564C06" w:rsidRDefault="00564C06" w:rsidP="00564C06">
      <w:pPr>
        <w:numPr>
          <w:ilvl w:val="0"/>
          <w:numId w:val="1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RAN1 Chairman’s Notes, RAN1 #90bis </w:t>
      </w:r>
    </w:p>
    <w:p w14:paraId="62888137" w14:textId="7CBF497A" w:rsidR="00F20322" w:rsidRPr="00F20322" w:rsidRDefault="00103353" w:rsidP="005A3B69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  </w:t>
      </w:r>
    </w:p>
    <w:sectPr w:rsidR="00F20322" w:rsidRPr="00F20322" w:rsidSect="00B975F2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29EA1E" w14:textId="77777777" w:rsidR="00737377" w:rsidRDefault="00737377">
      <w:pPr>
        <w:spacing w:after="0"/>
      </w:pPr>
      <w:r>
        <w:separator/>
      </w:r>
    </w:p>
  </w:endnote>
  <w:endnote w:type="continuationSeparator" w:id="0">
    <w:p w14:paraId="2FFFA183" w14:textId="77777777" w:rsidR="00737377" w:rsidRDefault="007373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Ericsson Capital TT">
    <w:altName w:val="Calibri"/>
    <w:panose1 w:val="020B0604020202020204"/>
    <w:charset w:val="00"/>
    <w:family w:val="auto"/>
    <w:pitch w:val="variable"/>
    <w:sig w:usb0="800002A7" w:usb1="40000000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6F7E6" w14:textId="77777777" w:rsidR="0008544E" w:rsidRDefault="003F35C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90F624" w14:textId="77777777" w:rsidR="0008544E" w:rsidRDefault="0073737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7FFA7" w14:textId="77777777" w:rsidR="0008544E" w:rsidRDefault="003F35C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D5E769" w14:textId="77777777" w:rsidR="00737377" w:rsidRDefault="00737377">
      <w:pPr>
        <w:spacing w:after="0"/>
      </w:pPr>
      <w:r>
        <w:separator/>
      </w:r>
    </w:p>
  </w:footnote>
  <w:footnote w:type="continuationSeparator" w:id="0">
    <w:p w14:paraId="5B7CD840" w14:textId="77777777" w:rsidR="00737377" w:rsidRDefault="007373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1A641" w14:textId="77777777" w:rsidR="0008544E" w:rsidRDefault="003F35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21C57"/>
    <w:multiLevelType w:val="hybridMultilevel"/>
    <w:tmpl w:val="6C020CD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DC414D"/>
    <w:multiLevelType w:val="hybridMultilevel"/>
    <w:tmpl w:val="D2DAAC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6C64158"/>
    <w:multiLevelType w:val="hybridMultilevel"/>
    <w:tmpl w:val="2EB652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0D5227D"/>
    <w:multiLevelType w:val="hybridMultilevel"/>
    <w:tmpl w:val="A6348C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1B11CBD"/>
    <w:multiLevelType w:val="multilevel"/>
    <w:tmpl w:val="31B11CB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E2979AC"/>
    <w:multiLevelType w:val="hybridMultilevel"/>
    <w:tmpl w:val="02B2A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616939"/>
    <w:multiLevelType w:val="hybridMultilevel"/>
    <w:tmpl w:val="EE4A3102"/>
    <w:lvl w:ilvl="0" w:tplc="8CA88F10">
      <w:numFmt w:val="bullet"/>
      <w:lvlText w:val="-"/>
      <w:lvlJc w:val="left"/>
      <w:pPr>
        <w:ind w:left="720" w:hanging="360"/>
      </w:pPr>
      <w:rPr>
        <w:rFonts w:ascii="PMingLiU" w:eastAsia="Cambria" w:hAnsi="PMingLiU" w:cs="PMingLiU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Ericsson Capital TT" w:hAnsi="Ericsson Capital TT" w:cs="Ericsson Capital TT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entury" w:hAnsi="Century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Helvetica" w:hAnsi="Helvetica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Ericsson Capital TT" w:hAnsi="Ericsson Capital TT" w:cs="Ericsson Capital TT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entury" w:hAnsi="Century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Helvetica" w:hAnsi="Helvetica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Ericsson Capital TT" w:hAnsi="Ericsson Capital TT" w:cs="Ericsson Capital TT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entury" w:hAnsi="Century" w:hint="default"/>
      </w:rPr>
    </w:lvl>
  </w:abstractNum>
  <w:abstractNum w:abstractNumId="7" w15:restartNumberingAfterBreak="0">
    <w:nsid w:val="486A5B00"/>
    <w:multiLevelType w:val="hybridMultilevel"/>
    <w:tmpl w:val="EADEF13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9657C73"/>
    <w:multiLevelType w:val="hybridMultilevel"/>
    <w:tmpl w:val="17B61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965590"/>
    <w:multiLevelType w:val="hybridMultilevel"/>
    <w:tmpl w:val="C1F42AB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5DF2538"/>
    <w:multiLevelType w:val="hybridMultilevel"/>
    <w:tmpl w:val="29DC342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0E213B0"/>
    <w:multiLevelType w:val="hybridMultilevel"/>
    <w:tmpl w:val="3E024AC2"/>
    <w:lvl w:ilvl="0" w:tplc="B1DE3838">
      <w:start w:val="1"/>
      <w:numFmt w:val="decimal"/>
      <w:lvlText w:val="[%1]."/>
      <w:lvlJc w:val="left"/>
      <w:pPr>
        <w:ind w:left="420" w:hanging="420"/>
      </w:pPr>
      <w:rPr>
        <w:rFonts w:hint="eastAsia"/>
        <w:sz w:val="20"/>
        <w:szCs w:val="16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5B44512"/>
    <w:multiLevelType w:val="multilevel"/>
    <w:tmpl w:val="75B445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C192FB2"/>
    <w:multiLevelType w:val="hybridMultilevel"/>
    <w:tmpl w:val="01BCF24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13"/>
  </w:num>
  <w:num w:numId="4">
    <w:abstractNumId w:val="4"/>
  </w:num>
  <w:num w:numId="5">
    <w:abstractNumId w:val="3"/>
  </w:num>
  <w:num w:numId="6">
    <w:abstractNumId w:val="8"/>
  </w:num>
  <w:num w:numId="7">
    <w:abstractNumId w:val="1"/>
  </w:num>
  <w:num w:numId="8">
    <w:abstractNumId w:val="12"/>
  </w:num>
  <w:num w:numId="9">
    <w:abstractNumId w:val="5"/>
  </w:num>
  <w:num w:numId="10">
    <w:abstractNumId w:val="0"/>
  </w:num>
  <w:num w:numId="11">
    <w:abstractNumId w:val="9"/>
  </w:num>
  <w:num w:numId="12">
    <w:abstractNumId w:val="10"/>
  </w:num>
  <w:num w:numId="13">
    <w:abstractNumId w:val="2"/>
  </w:num>
  <w:num w:numId="14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B01"/>
    <w:rsid w:val="000069B9"/>
    <w:rsid w:val="00007165"/>
    <w:rsid w:val="00015206"/>
    <w:rsid w:val="000249C9"/>
    <w:rsid w:val="00026F2D"/>
    <w:rsid w:val="00031300"/>
    <w:rsid w:val="000402EC"/>
    <w:rsid w:val="00041822"/>
    <w:rsid w:val="00042BB0"/>
    <w:rsid w:val="00043EA5"/>
    <w:rsid w:val="0006735F"/>
    <w:rsid w:val="00067F48"/>
    <w:rsid w:val="000722C9"/>
    <w:rsid w:val="0007709B"/>
    <w:rsid w:val="000823E0"/>
    <w:rsid w:val="0008305E"/>
    <w:rsid w:val="00095DA3"/>
    <w:rsid w:val="000A26CE"/>
    <w:rsid w:val="000A416F"/>
    <w:rsid w:val="000A6B9F"/>
    <w:rsid w:val="000A76C8"/>
    <w:rsid w:val="000B2B28"/>
    <w:rsid w:val="000B3A78"/>
    <w:rsid w:val="000B658A"/>
    <w:rsid w:val="000B7C34"/>
    <w:rsid w:val="000C0C40"/>
    <w:rsid w:val="000C2B74"/>
    <w:rsid w:val="000C2C4D"/>
    <w:rsid w:val="000C6A59"/>
    <w:rsid w:val="000D2239"/>
    <w:rsid w:val="000E190D"/>
    <w:rsid w:val="000F2FCE"/>
    <w:rsid w:val="00102F82"/>
    <w:rsid w:val="00103353"/>
    <w:rsid w:val="00113889"/>
    <w:rsid w:val="001156E0"/>
    <w:rsid w:val="00141FAE"/>
    <w:rsid w:val="0014729A"/>
    <w:rsid w:val="00147A76"/>
    <w:rsid w:val="00152571"/>
    <w:rsid w:val="00153144"/>
    <w:rsid w:val="00164DCB"/>
    <w:rsid w:val="0017286E"/>
    <w:rsid w:val="00177AA3"/>
    <w:rsid w:val="00180C2B"/>
    <w:rsid w:val="00181D34"/>
    <w:rsid w:val="00183D1D"/>
    <w:rsid w:val="00184909"/>
    <w:rsid w:val="00185D56"/>
    <w:rsid w:val="00187556"/>
    <w:rsid w:val="001949AF"/>
    <w:rsid w:val="0019645A"/>
    <w:rsid w:val="001A000F"/>
    <w:rsid w:val="001A028F"/>
    <w:rsid w:val="001A255D"/>
    <w:rsid w:val="001A3531"/>
    <w:rsid w:val="001B12E0"/>
    <w:rsid w:val="001B179E"/>
    <w:rsid w:val="001D0F43"/>
    <w:rsid w:val="001D681E"/>
    <w:rsid w:val="001E0BBB"/>
    <w:rsid w:val="001E7186"/>
    <w:rsid w:val="001F0DAD"/>
    <w:rsid w:val="002028B1"/>
    <w:rsid w:val="00203A90"/>
    <w:rsid w:val="002053BF"/>
    <w:rsid w:val="002259B3"/>
    <w:rsid w:val="00231D54"/>
    <w:rsid w:val="00233D51"/>
    <w:rsid w:val="00240384"/>
    <w:rsid w:val="00242992"/>
    <w:rsid w:val="0024338D"/>
    <w:rsid w:val="00260B38"/>
    <w:rsid w:val="002623A4"/>
    <w:rsid w:val="00262722"/>
    <w:rsid w:val="00271393"/>
    <w:rsid w:val="00272E2E"/>
    <w:rsid w:val="00275A4E"/>
    <w:rsid w:val="00284187"/>
    <w:rsid w:val="00297FC4"/>
    <w:rsid w:val="002C1749"/>
    <w:rsid w:val="002E05FB"/>
    <w:rsid w:val="002F71D5"/>
    <w:rsid w:val="00330585"/>
    <w:rsid w:val="00334BE9"/>
    <w:rsid w:val="00340928"/>
    <w:rsid w:val="003545E1"/>
    <w:rsid w:val="00363BBA"/>
    <w:rsid w:val="00366323"/>
    <w:rsid w:val="003731A2"/>
    <w:rsid w:val="003738FB"/>
    <w:rsid w:val="00377C96"/>
    <w:rsid w:val="00382208"/>
    <w:rsid w:val="00391B0F"/>
    <w:rsid w:val="003A310B"/>
    <w:rsid w:val="003A472D"/>
    <w:rsid w:val="003B03BE"/>
    <w:rsid w:val="003B6437"/>
    <w:rsid w:val="003B6BBC"/>
    <w:rsid w:val="003D38F9"/>
    <w:rsid w:val="003D5D41"/>
    <w:rsid w:val="003E59A3"/>
    <w:rsid w:val="003E603B"/>
    <w:rsid w:val="003F0EA8"/>
    <w:rsid w:val="003F2794"/>
    <w:rsid w:val="003F35C9"/>
    <w:rsid w:val="00400CE6"/>
    <w:rsid w:val="00405A83"/>
    <w:rsid w:val="00407E8A"/>
    <w:rsid w:val="0041001B"/>
    <w:rsid w:val="004229CC"/>
    <w:rsid w:val="00431C40"/>
    <w:rsid w:val="00443035"/>
    <w:rsid w:val="00443491"/>
    <w:rsid w:val="00445FFE"/>
    <w:rsid w:val="00447402"/>
    <w:rsid w:val="004548E6"/>
    <w:rsid w:val="00454A6C"/>
    <w:rsid w:val="004611B2"/>
    <w:rsid w:val="004655DA"/>
    <w:rsid w:val="00466178"/>
    <w:rsid w:val="00471A02"/>
    <w:rsid w:val="0048043C"/>
    <w:rsid w:val="004819B6"/>
    <w:rsid w:val="00485C82"/>
    <w:rsid w:val="0048770B"/>
    <w:rsid w:val="0049534F"/>
    <w:rsid w:val="004B5169"/>
    <w:rsid w:val="004B6F98"/>
    <w:rsid w:val="004C0437"/>
    <w:rsid w:val="004C49E0"/>
    <w:rsid w:val="004D2DC9"/>
    <w:rsid w:val="004D40BD"/>
    <w:rsid w:val="004E0AC9"/>
    <w:rsid w:val="004E774D"/>
    <w:rsid w:val="004F2023"/>
    <w:rsid w:val="004F2F7E"/>
    <w:rsid w:val="004F5218"/>
    <w:rsid w:val="0050071A"/>
    <w:rsid w:val="00501D54"/>
    <w:rsid w:val="00520A3E"/>
    <w:rsid w:val="00525663"/>
    <w:rsid w:val="005263EF"/>
    <w:rsid w:val="00555285"/>
    <w:rsid w:val="00563D5B"/>
    <w:rsid w:val="00564C06"/>
    <w:rsid w:val="0057150E"/>
    <w:rsid w:val="00576BFF"/>
    <w:rsid w:val="0057736C"/>
    <w:rsid w:val="00593B39"/>
    <w:rsid w:val="005970B6"/>
    <w:rsid w:val="005A29B3"/>
    <w:rsid w:val="005A3B69"/>
    <w:rsid w:val="005B5DBE"/>
    <w:rsid w:val="005C2A5F"/>
    <w:rsid w:val="005C4F14"/>
    <w:rsid w:val="005C60B7"/>
    <w:rsid w:val="005D0604"/>
    <w:rsid w:val="005D4FB0"/>
    <w:rsid w:val="005D79A4"/>
    <w:rsid w:val="005E3610"/>
    <w:rsid w:val="006043EE"/>
    <w:rsid w:val="00606297"/>
    <w:rsid w:val="00644D23"/>
    <w:rsid w:val="00645311"/>
    <w:rsid w:val="006509D1"/>
    <w:rsid w:val="00667384"/>
    <w:rsid w:val="006749E4"/>
    <w:rsid w:val="00682D7B"/>
    <w:rsid w:val="00685B8E"/>
    <w:rsid w:val="006869DE"/>
    <w:rsid w:val="0068700F"/>
    <w:rsid w:val="00697B95"/>
    <w:rsid w:val="006A2559"/>
    <w:rsid w:val="006A2EE3"/>
    <w:rsid w:val="006A31A3"/>
    <w:rsid w:val="006B0894"/>
    <w:rsid w:val="006B3767"/>
    <w:rsid w:val="006C4449"/>
    <w:rsid w:val="006C732E"/>
    <w:rsid w:val="006D541A"/>
    <w:rsid w:val="006D7A1D"/>
    <w:rsid w:val="006E01EC"/>
    <w:rsid w:val="006E1B1D"/>
    <w:rsid w:val="006E2C0F"/>
    <w:rsid w:val="006F0588"/>
    <w:rsid w:val="006F6603"/>
    <w:rsid w:val="007036A1"/>
    <w:rsid w:val="00704042"/>
    <w:rsid w:val="0071248E"/>
    <w:rsid w:val="00720763"/>
    <w:rsid w:val="00732A75"/>
    <w:rsid w:val="00734D54"/>
    <w:rsid w:val="00737377"/>
    <w:rsid w:val="00762821"/>
    <w:rsid w:val="00765E1F"/>
    <w:rsid w:val="007718DC"/>
    <w:rsid w:val="00782E13"/>
    <w:rsid w:val="00786F91"/>
    <w:rsid w:val="0079062E"/>
    <w:rsid w:val="00790F4B"/>
    <w:rsid w:val="007972AD"/>
    <w:rsid w:val="007A2149"/>
    <w:rsid w:val="007B36BD"/>
    <w:rsid w:val="007C1BB7"/>
    <w:rsid w:val="007D05CA"/>
    <w:rsid w:val="007D33A8"/>
    <w:rsid w:val="007D41A1"/>
    <w:rsid w:val="007E190F"/>
    <w:rsid w:val="007F4D7C"/>
    <w:rsid w:val="00800BED"/>
    <w:rsid w:val="008075B0"/>
    <w:rsid w:val="00807DA8"/>
    <w:rsid w:val="00813070"/>
    <w:rsid w:val="00817F95"/>
    <w:rsid w:val="008220E8"/>
    <w:rsid w:val="00827205"/>
    <w:rsid w:val="00832806"/>
    <w:rsid w:val="0086554A"/>
    <w:rsid w:val="008701E7"/>
    <w:rsid w:val="0087502E"/>
    <w:rsid w:val="008A0096"/>
    <w:rsid w:val="008A1688"/>
    <w:rsid w:val="008A5144"/>
    <w:rsid w:val="008B1217"/>
    <w:rsid w:val="008C021C"/>
    <w:rsid w:val="008C3FAC"/>
    <w:rsid w:val="008D1D46"/>
    <w:rsid w:val="008D2CDB"/>
    <w:rsid w:val="008D7057"/>
    <w:rsid w:val="008F2A4F"/>
    <w:rsid w:val="008F6C71"/>
    <w:rsid w:val="00901A73"/>
    <w:rsid w:val="00906300"/>
    <w:rsid w:val="00924ECE"/>
    <w:rsid w:val="00930255"/>
    <w:rsid w:val="00931CC7"/>
    <w:rsid w:val="0093250F"/>
    <w:rsid w:val="00932CDF"/>
    <w:rsid w:val="009433FA"/>
    <w:rsid w:val="009502F4"/>
    <w:rsid w:val="00953DA3"/>
    <w:rsid w:val="0095568E"/>
    <w:rsid w:val="0096275C"/>
    <w:rsid w:val="0096551C"/>
    <w:rsid w:val="009658D8"/>
    <w:rsid w:val="00970B58"/>
    <w:rsid w:val="00974F9D"/>
    <w:rsid w:val="00993785"/>
    <w:rsid w:val="009A4152"/>
    <w:rsid w:val="009A42A2"/>
    <w:rsid w:val="009B02B8"/>
    <w:rsid w:val="009B2881"/>
    <w:rsid w:val="009B432B"/>
    <w:rsid w:val="009B7A4B"/>
    <w:rsid w:val="009C6EFD"/>
    <w:rsid w:val="009D3968"/>
    <w:rsid w:val="009E3226"/>
    <w:rsid w:val="009E59FA"/>
    <w:rsid w:val="009F34DA"/>
    <w:rsid w:val="00A04A2F"/>
    <w:rsid w:val="00A2193B"/>
    <w:rsid w:val="00A24858"/>
    <w:rsid w:val="00A27092"/>
    <w:rsid w:val="00A30C8A"/>
    <w:rsid w:val="00A344E7"/>
    <w:rsid w:val="00A40457"/>
    <w:rsid w:val="00A51F9A"/>
    <w:rsid w:val="00A5202E"/>
    <w:rsid w:val="00A617F3"/>
    <w:rsid w:val="00A8681D"/>
    <w:rsid w:val="00A944E3"/>
    <w:rsid w:val="00A969BD"/>
    <w:rsid w:val="00AB019B"/>
    <w:rsid w:val="00AB5D8D"/>
    <w:rsid w:val="00AB6F25"/>
    <w:rsid w:val="00AC1AA3"/>
    <w:rsid w:val="00AD19B9"/>
    <w:rsid w:val="00AE3503"/>
    <w:rsid w:val="00B00E51"/>
    <w:rsid w:val="00B1026D"/>
    <w:rsid w:val="00B13108"/>
    <w:rsid w:val="00B147AE"/>
    <w:rsid w:val="00B265FF"/>
    <w:rsid w:val="00B5370C"/>
    <w:rsid w:val="00B6131F"/>
    <w:rsid w:val="00B66702"/>
    <w:rsid w:val="00B712E7"/>
    <w:rsid w:val="00B7778C"/>
    <w:rsid w:val="00B800B2"/>
    <w:rsid w:val="00B8238D"/>
    <w:rsid w:val="00B975F2"/>
    <w:rsid w:val="00BA3989"/>
    <w:rsid w:val="00BB53A9"/>
    <w:rsid w:val="00BC0F24"/>
    <w:rsid w:val="00BC2537"/>
    <w:rsid w:val="00BD43E0"/>
    <w:rsid w:val="00BD7B23"/>
    <w:rsid w:val="00BD7FF5"/>
    <w:rsid w:val="00C071AE"/>
    <w:rsid w:val="00C11223"/>
    <w:rsid w:val="00C12097"/>
    <w:rsid w:val="00C14696"/>
    <w:rsid w:val="00C24439"/>
    <w:rsid w:val="00C5563C"/>
    <w:rsid w:val="00C56535"/>
    <w:rsid w:val="00C64D4D"/>
    <w:rsid w:val="00C67171"/>
    <w:rsid w:val="00C71168"/>
    <w:rsid w:val="00C918F6"/>
    <w:rsid w:val="00C928D7"/>
    <w:rsid w:val="00C94115"/>
    <w:rsid w:val="00C95DFB"/>
    <w:rsid w:val="00CB6542"/>
    <w:rsid w:val="00CC5700"/>
    <w:rsid w:val="00CE37EB"/>
    <w:rsid w:val="00CE4770"/>
    <w:rsid w:val="00CF7732"/>
    <w:rsid w:val="00D03396"/>
    <w:rsid w:val="00D1459C"/>
    <w:rsid w:val="00D27B64"/>
    <w:rsid w:val="00D30C17"/>
    <w:rsid w:val="00D461B9"/>
    <w:rsid w:val="00D4670D"/>
    <w:rsid w:val="00D4672A"/>
    <w:rsid w:val="00D46936"/>
    <w:rsid w:val="00D508C2"/>
    <w:rsid w:val="00D50A49"/>
    <w:rsid w:val="00D67B59"/>
    <w:rsid w:val="00D861AD"/>
    <w:rsid w:val="00D97F0D"/>
    <w:rsid w:val="00DA23E9"/>
    <w:rsid w:val="00DA5035"/>
    <w:rsid w:val="00DA6C93"/>
    <w:rsid w:val="00DA72D2"/>
    <w:rsid w:val="00DC063B"/>
    <w:rsid w:val="00DC1307"/>
    <w:rsid w:val="00DC5D77"/>
    <w:rsid w:val="00DD47C9"/>
    <w:rsid w:val="00DF5363"/>
    <w:rsid w:val="00E127DE"/>
    <w:rsid w:val="00E23066"/>
    <w:rsid w:val="00E25ABB"/>
    <w:rsid w:val="00E26B06"/>
    <w:rsid w:val="00E340A5"/>
    <w:rsid w:val="00E40B01"/>
    <w:rsid w:val="00E40B42"/>
    <w:rsid w:val="00E41B41"/>
    <w:rsid w:val="00E44AE2"/>
    <w:rsid w:val="00E504FB"/>
    <w:rsid w:val="00E61443"/>
    <w:rsid w:val="00E61983"/>
    <w:rsid w:val="00E70A81"/>
    <w:rsid w:val="00E72B9D"/>
    <w:rsid w:val="00E86F8A"/>
    <w:rsid w:val="00EA049A"/>
    <w:rsid w:val="00EA0E12"/>
    <w:rsid w:val="00EA2856"/>
    <w:rsid w:val="00EA559B"/>
    <w:rsid w:val="00EA7D94"/>
    <w:rsid w:val="00EA7E1E"/>
    <w:rsid w:val="00EB59AE"/>
    <w:rsid w:val="00EC1A41"/>
    <w:rsid w:val="00EC628D"/>
    <w:rsid w:val="00EE2B3A"/>
    <w:rsid w:val="00EE5859"/>
    <w:rsid w:val="00EE5C07"/>
    <w:rsid w:val="00F01655"/>
    <w:rsid w:val="00F12E55"/>
    <w:rsid w:val="00F20322"/>
    <w:rsid w:val="00F22F47"/>
    <w:rsid w:val="00F61E59"/>
    <w:rsid w:val="00F76F97"/>
    <w:rsid w:val="00F77593"/>
    <w:rsid w:val="00F8014D"/>
    <w:rsid w:val="00F825A1"/>
    <w:rsid w:val="00F8597E"/>
    <w:rsid w:val="00F924B2"/>
    <w:rsid w:val="00FC1498"/>
    <w:rsid w:val="00FD1256"/>
    <w:rsid w:val="00FD2262"/>
    <w:rsid w:val="00FD24A1"/>
    <w:rsid w:val="00FD52BD"/>
    <w:rsid w:val="00FE12B6"/>
    <w:rsid w:val="00FE3150"/>
    <w:rsid w:val="00FF34BC"/>
    <w:rsid w:val="00FF398F"/>
    <w:rsid w:val="00FF4B88"/>
    <w:rsid w:val="00FF5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18A81D"/>
  <w15:chartTrackingRefBased/>
  <w15:docId w15:val="{04F94C63-E603-459E-B7EA-7F93B31E3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75F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1"/>
    <w:qFormat/>
    <w:rsid w:val="00B975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UNDERRUBRIK 1-2,DO NOT USE_h2,h2,h21,H2 Char,h2 Char,标题 2,Header 2,Header2,22,heading2,2nd level,H21,H22,H23,H24,H25,R2,E2,†berschrift 2,õberschrift 2"/>
    <w:basedOn w:val="Normal"/>
    <w:next w:val="Normal"/>
    <w:link w:val="Heading2Char"/>
    <w:unhideWhenUsed/>
    <w:qFormat/>
    <w:rsid w:val="00DC06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F34D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975F2"/>
    <w:rPr>
      <w:color w:val="808080"/>
    </w:rPr>
  </w:style>
  <w:style w:type="character" w:customStyle="1" w:styleId="Heading1Char">
    <w:name w:val="Heading 1 Char"/>
    <w:basedOn w:val="DefaultParagraphFont"/>
    <w:uiPriority w:val="9"/>
    <w:rsid w:val="00B975F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Footer">
    <w:name w:val="footer"/>
    <w:basedOn w:val="Header"/>
    <w:link w:val="FooterChar"/>
    <w:uiPriority w:val="99"/>
    <w:rsid w:val="00B975F2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975F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B975F2"/>
  </w:style>
  <w:style w:type="character" w:customStyle="1" w:styleId="Heading1Char1">
    <w:name w:val="Heading 1 Char1"/>
    <w:link w:val="Heading1"/>
    <w:rsid w:val="00B975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B975F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975F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975F2"/>
    <w:pPr>
      <w:ind w:left="720"/>
      <w:contextualSpacing/>
    </w:pPr>
  </w:style>
  <w:style w:type="character" w:customStyle="1" w:styleId="Heading2Char">
    <w:name w:val="Heading 2 Char"/>
    <w:aliases w:val="Head2A Char,2 Char,H2 Char1,UNDERRUBRIK 1-2 Char,DO NOT USE_h2 Char,h2 Char1,h21 Char,H2 Char Char,h2 Char Char,标题 2 Char,Header 2 Char,Header2 Char,22 Char,heading2 Char,2nd level Char,H21 Char,H22 Char,H23 Char,H24 Char,H25 Char,R2 Char"/>
    <w:basedOn w:val="DefaultParagraphFont"/>
    <w:link w:val="Heading2"/>
    <w:rsid w:val="00DC063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table" w:styleId="TableGrid">
    <w:name w:val="Table Grid"/>
    <w:basedOn w:val="TableNormal"/>
    <w:rsid w:val="00782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7F0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F0D"/>
    <w:rPr>
      <w:rFonts w:ascii="Segoe UI" w:eastAsia="SimSun" w:hAnsi="Segoe UI" w:cs="Segoe UI"/>
      <w:sz w:val="18"/>
      <w:szCs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949AF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F34D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paragraph">
    <w:name w:val="paragraph"/>
    <w:basedOn w:val="Normal"/>
    <w:rsid w:val="00D145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D1459C"/>
  </w:style>
  <w:style w:type="character" w:customStyle="1" w:styleId="eop">
    <w:name w:val="eop"/>
    <w:basedOn w:val="DefaultParagraphFont"/>
    <w:rsid w:val="00D1459C"/>
  </w:style>
  <w:style w:type="paragraph" w:styleId="BodyText">
    <w:name w:val="Body Text"/>
    <w:basedOn w:val="Normal"/>
    <w:link w:val="BodyTextChar"/>
    <w:rsid w:val="00D4672A"/>
    <w:pPr>
      <w:overflowPunct/>
      <w:autoSpaceDE/>
      <w:autoSpaceDN/>
      <w:adjustRightInd/>
      <w:spacing w:after="120"/>
      <w:jc w:val="both"/>
      <w:textAlignment w:val="auto"/>
    </w:pPr>
    <w:rPr>
      <w:rFonts w:ascii="Arial" w:eastAsiaTheme="minorEastAsia" w:hAnsi="Arial" w:cstheme="minorBidi"/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D4672A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02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27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3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30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5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5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3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B6DAD61-6244-7D4E-B5E4-25D7F17D5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1962</TotalTime>
  <Pages>2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He, Hong</dc:creator>
  <cp:keywords/>
  <dc:description/>
  <cp:lastModifiedBy>Hong He</cp:lastModifiedBy>
  <cp:revision>102</cp:revision>
  <cp:lastPrinted>2019-01-22T03:27:00Z</cp:lastPrinted>
  <dcterms:created xsi:type="dcterms:W3CDTF">2019-08-05T03:40:00Z</dcterms:created>
  <dcterms:modified xsi:type="dcterms:W3CDTF">2020-02-14T07:13:00Z</dcterms:modified>
</cp:coreProperties>
</file>