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3FE965DB"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AF55EA">
        <w:rPr>
          <w:rFonts w:ascii="Arial" w:hAnsi="Arial" w:cs="Arial"/>
          <w:b/>
          <w:kern w:val="2"/>
          <w:lang w:eastAsia="zh-CN"/>
        </w:rPr>
        <w:t>100-e</w:t>
      </w:r>
      <w:r w:rsidR="00972929" w:rsidRPr="00D74B92">
        <w:rPr>
          <w:rFonts w:ascii="Arial" w:hAnsi="Arial" w:cs="Arial"/>
          <w:b/>
          <w:kern w:val="2"/>
          <w:lang w:eastAsia="zh-CN"/>
        </w:rPr>
        <w:tab/>
      </w:r>
      <w:r w:rsidR="002F052E" w:rsidRPr="00BD12EB">
        <w:rPr>
          <w:rFonts w:ascii="Arial" w:hAnsi="Arial" w:cs="Arial"/>
          <w:b/>
          <w:kern w:val="2"/>
          <w:lang w:eastAsia="zh-CN"/>
        </w:rPr>
        <w:t>R1-</w:t>
      </w:r>
      <w:r w:rsidR="002344FB" w:rsidRPr="00BD12EB">
        <w:rPr>
          <w:rFonts w:ascii="Arial" w:hAnsi="Arial" w:cs="Arial"/>
          <w:b/>
          <w:kern w:val="2"/>
          <w:lang w:eastAsia="zh-CN"/>
        </w:rPr>
        <w:t>2000</w:t>
      </w:r>
      <w:r w:rsidR="0053799D" w:rsidRPr="00BD12EB">
        <w:rPr>
          <w:rFonts w:ascii="Arial" w:hAnsi="Arial" w:cs="Arial"/>
          <w:b/>
          <w:kern w:val="2"/>
          <w:lang w:eastAsia="zh-CN"/>
        </w:rPr>
        <w:t>822</w:t>
      </w:r>
    </w:p>
    <w:p w14:paraId="5B26A585" w14:textId="77777777" w:rsidR="00AF55EA" w:rsidRPr="007F5EC6" w:rsidRDefault="00AF55EA" w:rsidP="00AF55EA">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7826937B" w14:textId="4D4D8F8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10FDC">
        <w:rPr>
          <w:rFonts w:ascii="Arial" w:hAnsi="Arial" w:cs="Arial"/>
          <w:b/>
          <w:lang w:eastAsia="zh-CN"/>
        </w:rPr>
        <w:t>7.2.4.7</w:t>
      </w:r>
    </w:p>
    <w:p w14:paraId="7AF4C819" w14:textId="11AAA56F"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D12EB" w:rsidRPr="00BD12EB">
        <w:rPr>
          <w:rFonts w:ascii="Arial" w:hAnsi="Arial" w:cs="Arial"/>
          <w:b/>
          <w:bCs/>
          <w:caps/>
          <w:shd w:val="clear" w:color="auto" w:fill="FFFFFF"/>
        </w:rPr>
        <w:t>FUTUREWEI</w:t>
      </w:r>
    </w:p>
    <w:p w14:paraId="50026002" w14:textId="062A03CC" w:rsidR="00AF55EA"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F55EA" w:rsidRPr="00AF55EA">
        <w:rPr>
          <w:rFonts w:ascii="Arial" w:hAnsi="Arial" w:cs="Arial"/>
          <w:b/>
          <w:lang w:eastAsia="zh-CN"/>
        </w:rPr>
        <w:t>Summary of critical issues for NR Uu scheduling LTE sidelink</w:t>
      </w:r>
    </w:p>
    <w:p w14:paraId="62BCD72B" w14:textId="6463495D"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28FD7BC" w14:textId="4919FAEC" w:rsidR="00F10FDC" w:rsidRPr="00434EE9" w:rsidRDefault="00F10FDC" w:rsidP="00F10FDC">
      <w:r w:rsidRPr="00434EE9">
        <w:t>A WID on NR-V2X was approved at RAN#83, with one of the objectives as follows:</w:t>
      </w:r>
    </w:p>
    <w:p w14:paraId="6353FE84" w14:textId="77777777" w:rsidR="00F10FDC" w:rsidRPr="00434EE9" w:rsidRDefault="00F10FDC" w:rsidP="00F10FDC">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28580924"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546365DF"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0447F3E8" w14:textId="77777777" w:rsidR="00F10FDC" w:rsidRPr="00434EE9" w:rsidRDefault="00F10FDC" w:rsidP="00F10FDC">
      <w:pPr>
        <w:numPr>
          <w:ilvl w:val="1"/>
          <w:numId w:val="4"/>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 xml:space="preserve">RAN1 to </w:t>
      </w:r>
      <w:proofErr w:type="gramStart"/>
      <w:r w:rsidRPr="00434EE9">
        <w:rPr>
          <w:rFonts w:eastAsia="MS Mincho"/>
          <w:i/>
          <w:sz w:val="20"/>
          <w:szCs w:val="20"/>
          <w:lang w:eastAsia="ko-KR"/>
        </w:rPr>
        <w:t>make a decision</w:t>
      </w:r>
      <w:proofErr w:type="gramEnd"/>
      <w:r w:rsidRPr="00434EE9">
        <w:rPr>
          <w:rFonts w:eastAsia="MS Mincho"/>
          <w:i/>
          <w:sz w:val="20"/>
          <w:szCs w:val="20"/>
          <w:lang w:eastAsia="ko-KR"/>
        </w:rPr>
        <w:t xml:space="preserve"> on which option is supported until RAN#84.</w:t>
      </w:r>
    </w:p>
    <w:p w14:paraId="1B31620D" w14:textId="25E17B6D" w:rsidR="00F10FDC" w:rsidRPr="00434EE9" w:rsidRDefault="004B0F06" w:rsidP="00F10FDC">
      <w:pPr>
        <w:pStyle w:val="bullet1"/>
        <w:numPr>
          <w:ilvl w:val="0"/>
          <w:numId w:val="0"/>
        </w:numPr>
        <w:spacing w:after="120"/>
        <w:jc w:val="both"/>
        <w:rPr>
          <w:rFonts w:ascii="Times New Roman" w:hAnsi="Times New Roman"/>
          <w:sz w:val="22"/>
          <w:szCs w:val="20"/>
        </w:rPr>
      </w:pPr>
      <w:r>
        <w:rPr>
          <w:rFonts w:ascii="Times New Roman" w:hAnsi="Times New Roman"/>
          <w:sz w:val="22"/>
          <w:szCs w:val="20"/>
        </w:rPr>
        <w:t>1</w:t>
      </w:r>
      <w:r w:rsidR="002344FB">
        <w:rPr>
          <w:rFonts w:ascii="Times New Roman" w:hAnsi="Times New Roman"/>
          <w:sz w:val="22"/>
          <w:szCs w:val="20"/>
        </w:rPr>
        <w:t>3</w:t>
      </w:r>
      <w:r>
        <w:rPr>
          <w:rFonts w:ascii="Times New Roman" w:hAnsi="Times New Roman"/>
          <w:sz w:val="22"/>
          <w:szCs w:val="20"/>
        </w:rPr>
        <w:t xml:space="preserve"> companies submitted contributions for this AI ([1]-</w:t>
      </w:r>
      <w:r w:rsidR="00497002">
        <w:rPr>
          <w:rFonts w:ascii="Times New Roman" w:hAnsi="Times New Roman"/>
          <w:sz w:val="22"/>
          <w:szCs w:val="20"/>
        </w:rPr>
        <w:t>[7], [9]-</w:t>
      </w:r>
      <w:r w:rsidR="002344FB">
        <w:rPr>
          <w:rFonts w:ascii="Times New Roman" w:hAnsi="Times New Roman"/>
          <w:sz w:val="22"/>
          <w:szCs w:val="20"/>
        </w:rPr>
        <w:t>[14</w:t>
      </w:r>
      <w:r>
        <w:rPr>
          <w:rFonts w:ascii="Times New Roman" w:hAnsi="Times New Roman"/>
          <w:sz w:val="22"/>
          <w:szCs w:val="20"/>
        </w:rPr>
        <w:t>])</w:t>
      </w:r>
      <w:r w:rsidR="00517495">
        <w:rPr>
          <w:rFonts w:ascii="Times New Roman" w:hAnsi="Times New Roman"/>
          <w:sz w:val="22"/>
          <w:szCs w:val="20"/>
        </w:rPr>
        <w:t>, although [12] addresses a different AI</w:t>
      </w:r>
      <w:r>
        <w:rPr>
          <w:rFonts w:ascii="Times New Roman" w:hAnsi="Times New Roman"/>
          <w:sz w:val="22"/>
          <w:szCs w:val="20"/>
        </w:rPr>
        <w:t xml:space="preserve">. </w:t>
      </w:r>
      <w:r w:rsidR="00F10FDC" w:rsidRPr="00434EE9">
        <w:rPr>
          <w:rFonts w:ascii="Times New Roman" w:hAnsi="Times New Roman"/>
          <w:sz w:val="22"/>
          <w:szCs w:val="20"/>
        </w:rPr>
        <w:t xml:space="preserve">This summary aims to collect </w:t>
      </w:r>
      <w:r w:rsidR="002344FB">
        <w:rPr>
          <w:rFonts w:ascii="Times New Roman" w:hAnsi="Times New Roman"/>
          <w:sz w:val="22"/>
          <w:szCs w:val="20"/>
        </w:rPr>
        <w:t>issues brought in submitted contributions.</w:t>
      </w:r>
    </w:p>
    <w:p w14:paraId="7EA95162" w14:textId="77777777" w:rsidR="00B87EC9" w:rsidRPr="007F5EC6" w:rsidRDefault="00B87EC9" w:rsidP="007F5EC6"/>
    <w:p w14:paraId="2C5AEEC8" w14:textId="5648C76F" w:rsidR="0053799D" w:rsidRDefault="0053799D" w:rsidP="00493C77">
      <w:pPr>
        <w:pStyle w:val="Heading1"/>
      </w:pPr>
      <w:r>
        <w:t>Issues</w:t>
      </w:r>
    </w:p>
    <w:p w14:paraId="4117C810" w14:textId="072F480C" w:rsidR="00517495" w:rsidRDefault="00517495" w:rsidP="00517495">
      <w:pPr>
        <w:pStyle w:val="Heading2"/>
      </w:pPr>
      <w:r>
        <w:t>Summary</w:t>
      </w:r>
    </w:p>
    <w:p w14:paraId="3BEBAA62" w14:textId="1320FDC1" w:rsidR="00517495" w:rsidRDefault="00517495" w:rsidP="00517495">
      <w:r>
        <w:t>The issues to be addressed for this AI are listed in Table 1. More details for each issue are given in Sections 2.2-2.5.</w:t>
      </w:r>
    </w:p>
    <w:p w14:paraId="73B3849D" w14:textId="48F38162" w:rsidR="00517495" w:rsidRDefault="00517495" w:rsidP="00517495"/>
    <w:p w14:paraId="18582E44" w14:textId="2B8E8EDC" w:rsidR="00517495" w:rsidRDefault="00517495" w:rsidP="00517495">
      <w:pPr>
        <w:pStyle w:val="Caption"/>
        <w:keepNext/>
      </w:pPr>
      <w:r>
        <w:t xml:space="preserve">Table </w:t>
      </w:r>
      <w:fldSimple w:instr=" SEQ Table \* ARABIC ">
        <w:r>
          <w:rPr>
            <w:noProof/>
          </w:rPr>
          <w:t>1</w:t>
        </w:r>
      </w:fldSimple>
      <w:r>
        <w:t>. Summary of issues</w:t>
      </w:r>
    </w:p>
    <w:tbl>
      <w:tblPr>
        <w:tblStyle w:val="TableGrid"/>
        <w:tblW w:w="0" w:type="auto"/>
        <w:tblLook w:val="04A0" w:firstRow="1" w:lastRow="0" w:firstColumn="1" w:lastColumn="0" w:noHBand="0" w:noVBand="1"/>
      </w:tblPr>
      <w:tblGrid>
        <w:gridCol w:w="2326"/>
        <w:gridCol w:w="1179"/>
        <w:gridCol w:w="1980"/>
        <w:gridCol w:w="3822"/>
      </w:tblGrid>
      <w:tr w:rsidR="00517495" w14:paraId="368D6E04" w14:textId="77777777" w:rsidTr="00517495">
        <w:tc>
          <w:tcPr>
            <w:tcW w:w="2326" w:type="dxa"/>
          </w:tcPr>
          <w:p w14:paraId="1869A84D" w14:textId="3A4EAA47" w:rsidR="00517495" w:rsidRDefault="00517495" w:rsidP="00517495">
            <w:r>
              <w:t>Issue</w:t>
            </w:r>
          </w:p>
        </w:tc>
        <w:tc>
          <w:tcPr>
            <w:tcW w:w="1179" w:type="dxa"/>
          </w:tcPr>
          <w:p w14:paraId="286A3F3B" w14:textId="0AF05846" w:rsidR="00517495" w:rsidRDefault="00517495" w:rsidP="00517495">
            <w:r>
              <w:t>Criticality</w:t>
            </w:r>
          </w:p>
        </w:tc>
        <w:tc>
          <w:tcPr>
            <w:tcW w:w="1980" w:type="dxa"/>
          </w:tcPr>
          <w:p w14:paraId="0F088930" w14:textId="019EA075" w:rsidR="00517495" w:rsidRDefault="00517495" w:rsidP="00517495">
            <w:r>
              <w:t>FL proposal</w:t>
            </w:r>
          </w:p>
        </w:tc>
        <w:tc>
          <w:tcPr>
            <w:tcW w:w="3822" w:type="dxa"/>
          </w:tcPr>
          <w:p w14:paraId="5583A63E" w14:textId="1F1C7451" w:rsidR="00517495" w:rsidRDefault="00517495" w:rsidP="00517495">
            <w:r>
              <w:t>Comments</w:t>
            </w:r>
          </w:p>
        </w:tc>
      </w:tr>
      <w:tr w:rsidR="00517495" w14:paraId="2F55F888" w14:textId="77777777" w:rsidTr="00517495">
        <w:tc>
          <w:tcPr>
            <w:tcW w:w="2326" w:type="dxa"/>
          </w:tcPr>
          <w:p w14:paraId="6AC272F5" w14:textId="2331C808" w:rsidR="00517495" w:rsidRDefault="00517495" w:rsidP="00517495">
            <w:r>
              <w:t>Timing of the application of a DCI</w:t>
            </w:r>
            <w:r w:rsidR="00CB6ADC">
              <w:t xml:space="preserve"> 3_1</w:t>
            </w:r>
          </w:p>
        </w:tc>
        <w:tc>
          <w:tcPr>
            <w:tcW w:w="1179" w:type="dxa"/>
          </w:tcPr>
          <w:p w14:paraId="40C1033C" w14:textId="17A0FE71" w:rsidR="00517495" w:rsidRDefault="00517495" w:rsidP="00517495">
            <w:r>
              <w:t>HIGH</w:t>
            </w:r>
          </w:p>
        </w:tc>
        <w:tc>
          <w:tcPr>
            <w:tcW w:w="1980" w:type="dxa"/>
          </w:tcPr>
          <w:p w14:paraId="47A5F3A8" w14:textId="6EC37467" w:rsidR="00517495" w:rsidRDefault="00517495" w:rsidP="00517495">
            <w:r>
              <w:t>Email discussion A</w:t>
            </w:r>
          </w:p>
        </w:tc>
        <w:tc>
          <w:tcPr>
            <w:tcW w:w="3822" w:type="dxa"/>
          </w:tcPr>
          <w:p w14:paraId="44814C39" w14:textId="01ABC9C1" w:rsidR="00517495" w:rsidRDefault="00517495" w:rsidP="00517495">
            <w:r>
              <w:t>Issue discussed and resolved for mode-1 at RAN1#99</w:t>
            </w:r>
          </w:p>
        </w:tc>
      </w:tr>
      <w:tr w:rsidR="00517495" w14:paraId="00CB4FA1" w14:textId="77777777" w:rsidTr="00517495">
        <w:tc>
          <w:tcPr>
            <w:tcW w:w="2326" w:type="dxa"/>
          </w:tcPr>
          <w:p w14:paraId="102C3A5F" w14:textId="5691D884" w:rsidR="00517495" w:rsidRDefault="00517495" w:rsidP="00517495">
            <w:r>
              <w:t>DCI format size</w:t>
            </w:r>
          </w:p>
        </w:tc>
        <w:tc>
          <w:tcPr>
            <w:tcW w:w="1179" w:type="dxa"/>
          </w:tcPr>
          <w:p w14:paraId="0BC81480" w14:textId="16C1C462" w:rsidR="00517495" w:rsidRDefault="00517495" w:rsidP="00517495">
            <w:r>
              <w:t>HIGH</w:t>
            </w:r>
          </w:p>
        </w:tc>
        <w:tc>
          <w:tcPr>
            <w:tcW w:w="1980" w:type="dxa"/>
          </w:tcPr>
          <w:p w14:paraId="15C718A4" w14:textId="00075A1E" w:rsidR="00517495" w:rsidRDefault="00517495" w:rsidP="00517495">
            <w:r>
              <w:t>Email discussion B</w:t>
            </w:r>
          </w:p>
        </w:tc>
        <w:tc>
          <w:tcPr>
            <w:tcW w:w="3822" w:type="dxa"/>
          </w:tcPr>
          <w:p w14:paraId="12091084" w14:textId="0AFB1FC4" w:rsidR="00517495" w:rsidRDefault="00517495" w:rsidP="00517495">
            <w:r>
              <w:t>Which NR Uu DCI size to match 3</w:t>
            </w:r>
            <w:r w:rsidR="00FA53A3">
              <w:t>_</w:t>
            </w:r>
            <w:r>
              <w:t>1 with</w:t>
            </w:r>
          </w:p>
        </w:tc>
      </w:tr>
      <w:tr w:rsidR="00517495" w14:paraId="0D50B2DC" w14:textId="77777777" w:rsidTr="00517495">
        <w:tc>
          <w:tcPr>
            <w:tcW w:w="2326" w:type="dxa"/>
          </w:tcPr>
          <w:p w14:paraId="12BA8565" w14:textId="6142471B" w:rsidR="00517495" w:rsidRDefault="00517495" w:rsidP="00517495">
            <w:r>
              <w:t>X Values</w:t>
            </w:r>
          </w:p>
        </w:tc>
        <w:tc>
          <w:tcPr>
            <w:tcW w:w="1179" w:type="dxa"/>
          </w:tcPr>
          <w:p w14:paraId="189C261F" w14:textId="765C9A66" w:rsidR="00517495" w:rsidRDefault="00517495" w:rsidP="00517495">
            <w:r>
              <w:t>Medium</w:t>
            </w:r>
          </w:p>
        </w:tc>
        <w:tc>
          <w:tcPr>
            <w:tcW w:w="1980" w:type="dxa"/>
          </w:tcPr>
          <w:p w14:paraId="396F3B9B" w14:textId="32509EC4" w:rsidR="00517495" w:rsidRDefault="00517495" w:rsidP="00517495">
            <w:r>
              <w:t>Email discussion C</w:t>
            </w:r>
          </w:p>
        </w:tc>
        <w:tc>
          <w:tcPr>
            <w:tcW w:w="3822" w:type="dxa"/>
          </w:tcPr>
          <w:p w14:paraId="7B4E7E50" w14:textId="18136E5C" w:rsidR="00517495" w:rsidRDefault="00517495" w:rsidP="00517495">
            <w:r>
              <w:t>Decide whether new X values are allowed, and whether to remove the brackets around [1.25] and [1.5]ms</w:t>
            </w:r>
          </w:p>
        </w:tc>
      </w:tr>
      <w:tr w:rsidR="00517495" w14:paraId="69D0423A" w14:textId="77777777" w:rsidTr="00517495">
        <w:tc>
          <w:tcPr>
            <w:tcW w:w="2326" w:type="dxa"/>
          </w:tcPr>
          <w:p w14:paraId="6BEA55B2" w14:textId="0F8BFFBC" w:rsidR="00517495" w:rsidRDefault="00517495" w:rsidP="00517495">
            <w:r>
              <w:t>Capture necessary changes on LTE side in TS36.213</w:t>
            </w:r>
          </w:p>
        </w:tc>
        <w:tc>
          <w:tcPr>
            <w:tcW w:w="1179" w:type="dxa"/>
          </w:tcPr>
          <w:p w14:paraId="17E67B36" w14:textId="2434F561" w:rsidR="00517495" w:rsidRDefault="00517495" w:rsidP="00517495">
            <w:r>
              <w:t>HIGH</w:t>
            </w:r>
          </w:p>
        </w:tc>
        <w:tc>
          <w:tcPr>
            <w:tcW w:w="1980" w:type="dxa"/>
          </w:tcPr>
          <w:p w14:paraId="00118FAD" w14:textId="6A4E3535" w:rsidR="00517495" w:rsidRDefault="00517495" w:rsidP="00517495">
            <w:r>
              <w:t>Up to the Editor</w:t>
            </w:r>
          </w:p>
        </w:tc>
        <w:tc>
          <w:tcPr>
            <w:tcW w:w="3822" w:type="dxa"/>
          </w:tcPr>
          <w:p w14:paraId="3CC19725" w14:textId="04819F13" w:rsidR="00517495" w:rsidRDefault="001130DD" w:rsidP="00517495">
            <w:r>
              <w:t>C</w:t>
            </w:r>
            <w:r w:rsidRPr="001130DD">
              <w:t>an be handled by the Editor with a cat-B CR during this e-meeting</w:t>
            </w:r>
          </w:p>
        </w:tc>
      </w:tr>
    </w:tbl>
    <w:p w14:paraId="40B75A4D" w14:textId="551023AC" w:rsidR="00517495" w:rsidRDefault="00517495" w:rsidP="00517495"/>
    <w:p w14:paraId="6735664F" w14:textId="77777777" w:rsidR="00517495" w:rsidRPr="00517495" w:rsidRDefault="00517495" w:rsidP="00517495"/>
    <w:p w14:paraId="625A7C43" w14:textId="134D1655" w:rsidR="0053799D" w:rsidRDefault="0053799D" w:rsidP="0053799D">
      <w:pPr>
        <w:pStyle w:val="Heading2"/>
      </w:pPr>
      <w:r>
        <w:t>Timing</w:t>
      </w:r>
    </w:p>
    <w:p w14:paraId="0F5E7D58" w14:textId="30C3A060" w:rsidR="00400AE4" w:rsidRDefault="00400AE4" w:rsidP="00400AE4">
      <w:r>
        <w:t>At RAN1#99, for sidelink mode-1 resource allocation, the timing at which a dynamic grant/CG type-2 grant applies was agreed</w:t>
      </w:r>
      <w:r w:rsidR="005261DA">
        <w:t xml:space="preserve">, </w:t>
      </w:r>
      <w:r w:rsidR="005261DA" w:rsidRPr="005261DA">
        <w:t>with an FFS for cross-RAT scheduling to be resolved here</w:t>
      </w:r>
      <w:r>
        <w:t>:</w:t>
      </w:r>
      <w:bookmarkStart w:id="2" w:name="_GoBack"/>
      <w:bookmarkEnd w:id="2"/>
    </w:p>
    <w:p w14:paraId="1A015DA8" w14:textId="77777777" w:rsidR="00400AE4" w:rsidRPr="00976024" w:rsidRDefault="00400AE4" w:rsidP="00400AE4">
      <w:pPr>
        <w:pStyle w:val="ListParagraph"/>
        <w:numPr>
          <w:ilvl w:val="0"/>
          <w:numId w:val="47"/>
        </w:numPr>
        <w:spacing w:line="256" w:lineRule="auto"/>
        <w:contextualSpacing w:val="0"/>
        <w:rPr>
          <w:rFonts w:ascii="Times New Roman" w:hAnsi="Times New Roman"/>
          <w:bCs/>
          <w:i/>
          <w:iCs/>
          <w:sz w:val="20"/>
          <w:szCs w:val="20"/>
          <w:lang w:eastAsia="ja-JP"/>
        </w:rPr>
      </w:pPr>
      <w:r w:rsidRPr="00976024">
        <w:rPr>
          <w:rFonts w:ascii="Times New Roman" w:hAnsi="Times New Roman"/>
          <w:bCs/>
          <w:i/>
          <w:iCs/>
          <w:szCs w:val="20"/>
        </w:rPr>
        <w:lastRenderedPageBreak/>
        <w:t xml:space="preserve">For dynamic grant and configured grant type-2, the slot of the first sidelink transmission is the </w:t>
      </w:r>
      <w:r w:rsidRPr="00976024">
        <w:rPr>
          <w:rFonts w:ascii="Times New Roman" w:hAnsi="Times New Roman"/>
          <w:bCs/>
          <w:i/>
          <w:iCs/>
          <w:szCs w:val="20"/>
          <w:lang w:val="en-US"/>
        </w:rPr>
        <w:t xml:space="preserve">in the first </w:t>
      </w:r>
      <w:r w:rsidRPr="00976024">
        <w:rPr>
          <w:rFonts w:ascii="Times New Roman" w:hAnsi="Times New Roman"/>
          <w:bCs/>
          <w:i/>
          <w:iCs/>
          <w:szCs w:val="20"/>
        </w:rPr>
        <w:t xml:space="preserve">SL slot </w:t>
      </w:r>
      <w:r w:rsidRPr="00976024">
        <w:rPr>
          <w:rFonts w:ascii="Times New Roman" w:hAnsi="Times New Roman"/>
          <w:bCs/>
          <w:i/>
          <w:iCs/>
          <w:szCs w:val="20"/>
          <w:lang w:val="en-US"/>
        </w:rPr>
        <w:t xml:space="preserve">of the corresponding resource pool </w:t>
      </w:r>
      <w:r w:rsidRPr="00976024">
        <w:rPr>
          <w:rFonts w:ascii="Times New Roman" w:hAnsi="Times New Roman"/>
          <w:bCs/>
          <w:i/>
          <w:iCs/>
          <w:szCs w:val="20"/>
        </w:rPr>
        <w:t>that starts not earlier than (</w:t>
      </w:r>
      <w:r w:rsidRPr="00976024">
        <w:rPr>
          <w:rFonts w:ascii="Times New Roman" w:hAnsi="Times New Roman"/>
          <w:bCs/>
          <w:i/>
          <w:iCs/>
          <w:szCs w:val="20"/>
          <w:highlight w:val="darkYellow"/>
        </w:rPr>
        <w:t xml:space="preserve">working assumption </w:t>
      </w:r>
      <w:r w:rsidRPr="00976024">
        <w:rPr>
          <w:rFonts w:ascii="Times New Roman" w:hAnsi="Times New Roman"/>
          <w:bCs/>
          <w:i/>
          <w:iCs/>
          <w:szCs w:val="20"/>
        </w:rPr>
        <w:t xml:space="preserve">for the </w:t>
      </w:r>
      <w:proofErr w:type="spellStart"/>
      <w:r w:rsidRPr="00976024">
        <w:rPr>
          <w:rFonts w:ascii="Times New Roman" w:hAnsi="Times New Roman"/>
          <w:bCs/>
          <w:i/>
          <w:iCs/>
          <w:szCs w:val="20"/>
        </w:rPr>
        <w:t>formular</w:t>
      </w:r>
      <w:proofErr w:type="spellEnd"/>
      <w:r w:rsidRPr="00976024">
        <w:rPr>
          <w:rFonts w:ascii="Times New Roman" w:hAnsi="Times New Roman"/>
          <w:bCs/>
          <w:i/>
          <w:iCs/>
          <w:szCs w:val="20"/>
        </w:rPr>
        <w:t xml:space="preserve">) </w:t>
      </w:r>
      <w:r w:rsidRPr="00976024">
        <w:rPr>
          <w:rFonts w:ascii="Times New Roman" w:hAnsi="Times New Roman"/>
          <w:bCs/>
          <w:i/>
          <w:iCs/>
          <w:szCs w:val="20"/>
        </w:rPr>
        <w:fldChar w:fldCharType="begin"/>
      </w:r>
      <w:r w:rsidRPr="00976024">
        <w:rPr>
          <w:rFonts w:ascii="Times New Roman" w:hAnsi="Times New Roman"/>
          <w:bCs/>
          <w:i/>
          <w:iCs/>
          <w:szCs w:val="20"/>
        </w:rPr>
        <w:instrText xml:space="preserve"> QUOTE </w:instrText>
      </w:r>
      <w:r w:rsidRPr="00976024">
        <w:rPr>
          <w:rFonts w:ascii="Times New Roman" w:hAnsi="Times New Roman"/>
          <w:bCs/>
          <w:i/>
          <w:iCs/>
          <w:position w:val="-12"/>
          <w:szCs w:val="20"/>
        </w:rPr>
        <w:pict w14:anchorId="2F3E6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6pt;height:20.4pt" equationxml="&lt;">
            <v:imagedata r:id="rId8" o:title="" chromakey="white"/>
          </v:shape>
        </w:pict>
      </w:r>
      <w:r w:rsidRPr="00976024">
        <w:rPr>
          <w:rFonts w:ascii="Times New Roman" w:hAnsi="Times New Roman"/>
          <w:bCs/>
          <w:i/>
          <w:iCs/>
          <w:szCs w:val="20"/>
        </w:rPr>
        <w:instrText xml:space="preserve"> </w:instrText>
      </w:r>
      <w:r w:rsidRPr="00976024">
        <w:rPr>
          <w:rFonts w:ascii="Times New Roman" w:hAnsi="Times New Roman"/>
          <w:bCs/>
          <w:i/>
          <w:iCs/>
          <w:szCs w:val="20"/>
        </w:rPr>
        <w:fldChar w:fldCharType="separate"/>
      </w:r>
      <w:r w:rsidRPr="00976024">
        <w:rPr>
          <w:rFonts w:ascii="Times New Roman" w:hAnsi="Times New Roman"/>
          <w:bCs/>
          <w:i/>
          <w:iCs/>
          <w:position w:val="-12"/>
          <w:szCs w:val="20"/>
        </w:rPr>
        <w:pict w14:anchorId="0803EF56">
          <v:shape id="_x0000_i1026" type="#_x0000_t75" style="width:118.8pt;height:17.4pt" equationxml="&lt;">
            <v:imagedata r:id="rId8" o:title="" chromakey="white"/>
          </v:shape>
        </w:pict>
      </w:r>
      <w:r w:rsidRPr="00976024">
        <w:rPr>
          <w:rFonts w:ascii="Times New Roman" w:hAnsi="Times New Roman"/>
          <w:bCs/>
          <w:i/>
          <w:iCs/>
          <w:szCs w:val="20"/>
        </w:rPr>
        <w:fldChar w:fldCharType="end"/>
      </w:r>
      <w:r w:rsidRPr="00976024">
        <w:rPr>
          <w:rFonts w:ascii="Times New Roman" w:hAnsi="Times New Roman"/>
          <w:bCs/>
          <w:i/>
          <w:iCs/>
          <w:szCs w:val="20"/>
        </w:rPr>
        <w:t xml:space="preserve"> where T</w:t>
      </w:r>
      <w:r w:rsidRPr="00976024">
        <w:rPr>
          <w:rFonts w:ascii="Times New Roman" w:hAnsi="Times New Roman"/>
          <w:bCs/>
          <w:i/>
          <w:iCs/>
          <w:szCs w:val="20"/>
          <w:vertAlign w:val="subscript"/>
        </w:rPr>
        <w:t>DL</w:t>
      </w:r>
      <w:r w:rsidRPr="00976024">
        <w:rPr>
          <w:rFonts w:ascii="Times New Roman" w:hAnsi="Times New Roman"/>
          <w:bCs/>
          <w:i/>
          <w:iCs/>
          <w:szCs w:val="20"/>
        </w:rPr>
        <w:t xml:space="preserve"> is </w:t>
      </w:r>
      <w:r w:rsidRPr="00976024">
        <w:rPr>
          <w:rFonts w:ascii="Times New Roman" w:hAnsi="Times New Roman"/>
          <w:bCs/>
          <w:i/>
          <w:iCs/>
          <w:szCs w:val="20"/>
          <w:lang w:val="en-US"/>
        </w:rPr>
        <w:t>starting time of the slot carrying the corresponding DCI, T</w:t>
      </w:r>
      <w:r w:rsidRPr="00976024">
        <w:rPr>
          <w:rFonts w:ascii="Times New Roman" w:hAnsi="Times New Roman"/>
          <w:bCs/>
          <w:i/>
          <w:iCs/>
          <w:szCs w:val="20"/>
          <w:vertAlign w:val="subscript"/>
        </w:rPr>
        <w:t>TA</w:t>
      </w:r>
      <w:r w:rsidRPr="00976024">
        <w:rPr>
          <w:rFonts w:ascii="Times New Roman" w:hAnsi="Times New Roman"/>
          <w:bCs/>
          <w:i/>
          <w:iCs/>
          <w:szCs w:val="20"/>
        </w:rPr>
        <w:t xml:space="preserve"> is the timing advance value and m is the slot offset </w:t>
      </w:r>
      <w:r w:rsidRPr="00976024">
        <w:rPr>
          <w:rFonts w:ascii="Times New Roman" w:hAnsi="Times New Roman"/>
          <w:bCs/>
          <w:i/>
          <w:iCs/>
          <w:szCs w:val="20"/>
          <w:lang w:val="en-US"/>
        </w:rPr>
        <w:t xml:space="preserve">(based on the SL numerology) </w:t>
      </w:r>
      <w:r w:rsidRPr="00976024">
        <w:rPr>
          <w:rFonts w:ascii="Times New Roman" w:hAnsi="Times New Roman"/>
          <w:bCs/>
          <w:i/>
          <w:iCs/>
          <w:szCs w:val="20"/>
        </w:rPr>
        <w:t xml:space="preserve">between DCI and the first sidelink transmission scheduled by DCI, </w:t>
      </w:r>
      <w:r w:rsidRPr="00976024">
        <w:rPr>
          <w:rFonts w:ascii="Times New Roman" w:hAnsi="Times New Roman"/>
          <w:bCs/>
          <w:i/>
          <w:iCs/>
          <w:szCs w:val="20"/>
          <w:lang w:val="en-US"/>
        </w:rPr>
        <w:t>T</w:t>
      </w:r>
      <w:r w:rsidRPr="00976024">
        <w:rPr>
          <w:rFonts w:ascii="Times New Roman" w:hAnsi="Times New Roman"/>
          <w:bCs/>
          <w:i/>
          <w:iCs/>
          <w:szCs w:val="20"/>
          <w:vertAlign w:val="subscript"/>
          <w:lang w:val="en-US"/>
        </w:rPr>
        <w:t>c</w:t>
      </w:r>
      <w:r w:rsidRPr="00976024">
        <w:rPr>
          <w:rFonts w:ascii="Times New Roman" w:hAnsi="Times New Roman"/>
          <w:bCs/>
          <w:i/>
          <w:iCs/>
          <w:szCs w:val="20"/>
          <w:lang w:val="en-US"/>
        </w:rPr>
        <w:t xml:space="preserve"> is as defined in 38.211, </w:t>
      </w:r>
      <w:r w:rsidRPr="00976024">
        <w:rPr>
          <w:rFonts w:ascii="Times New Roman" w:hAnsi="Times New Roman"/>
          <w:bCs/>
          <w:i/>
          <w:iCs/>
          <w:szCs w:val="20"/>
        </w:rPr>
        <w:t xml:space="preserve">and </w:t>
      </w:r>
      <w:proofErr w:type="spellStart"/>
      <w:r w:rsidRPr="00976024">
        <w:rPr>
          <w:rFonts w:ascii="Times New Roman" w:hAnsi="Times New Roman"/>
          <w:bCs/>
          <w:i/>
          <w:iCs/>
          <w:szCs w:val="20"/>
        </w:rPr>
        <w:t>T</w:t>
      </w:r>
      <w:r w:rsidRPr="00976024">
        <w:rPr>
          <w:rFonts w:ascii="Times New Roman" w:hAnsi="Times New Roman"/>
          <w:bCs/>
          <w:i/>
          <w:iCs/>
          <w:szCs w:val="20"/>
          <w:vertAlign w:val="subscript"/>
        </w:rPr>
        <w:t>slot</w:t>
      </w:r>
      <w:proofErr w:type="spellEnd"/>
      <w:r w:rsidRPr="00976024">
        <w:rPr>
          <w:rFonts w:ascii="Times New Roman" w:hAnsi="Times New Roman"/>
          <w:bCs/>
          <w:i/>
          <w:iCs/>
          <w:szCs w:val="20"/>
        </w:rPr>
        <w:t xml:space="preserve"> is the SL slot duration.</w:t>
      </w:r>
      <w:r w:rsidRPr="00976024">
        <w:rPr>
          <w:rFonts w:ascii="Times New Roman" w:hAnsi="Times New Roman"/>
          <w:bCs/>
          <w:i/>
          <w:iCs/>
          <w:szCs w:val="20"/>
          <w:lang w:eastAsia="ja-JP"/>
        </w:rPr>
        <w:t xml:space="preserve"> </w:t>
      </w:r>
    </w:p>
    <w:p w14:paraId="4172BE56" w14:textId="77777777" w:rsidR="00400AE4" w:rsidRPr="00976024" w:rsidRDefault="00400AE4" w:rsidP="00400AE4">
      <w:pPr>
        <w:pStyle w:val="ListParagraph"/>
        <w:numPr>
          <w:ilvl w:val="1"/>
          <w:numId w:val="47"/>
        </w:numPr>
        <w:spacing w:line="256" w:lineRule="auto"/>
        <w:contextualSpacing w:val="0"/>
        <w:rPr>
          <w:rFonts w:ascii="Times New Roman" w:hAnsi="Times New Roman"/>
          <w:bCs/>
          <w:i/>
          <w:iCs/>
          <w:szCs w:val="20"/>
          <w:lang w:eastAsia="ja-JP"/>
        </w:rPr>
      </w:pPr>
      <w:r w:rsidRPr="00976024">
        <w:rPr>
          <w:rFonts w:ascii="Times New Roman" w:hAnsi="Times New Roman"/>
          <w:bCs/>
          <w:i/>
          <w:iCs/>
          <w:szCs w:val="20"/>
          <w:lang w:eastAsia="ja-JP"/>
        </w:rPr>
        <w:t>FFS the case of CG type 1</w:t>
      </w:r>
    </w:p>
    <w:p w14:paraId="69FCCDF2" w14:textId="77777777" w:rsidR="00400AE4" w:rsidRPr="00976024" w:rsidRDefault="00400AE4" w:rsidP="00400AE4">
      <w:pPr>
        <w:pStyle w:val="ListParagraph"/>
        <w:numPr>
          <w:ilvl w:val="0"/>
          <w:numId w:val="47"/>
        </w:numPr>
        <w:spacing w:line="256" w:lineRule="auto"/>
        <w:contextualSpacing w:val="0"/>
        <w:rPr>
          <w:rFonts w:ascii="Times New Roman" w:hAnsi="Times New Roman"/>
          <w:bCs/>
          <w:i/>
          <w:iCs/>
          <w:szCs w:val="20"/>
          <w:lang w:eastAsia="ja-JP"/>
        </w:rPr>
      </w:pPr>
      <w:r w:rsidRPr="00976024">
        <w:rPr>
          <w:rFonts w:ascii="Times New Roman" w:hAnsi="Times New Roman"/>
          <w:bCs/>
          <w:i/>
          <w:iCs/>
          <w:szCs w:val="20"/>
          <w:lang w:eastAsia="ja-JP"/>
        </w:rPr>
        <w:t>FFS the application of the above formula to cross-RAT scheduling.</w:t>
      </w:r>
    </w:p>
    <w:p w14:paraId="7FF9F209" w14:textId="218892B8" w:rsidR="00400AE4" w:rsidRPr="00400AE4" w:rsidRDefault="00400AE4" w:rsidP="00400AE4">
      <w:r>
        <w:t xml:space="preserve">Contributions [1], [2], [3], [7], </w:t>
      </w:r>
      <w:r w:rsidR="00517495">
        <w:t xml:space="preserve">[9], </w:t>
      </w:r>
      <w:r>
        <w:t>[13] discuss the FFS on the applicability of this formula (or an equivalent one) for LTE sidelink scheduled by NR Uu. The timing of a grant must be without ambiguity to ensure all UEs understand apply the same timing, therefore this issue must be resolved.</w:t>
      </w:r>
    </w:p>
    <w:p w14:paraId="42CDDB56" w14:textId="20FB0BC5" w:rsidR="0053799D" w:rsidRDefault="0053799D" w:rsidP="0053799D">
      <w:pPr>
        <w:pStyle w:val="Heading2"/>
      </w:pPr>
      <w:r>
        <w:t>DCI format size</w:t>
      </w:r>
    </w:p>
    <w:p w14:paraId="7785794F" w14:textId="77777777" w:rsidR="00B626A1" w:rsidRDefault="00B626A1" w:rsidP="00B626A1">
      <w:r>
        <w:t>At RAN1#97, the following was agreed:</w:t>
      </w:r>
    </w:p>
    <w:p w14:paraId="568BC56B" w14:textId="77777777" w:rsidR="00B626A1" w:rsidRDefault="00B626A1" w:rsidP="00B626A1">
      <w:pPr>
        <w:pStyle w:val="ListParagraph"/>
        <w:numPr>
          <w:ilvl w:val="0"/>
          <w:numId w:val="9"/>
        </w:numPr>
        <w:spacing w:line="256" w:lineRule="auto"/>
        <w:rPr>
          <w:i/>
          <w:szCs w:val="20"/>
        </w:rPr>
      </w:pPr>
      <w:r>
        <w:rPr>
          <w:i/>
          <w:szCs w:val="20"/>
        </w:rPr>
        <w:t xml:space="preserve">DCI-based activation/deactivation is supported </w:t>
      </w:r>
    </w:p>
    <w:p w14:paraId="4B2189E3" w14:textId="77777777" w:rsidR="00B626A1" w:rsidRDefault="00B626A1" w:rsidP="00B626A1">
      <w:pPr>
        <w:pStyle w:val="ListParagraph"/>
        <w:numPr>
          <w:ilvl w:val="1"/>
          <w:numId w:val="9"/>
        </w:numPr>
        <w:spacing w:line="256" w:lineRule="auto"/>
        <w:rPr>
          <w:i/>
          <w:szCs w:val="20"/>
        </w:rPr>
      </w:pPr>
      <w:r>
        <w:rPr>
          <w:i/>
          <w:szCs w:val="20"/>
        </w:rPr>
        <w:t>Support of LTE PC5 scheduling by NR Uu (mode 3-</w:t>
      </w:r>
      <w:proofErr w:type="gramStart"/>
      <w:r>
        <w:rPr>
          <w:i/>
          <w:szCs w:val="20"/>
        </w:rPr>
        <w:t>like )</w:t>
      </w:r>
      <w:proofErr w:type="gramEnd"/>
      <w:r>
        <w:rPr>
          <w:rFonts w:eastAsia="Malgun Gothic"/>
          <w:i/>
          <w:szCs w:val="20"/>
          <w:lang w:eastAsia="ko-KR"/>
        </w:rPr>
        <w:t xml:space="preserve"> </w:t>
      </w:r>
      <w:r>
        <w:rPr>
          <w:i/>
          <w:szCs w:val="20"/>
        </w:rPr>
        <w:t>is based on UE capability</w:t>
      </w:r>
    </w:p>
    <w:p w14:paraId="60B3B882" w14:textId="77777777" w:rsidR="00B626A1" w:rsidRDefault="00B626A1" w:rsidP="00B626A1">
      <w:pPr>
        <w:pStyle w:val="ListParagraph"/>
        <w:numPr>
          <w:ilvl w:val="1"/>
          <w:numId w:val="9"/>
        </w:numPr>
        <w:spacing w:line="256" w:lineRule="auto"/>
        <w:rPr>
          <w:i/>
          <w:szCs w:val="20"/>
        </w:rPr>
      </w:pPr>
      <w:r>
        <w:rPr>
          <w:i/>
          <w:szCs w:val="20"/>
        </w:rPr>
        <w:t>NR DCI provides the fields of DCI 5A in LTE-V that are related to SPS scheduling</w:t>
      </w:r>
    </w:p>
    <w:p w14:paraId="69BA3468" w14:textId="77777777" w:rsidR="00B626A1" w:rsidRDefault="00B626A1" w:rsidP="00B626A1">
      <w:pPr>
        <w:pStyle w:val="ListParagraph"/>
        <w:numPr>
          <w:ilvl w:val="1"/>
          <w:numId w:val="9"/>
        </w:numPr>
        <w:spacing w:line="256" w:lineRule="auto"/>
        <w:rPr>
          <w:i/>
          <w:szCs w:val="20"/>
        </w:rPr>
      </w:pPr>
      <w:r>
        <w:rPr>
          <w:i/>
          <w:szCs w:val="20"/>
        </w:rPr>
        <w:t>The size of DCI for activation/deactivation is one of the DCI size(s) that will be defined for NR Uu scheduling NR V2V</w:t>
      </w:r>
    </w:p>
    <w:p w14:paraId="27796A2D" w14:textId="77777777" w:rsidR="00B626A1" w:rsidRDefault="00B626A1" w:rsidP="00B626A1">
      <w:pPr>
        <w:pStyle w:val="ListParagraph"/>
        <w:numPr>
          <w:ilvl w:val="2"/>
          <w:numId w:val="9"/>
        </w:numPr>
        <w:spacing w:line="256" w:lineRule="auto"/>
        <w:rPr>
          <w:i/>
          <w:szCs w:val="20"/>
        </w:rPr>
      </w:pPr>
      <w:r>
        <w:rPr>
          <w:i/>
          <w:szCs w:val="20"/>
        </w:rPr>
        <w:t>FFS whether the DCI format is the same as one of the DCI formats that will be defined for NR Uu scheduling NR V2V</w:t>
      </w:r>
    </w:p>
    <w:p w14:paraId="59FF35F1" w14:textId="32B4074F" w:rsidR="00B626A1" w:rsidRPr="00B626A1" w:rsidRDefault="00976024" w:rsidP="00B626A1">
      <w:r>
        <w:t xml:space="preserve">The DCI size issue was brought up </w:t>
      </w:r>
      <w:r w:rsidR="00FA53A3">
        <w:t>by</w:t>
      </w:r>
      <w:r>
        <w:t xml:space="preserve"> multiple companies: [2], [4], [7], [8], [9], [11], [14]. This is another critical issue that must be addressed unambiguously by RAN1. Note: it is expected that a similar issue will be discussed in the mode-1 sub agenda item. </w:t>
      </w:r>
    </w:p>
    <w:p w14:paraId="1EBA967C" w14:textId="13D9862C" w:rsidR="0053799D" w:rsidRDefault="0053799D" w:rsidP="0053799D">
      <w:pPr>
        <w:pStyle w:val="Heading2"/>
      </w:pPr>
      <w:r>
        <w:t>Values of X</w:t>
      </w:r>
    </w:p>
    <w:p w14:paraId="1AFD0035" w14:textId="53C5116B" w:rsidR="00976024" w:rsidRDefault="00976024" w:rsidP="00976024">
      <w:r>
        <w:t>Values of X were discussed at RAN1#99, with a first set of values agreed:</w:t>
      </w:r>
    </w:p>
    <w:p w14:paraId="324E2CB7" w14:textId="77777777" w:rsidR="00976024" w:rsidRPr="002344FB" w:rsidRDefault="00976024" w:rsidP="00976024">
      <w:pPr>
        <w:rPr>
          <w:bCs/>
          <w:i/>
          <w:szCs w:val="20"/>
        </w:rPr>
      </w:pPr>
      <w:r w:rsidRPr="002344FB">
        <w:rPr>
          <w:bCs/>
          <w:i/>
          <w:szCs w:val="20"/>
        </w:rPr>
        <w:t>The supported values of X signaled in the DCI are:</w:t>
      </w:r>
    </w:p>
    <w:p w14:paraId="7C16253E" w14:textId="77777777" w:rsidR="00976024" w:rsidRPr="002344FB" w:rsidRDefault="00976024" w:rsidP="00976024">
      <w:pPr>
        <w:pStyle w:val="ListParagraph"/>
        <w:numPr>
          <w:ilvl w:val="0"/>
          <w:numId w:val="46"/>
        </w:numPr>
        <w:spacing w:line="256" w:lineRule="auto"/>
        <w:rPr>
          <w:bCs/>
          <w:i/>
          <w:szCs w:val="20"/>
        </w:rPr>
      </w:pPr>
      <w:r w:rsidRPr="002344FB">
        <w:rPr>
          <w:bCs/>
          <w:i/>
          <w:szCs w:val="20"/>
        </w:rPr>
        <w:t>0.75ms, 1ms, [1.25ms], [1.5ms], 2ms, 4ms, 5ms, 8ms, 10ms, 20 ms</w:t>
      </w:r>
    </w:p>
    <w:p w14:paraId="789FC7A3" w14:textId="77777777" w:rsidR="00976024" w:rsidRPr="002344FB" w:rsidRDefault="00976024" w:rsidP="00976024">
      <w:pPr>
        <w:pStyle w:val="ListParagraph"/>
        <w:numPr>
          <w:ilvl w:val="1"/>
          <w:numId w:val="46"/>
        </w:numPr>
        <w:spacing w:line="256" w:lineRule="auto"/>
        <w:rPr>
          <w:bCs/>
          <w:i/>
          <w:szCs w:val="20"/>
        </w:rPr>
      </w:pPr>
      <w:r w:rsidRPr="002344FB">
        <w:rPr>
          <w:bCs/>
          <w:i/>
          <w:szCs w:val="20"/>
        </w:rPr>
        <w:t>Additional value(s) can be discussed during the Feb. meeting</w:t>
      </w:r>
    </w:p>
    <w:p w14:paraId="24BAABD5" w14:textId="77777777" w:rsidR="00976024" w:rsidRPr="002344FB" w:rsidRDefault="00976024" w:rsidP="00976024">
      <w:pPr>
        <w:pStyle w:val="ListParagraph"/>
        <w:numPr>
          <w:ilvl w:val="0"/>
          <w:numId w:val="46"/>
        </w:numPr>
        <w:spacing w:line="256" w:lineRule="auto"/>
        <w:rPr>
          <w:bCs/>
          <w:i/>
          <w:szCs w:val="20"/>
        </w:rPr>
      </w:pPr>
      <w:r w:rsidRPr="002344FB">
        <w:rPr>
          <w:bCs/>
          <w:i/>
          <w:szCs w:val="20"/>
        </w:rPr>
        <w:t>Spare values are reserved for future deployments</w:t>
      </w:r>
    </w:p>
    <w:p w14:paraId="4A3A1BED" w14:textId="170B5748" w:rsidR="00976024" w:rsidRDefault="00517495" w:rsidP="00976024">
      <w:r>
        <w:t>Several</w:t>
      </w:r>
      <w:r w:rsidR="00976024">
        <w:t xml:space="preserve"> companies discuss this aspect </w:t>
      </w:r>
      <w:r>
        <w:t xml:space="preserve">([1], </w:t>
      </w:r>
      <w:r w:rsidR="00976024">
        <w:t>[5],</w:t>
      </w:r>
      <w:r>
        <w:t xml:space="preserve"> [6],</w:t>
      </w:r>
      <w:r w:rsidR="00976024">
        <w:t xml:space="preserve"> [13]). While this issue is less critical, is should be feasible to conclude this aspect by email discussion</w:t>
      </w:r>
      <w:r>
        <w:t>.</w:t>
      </w:r>
    </w:p>
    <w:p w14:paraId="4075DF71" w14:textId="77777777" w:rsidR="00976024" w:rsidRPr="00976024" w:rsidRDefault="00976024" w:rsidP="00976024"/>
    <w:p w14:paraId="4406AE8B" w14:textId="086B757D" w:rsidR="0053799D" w:rsidRDefault="0053799D" w:rsidP="0053799D">
      <w:pPr>
        <w:pStyle w:val="Heading2"/>
      </w:pPr>
      <w:r>
        <w:t>Capture of the decisions in TS36.213</w:t>
      </w:r>
    </w:p>
    <w:p w14:paraId="1D86ED0B" w14:textId="44D0D87F" w:rsidR="00976024" w:rsidRPr="00976024" w:rsidRDefault="00976024" w:rsidP="00976024">
      <w:r>
        <w:t xml:space="preserve">In [13], it is brought up that the decisions in this sub-AI were not captured in the TS36.213 LTE specification. This aspect needs to be corrected. However, it can be </w:t>
      </w:r>
      <w:r w:rsidR="001130DD" w:rsidRPr="001130DD">
        <w:t>handled by the Editor with a cat-B CR during this e-meeting</w:t>
      </w:r>
    </w:p>
    <w:p w14:paraId="4F2545E6" w14:textId="77777777" w:rsidR="0053799D" w:rsidRPr="0053799D" w:rsidRDefault="0053799D" w:rsidP="0053799D"/>
    <w:p w14:paraId="35954F20" w14:textId="47AF54F4" w:rsidR="00816E9B" w:rsidRDefault="00F10FDC" w:rsidP="00493C77">
      <w:pPr>
        <w:pStyle w:val="Heading1"/>
      </w:pPr>
      <w:r>
        <w:t>Decisions at previous meetings</w:t>
      </w:r>
    </w:p>
    <w:p w14:paraId="64E959E6" w14:textId="201A8148" w:rsidR="00F10FDC" w:rsidRDefault="00F10FDC" w:rsidP="00F10FDC">
      <w:pPr>
        <w:pStyle w:val="Heading2"/>
      </w:pPr>
      <w:r>
        <w:t>RAN1#96</w:t>
      </w:r>
    </w:p>
    <w:p w14:paraId="6351DBE1" w14:textId="77777777" w:rsidR="00F10FDC" w:rsidRPr="00F10FDC" w:rsidRDefault="00F10FDC" w:rsidP="00F10FDC">
      <w:pPr>
        <w:rPr>
          <w:i/>
        </w:rPr>
      </w:pPr>
      <w:r w:rsidRPr="00F10FDC">
        <w:rPr>
          <w:i/>
        </w:rPr>
        <w:t>Agreements:</w:t>
      </w:r>
    </w:p>
    <w:p w14:paraId="566D242C" w14:textId="77777777" w:rsidR="00F10FDC" w:rsidRPr="00F10FDC" w:rsidRDefault="00F10FDC" w:rsidP="00F10FDC">
      <w:pPr>
        <w:numPr>
          <w:ilvl w:val="0"/>
          <w:numId w:val="5"/>
        </w:numPr>
        <w:rPr>
          <w:i/>
        </w:rPr>
      </w:pPr>
      <w:r w:rsidRPr="00F10FDC">
        <w:rPr>
          <w:i/>
        </w:rPr>
        <w:t xml:space="preserve">Scheduling by gNB using RRC for LTE sidelink scheduled mode is supported from RAN1 perspective under the premise that there is </w:t>
      </w:r>
      <w:proofErr w:type="gramStart"/>
      <w:r w:rsidRPr="00F10FDC">
        <w:rPr>
          <w:i/>
        </w:rPr>
        <w:t>sufficient</w:t>
      </w:r>
      <w:proofErr w:type="gramEnd"/>
      <w:r w:rsidRPr="00F10FDC">
        <w:rPr>
          <w:i/>
        </w:rPr>
        <w:t xml:space="preserve"> time for coordination between the NR and LTE modules. No DCI to activate/release</w:t>
      </w:r>
    </w:p>
    <w:p w14:paraId="3411993B" w14:textId="77777777" w:rsidR="00F10FDC" w:rsidRPr="00F10FDC" w:rsidRDefault="00F10FDC" w:rsidP="00F10FDC">
      <w:pPr>
        <w:numPr>
          <w:ilvl w:val="1"/>
          <w:numId w:val="5"/>
        </w:numPr>
        <w:rPr>
          <w:i/>
        </w:rPr>
      </w:pPr>
      <w:r w:rsidRPr="00F10FDC">
        <w:rPr>
          <w:i/>
        </w:rPr>
        <w:t xml:space="preserve">RRC message delivers the SPS grant configuration and releases the SPS configuration. </w:t>
      </w:r>
    </w:p>
    <w:p w14:paraId="22303FD5" w14:textId="77777777" w:rsidR="00F10FDC" w:rsidRPr="00F10FDC" w:rsidRDefault="00F10FDC" w:rsidP="00F10FDC">
      <w:pPr>
        <w:numPr>
          <w:ilvl w:val="1"/>
          <w:numId w:val="5"/>
        </w:numPr>
        <w:rPr>
          <w:i/>
        </w:rPr>
      </w:pPr>
      <w:r w:rsidRPr="00F10FDC">
        <w:rPr>
          <w:i/>
        </w:rPr>
        <w:t>Support of this scheduling mode is subject to UE capability (may or may not have capability for both LTE &amp; NR)</w:t>
      </w:r>
    </w:p>
    <w:p w14:paraId="300D883A" w14:textId="77777777" w:rsidR="00F10FDC" w:rsidRPr="00F10FDC" w:rsidRDefault="00F10FDC" w:rsidP="00F10FDC">
      <w:pPr>
        <w:numPr>
          <w:ilvl w:val="1"/>
          <w:numId w:val="5"/>
        </w:numPr>
        <w:rPr>
          <w:i/>
        </w:rPr>
      </w:pPr>
      <w:r w:rsidRPr="00F10FDC">
        <w:rPr>
          <w:i/>
        </w:rPr>
        <w:t>Note: some specification LTE change is needed to support the reception of a grant through RRC</w:t>
      </w:r>
    </w:p>
    <w:p w14:paraId="122FD53E" w14:textId="77777777" w:rsidR="00F10FDC" w:rsidRPr="00F10FDC" w:rsidRDefault="00F10FDC" w:rsidP="00F10FDC">
      <w:pPr>
        <w:numPr>
          <w:ilvl w:val="2"/>
          <w:numId w:val="5"/>
        </w:numPr>
        <w:rPr>
          <w:i/>
        </w:rPr>
      </w:pPr>
      <w:r w:rsidRPr="00F10FDC">
        <w:rPr>
          <w:i/>
        </w:rPr>
        <w:t>RRC message contains mode 3 grant content and timing</w:t>
      </w:r>
    </w:p>
    <w:p w14:paraId="50145987" w14:textId="77777777" w:rsidR="00F10FDC" w:rsidRPr="00F10FDC" w:rsidRDefault="00F10FDC" w:rsidP="00F10FDC">
      <w:pPr>
        <w:numPr>
          <w:ilvl w:val="2"/>
          <w:numId w:val="5"/>
        </w:numPr>
        <w:rPr>
          <w:i/>
        </w:rPr>
      </w:pPr>
      <w:r w:rsidRPr="00F10FDC">
        <w:rPr>
          <w:i/>
        </w:rPr>
        <w:t>Up to the Editor to capture it as mode 3 or new LTE sidelink mode</w:t>
      </w:r>
    </w:p>
    <w:p w14:paraId="37BB7E1D" w14:textId="77777777" w:rsidR="00F10FDC" w:rsidRPr="00F10FDC" w:rsidRDefault="00F10FDC" w:rsidP="00F10FDC">
      <w:pPr>
        <w:numPr>
          <w:ilvl w:val="1"/>
          <w:numId w:val="5"/>
        </w:numPr>
        <w:rPr>
          <w:i/>
        </w:rPr>
      </w:pPr>
      <w:r w:rsidRPr="00F10FDC">
        <w:rPr>
          <w:i/>
        </w:rPr>
        <w:t>No intention to have additional NR &amp; LTE specification change (other than those described above) for this function in Rel-16</w:t>
      </w:r>
    </w:p>
    <w:p w14:paraId="2EE1F1DB" w14:textId="77777777" w:rsidR="00F10FDC" w:rsidRPr="00F10FDC" w:rsidRDefault="00F10FDC" w:rsidP="00F10FDC">
      <w:pPr>
        <w:numPr>
          <w:ilvl w:val="0"/>
          <w:numId w:val="5"/>
        </w:numPr>
        <w:rPr>
          <w:i/>
        </w:rPr>
      </w:pPr>
      <w:r w:rsidRPr="00F10FDC">
        <w:rPr>
          <w:i/>
        </w:rPr>
        <w:t>RAN1 studied the feasibility of SPS scheduling by gNB for LTE sidelink with DCI activation/release, but there is no consensus to support it</w:t>
      </w:r>
    </w:p>
    <w:p w14:paraId="6B57F5B0" w14:textId="28794C76" w:rsidR="00F10FDC" w:rsidRDefault="00F10FDC" w:rsidP="00F10FDC"/>
    <w:p w14:paraId="50771785" w14:textId="0C1A77B8" w:rsidR="00F10FDC" w:rsidRDefault="00F10FDC" w:rsidP="00F10FDC">
      <w:pPr>
        <w:pStyle w:val="Heading2"/>
      </w:pPr>
      <w:r>
        <w:t>RAN1#96bis</w:t>
      </w:r>
    </w:p>
    <w:p w14:paraId="0A5A5434" w14:textId="77777777" w:rsidR="00F10FDC" w:rsidRPr="00F10FDC" w:rsidRDefault="00F10FDC" w:rsidP="00F10FDC">
      <w:pPr>
        <w:rPr>
          <w:i/>
        </w:rPr>
      </w:pPr>
      <w:r w:rsidRPr="00F10FDC">
        <w:rPr>
          <w:i/>
        </w:rPr>
        <w:t>Agreements:</w:t>
      </w:r>
    </w:p>
    <w:p w14:paraId="0EDC5F61" w14:textId="77777777" w:rsidR="00F10FDC" w:rsidRPr="00F10FDC" w:rsidRDefault="00F10FDC" w:rsidP="00F10FDC">
      <w:pPr>
        <w:rPr>
          <w:i/>
        </w:rPr>
      </w:pPr>
      <w:r w:rsidRPr="00F10FDC">
        <w:rPr>
          <w:i/>
        </w:rPr>
        <w:t xml:space="preserve">Regarding RRC-based versus DCI-based activation/release of LTE sidelink SPS, RAN1 agrees to make the choice </w:t>
      </w:r>
      <w:proofErr w:type="gramStart"/>
      <w:r w:rsidRPr="00F10FDC">
        <w:rPr>
          <w:i/>
        </w:rPr>
        <w:t>on the basis of</w:t>
      </w:r>
      <w:proofErr w:type="gramEnd"/>
      <w:r w:rsidRPr="00F10FDC">
        <w:rPr>
          <w:i/>
        </w:rPr>
        <w:t xml:space="preserve"> at least:</w:t>
      </w:r>
    </w:p>
    <w:p w14:paraId="3743BBD2" w14:textId="77777777" w:rsidR="00F10FDC" w:rsidRPr="00F10FDC" w:rsidRDefault="00F10FDC" w:rsidP="00F10FDC">
      <w:pPr>
        <w:numPr>
          <w:ilvl w:val="0"/>
          <w:numId w:val="21"/>
        </w:numPr>
        <w:rPr>
          <w:i/>
        </w:rPr>
      </w:pPr>
      <w:r w:rsidRPr="00F10FDC">
        <w:rPr>
          <w:i/>
        </w:rPr>
        <w:t>Spec impact</w:t>
      </w:r>
    </w:p>
    <w:p w14:paraId="3C8927E1" w14:textId="77777777" w:rsidR="00F10FDC" w:rsidRPr="00F10FDC" w:rsidRDefault="00F10FDC" w:rsidP="00F10FDC">
      <w:pPr>
        <w:numPr>
          <w:ilvl w:val="0"/>
          <w:numId w:val="21"/>
        </w:numPr>
        <w:rPr>
          <w:i/>
        </w:rPr>
      </w:pPr>
      <w:r w:rsidRPr="00F10FDC">
        <w:rPr>
          <w:i/>
        </w:rPr>
        <w:t xml:space="preserve">Flexibility </w:t>
      </w:r>
    </w:p>
    <w:p w14:paraId="74CBAC3D" w14:textId="77777777" w:rsidR="00F10FDC" w:rsidRPr="00F10FDC" w:rsidRDefault="00F10FDC" w:rsidP="00F10FDC">
      <w:pPr>
        <w:numPr>
          <w:ilvl w:val="0"/>
          <w:numId w:val="21"/>
        </w:numPr>
        <w:rPr>
          <w:i/>
        </w:rPr>
      </w:pPr>
      <w:r w:rsidRPr="00F10FDC">
        <w:rPr>
          <w:i/>
        </w:rPr>
        <w:t>Performance, including latency</w:t>
      </w:r>
    </w:p>
    <w:p w14:paraId="449BA7A1" w14:textId="77777777" w:rsidR="00F10FDC" w:rsidRPr="00F10FDC" w:rsidRDefault="00F10FDC" w:rsidP="00F10FDC">
      <w:pPr>
        <w:numPr>
          <w:ilvl w:val="0"/>
          <w:numId w:val="21"/>
        </w:numPr>
        <w:rPr>
          <w:i/>
        </w:rPr>
      </w:pPr>
      <w:r w:rsidRPr="00F10FDC">
        <w:rPr>
          <w:i/>
        </w:rPr>
        <w:t>Implementation complexity</w:t>
      </w:r>
    </w:p>
    <w:p w14:paraId="227AB4EA" w14:textId="77777777" w:rsidR="00F10FDC" w:rsidRPr="00F10FDC" w:rsidRDefault="00F10FDC" w:rsidP="00F10FDC">
      <w:pPr>
        <w:numPr>
          <w:ilvl w:val="0"/>
          <w:numId w:val="21"/>
        </w:numPr>
        <w:rPr>
          <w:i/>
        </w:rPr>
      </w:pPr>
      <w:r w:rsidRPr="00F10FDC">
        <w:rPr>
          <w:i/>
        </w:rPr>
        <w:t>Timing of the activation/deactivation</w:t>
      </w:r>
    </w:p>
    <w:p w14:paraId="5887B252" w14:textId="465D1194" w:rsidR="00F10FDC" w:rsidRDefault="00F10FDC" w:rsidP="00F10FDC"/>
    <w:p w14:paraId="7B782790" w14:textId="7DC1B10B" w:rsidR="00F10FDC" w:rsidRDefault="00F10FDC" w:rsidP="00F10FDC">
      <w:pPr>
        <w:pStyle w:val="Heading2"/>
      </w:pPr>
      <w:r>
        <w:t>RAN2#105bis</w:t>
      </w:r>
    </w:p>
    <w:p w14:paraId="6461E496" w14:textId="77777777" w:rsidR="00F10FDC" w:rsidRPr="00F10FDC" w:rsidRDefault="00F10FDC" w:rsidP="00F10FDC">
      <w:pPr>
        <w:rPr>
          <w:i/>
        </w:rPr>
      </w:pPr>
      <w:r w:rsidRPr="00F10FDC">
        <w:rPr>
          <w:i/>
        </w:rPr>
        <w:t>Agreements:</w:t>
      </w:r>
    </w:p>
    <w:p w14:paraId="3F8EF308"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A0E4C2D"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18D451F"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 xml:space="preserve">gNB should be able to configure the LTE V2X mode 4 sidelink resource pool via dedicated </w:t>
      </w:r>
      <w:proofErr w:type="spellStart"/>
      <w:r w:rsidRPr="00434EE9">
        <w:rPr>
          <w:rFonts w:ascii="Times New Roman" w:hAnsi="Times New Roman"/>
          <w:i/>
          <w:sz w:val="22"/>
          <w:szCs w:val="20"/>
          <w:lang w:val="en-US"/>
        </w:rPr>
        <w:t>signalling</w:t>
      </w:r>
      <w:proofErr w:type="spellEnd"/>
      <w:r w:rsidRPr="00434EE9">
        <w:rPr>
          <w:rFonts w:ascii="Times New Roman" w:hAnsi="Times New Roman"/>
          <w:i/>
          <w:sz w:val="22"/>
          <w:szCs w:val="20"/>
          <w:lang w:val="en-US"/>
        </w:rPr>
        <w:t>. In addition, gNB should be able to configure mode3 SL resources via dedicated signaling. It will be defined as a container (OCTET STRING) and actual information follows what defined in LTE RRC.</w:t>
      </w:r>
    </w:p>
    <w:p w14:paraId="0AB1DC6C" w14:textId="63A189E1" w:rsidR="00F10FDC" w:rsidRDefault="00F10FDC" w:rsidP="00F10FDC"/>
    <w:p w14:paraId="473371DA" w14:textId="73EA46B1" w:rsidR="00F10FDC" w:rsidRDefault="00F10FDC" w:rsidP="00F10FDC">
      <w:pPr>
        <w:pStyle w:val="Heading2"/>
      </w:pPr>
      <w:r>
        <w:t>RAN1#97</w:t>
      </w:r>
    </w:p>
    <w:p w14:paraId="464B73FD" w14:textId="77777777" w:rsidR="00AE2FE5" w:rsidRPr="00F10FDC" w:rsidRDefault="00AE2FE5" w:rsidP="00AE2FE5">
      <w:pPr>
        <w:rPr>
          <w:i/>
        </w:rPr>
      </w:pPr>
      <w:r w:rsidRPr="00F10FDC">
        <w:rPr>
          <w:i/>
        </w:rPr>
        <w:t>Agreements:</w:t>
      </w:r>
    </w:p>
    <w:p w14:paraId="7E12FC8D" w14:textId="77777777" w:rsidR="00AE2FE5" w:rsidRDefault="00AE2FE5" w:rsidP="00AE2FE5">
      <w:pPr>
        <w:pStyle w:val="ListParagraph"/>
        <w:numPr>
          <w:ilvl w:val="0"/>
          <w:numId w:val="22"/>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96FA0C3"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0A773647"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A6A08AE" w14:textId="77777777" w:rsidR="00AE2FE5" w:rsidRDefault="00AE2FE5" w:rsidP="00AE2FE5">
      <w:pPr>
        <w:pStyle w:val="ListParagraph"/>
        <w:numPr>
          <w:ilvl w:val="1"/>
          <w:numId w:val="22"/>
        </w:numPr>
        <w:spacing w:line="256" w:lineRule="auto"/>
        <w:rPr>
          <w:rFonts w:ascii="Times New Roman" w:hAnsi="Times New Roman"/>
          <w:i/>
          <w:szCs w:val="20"/>
        </w:rPr>
      </w:pPr>
      <w:bookmarkStart w:id="3" w:name="_Hlk24638457"/>
      <w:r>
        <w:rPr>
          <w:rFonts w:ascii="Times New Roman" w:hAnsi="Times New Roman"/>
          <w:i/>
          <w:szCs w:val="20"/>
        </w:rPr>
        <w:t>The size of DCI for activation/deactivation is one of the DCI size(s) that will be defined for NR Uu scheduling NR V2V</w:t>
      </w:r>
    </w:p>
    <w:bookmarkEnd w:id="3"/>
    <w:p w14:paraId="70DBA83D"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5D232BB"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5BF11277"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A5E3399"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6E5B8A83" w14:textId="36A6A35E" w:rsidR="00AE2FE5" w:rsidRDefault="00AE2FE5" w:rsidP="00F10FDC"/>
    <w:p w14:paraId="31D61289" w14:textId="527F0407" w:rsidR="00AE2FE5" w:rsidRDefault="00BA43C8" w:rsidP="00BA43C8">
      <w:pPr>
        <w:pStyle w:val="Heading2"/>
      </w:pPr>
      <w:r>
        <w:t>RAN1#98</w:t>
      </w:r>
    </w:p>
    <w:p w14:paraId="25E1CDCE" w14:textId="77777777" w:rsidR="00554551" w:rsidRPr="00554551" w:rsidRDefault="00554551" w:rsidP="00554551">
      <w:pPr>
        <w:rPr>
          <w:i/>
          <w:szCs w:val="20"/>
          <w:lang w:eastAsia="x-none"/>
        </w:rPr>
      </w:pPr>
      <w:r w:rsidRPr="00554551">
        <w:rPr>
          <w:i/>
          <w:szCs w:val="20"/>
          <w:lang w:eastAsia="x-none"/>
        </w:rPr>
        <w:t>Agreements:</w:t>
      </w:r>
    </w:p>
    <w:p w14:paraId="62A1222A" w14:textId="77777777" w:rsidR="00554551" w:rsidRPr="00554551" w:rsidRDefault="00554551" w:rsidP="00554551">
      <w:pPr>
        <w:pStyle w:val="ListParagraph"/>
        <w:numPr>
          <w:ilvl w:val="0"/>
          <w:numId w:val="30"/>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5AA8864A" w14:textId="77777777" w:rsidR="00554551" w:rsidRPr="00554551" w:rsidRDefault="00554551" w:rsidP="00554551">
      <w:pPr>
        <w:rPr>
          <w:i/>
          <w:lang w:eastAsia="x-none"/>
        </w:rPr>
      </w:pPr>
    </w:p>
    <w:p w14:paraId="68FC528D" w14:textId="77777777" w:rsidR="00554551" w:rsidRPr="00554551" w:rsidRDefault="00554551" w:rsidP="00554551">
      <w:pPr>
        <w:numPr>
          <w:ilvl w:val="0"/>
          <w:numId w:val="35"/>
        </w:numPr>
        <w:autoSpaceDE/>
        <w:autoSpaceDN/>
        <w:adjustRightInd/>
        <w:snapToGrid/>
        <w:spacing w:after="0"/>
        <w:jc w:val="left"/>
        <w:rPr>
          <w:i/>
          <w:szCs w:val="20"/>
        </w:rPr>
      </w:pPr>
      <w:r w:rsidRPr="00554551">
        <w:rPr>
          <w:i/>
          <w:szCs w:val="20"/>
        </w:rPr>
        <w:t>X is dynamically indicated using a field in the DCI</w:t>
      </w:r>
    </w:p>
    <w:p w14:paraId="32F7E488" w14:textId="77777777" w:rsidR="00554551" w:rsidRPr="00554551" w:rsidRDefault="00554551" w:rsidP="00554551">
      <w:pPr>
        <w:numPr>
          <w:ilvl w:val="1"/>
          <w:numId w:val="35"/>
        </w:numPr>
        <w:autoSpaceDE/>
        <w:autoSpaceDN/>
        <w:adjustRightInd/>
        <w:snapToGrid/>
        <w:spacing w:after="0"/>
        <w:jc w:val="left"/>
        <w:rPr>
          <w:i/>
          <w:szCs w:val="20"/>
        </w:rPr>
      </w:pPr>
      <w:r w:rsidRPr="00554551">
        <w:rPr>
          <w:i/>
          <w:szCs w:val="20"/>
        </w:rPr>
        <w:t>FFS whether the DCI field provides an index to a table or the value of X</w:t>
      </w:r>
    </w:p>
    <w:p w14:paraId="6B07122A" w14:textId="77777777" w:rsidR="00554551" w:rsidRPr="00554551" w:rsidRDefault="00554551" w:rsidP="00554551">
      <w:pPr>
        <w:numPr>
          <w:ilvl w:val="1"/>
          <w:numId w:val="35"/>
        </w:numPr>
        <w:autoSpaceDE/>
        <w:autoSpaceDN/>
        <w:adjustRightInd/>
        <w:snapToGrid/>
        <w:spacing w:after="0"/>
        <w:jc w:val="left"/>
        <w:rPr>
          <w:i/>
          <w:szCs w:val="20"/>
        </w:rPr>
      </w:pPr>
      <w:r w:rsidRPr="00554551">
        <w:rPr>
          <w:i/>
          <w:szCs w:val="20"/>
        </w:rPr>
        <w:t>The minimum value of X is subject to UE capability</w:t>
      </w:r>
    </w:p>
    <w:p w14:paraId="0950D085" w14:textId="77777777" w:rsidR="00554551" w:rsidRPr="00554551" w:rsidRDefault="00554551" w:rsidP="00554551">
      <w:pPr>
        <w:numPr>
          <w:ilvl w:val="2"/>
          <w:numId w:val="35"/>
        </w:numPr>
        <w:autoSpaceDE/>
        <w:autoSpaceDN/>
        <w:adjustRightInd/>
        <w:snapToGrid/>
        <w:spacing w:after="0"/>
        <w:jc w:val="left"/>
        <w:rPr>
          <w:i/>
          <w:szCs w:val="20"/>
        </w:rPr>
      </w:pPr>
      <w:r w:rsidRPr="00554551">
        <w:rPr>
          <w:i/>
          <w:szCs w:val="20"/>
        </w:rPr>
        <w:t xml:space="preserve">UE reports a single value subject to UE capability </w:t>
      </w:r>
    </w:p>
    <w:p w14:paraId="6DCA67DE" w14:textId="63378E76" w:rsidR="00BA43C8" w:rsidRDefault="00BA43C8" w:rsidP="00BA43C8"/>
    <w:p w14:paraId="65612F30" w14:textId="1F2AF7EC" w:rsidR="000C63B6" w:rsidRDefault="000C63B6" w:rsidP="000C63B6">
      <w:pPr>
        <w:pStyle w:val="Heading2"/>
      </w:pPr>
      <w:r>
        <w:t>RAN1#98b</w:t>
      </w:r>
    </w:p>
    <w:p w14:paraId="3A4BBB3C" w14:textId="77777777" w:rsidR="000C63B6" w:rsidRPr="000C63B6" w:rsidRDefault="000C63B6" w:rsidP="000C63B6">
      <w:pPr>
        <w:autoSpaceDE/>
        <w:autoSpaceDN/>
        <w:jc w:val="left"/>
        <w:rPr>
          <w:i/>
          <w:szCs w:val="20"/>
          <w:lang w:eastAsia="x-none"/>
        </w:rPr>
      </w:pPr>
      <w:r w:rsidRPr="000C63B6">
        <w:rPr>
          <w:i/>
          <w:szCs w:val="20"/>
          <w:lang w:eastAsia="x-none"/>
        </w:rPr>
        <w:t>Agreements:</w:t>
      </w:r>
    </w:p>
    <w:p w14:paraId="065AACF0" w14:textId="77777777" w:rsidR="000C63B6" w:rsidRPr="000C63B6" w:rsidRDefault="000C63B6" w:rsidP="000C63B6">
      <w:pPr>
        <w:numPr>
          <w:ilvl w:val="0"/>
          <w:numId w:val="36"/>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NR DCI field to indicate X provides an index to a table of values</w:t>
      </w:r>
    </w:p>
    <w:p w14:paraId="5FA9393E" w14:textId="77777777" w:rsidR="000C63B6" w:rsidRPr="000C63B6" w:rsidRDefault="000C63B6" w:rsidP="000C63B6">
      <w:pPr>
        <w:numPr>
          <w:ilvl w:val="1"/>
          <w:numId w:val="36"/>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table of values is configurable, and has 8 values</w:t>
      </w:r>
    </w:p>
    <w:p w14:paraId="7A05F95B" w14:textId="77777777" w:rsidR="000C63B6" w:rsidRPr="000C63B6" w:rsidRDefault="000C63B6" w:rsidP="000C63B6">
      <w:pPr>
        <w:numPr>
          <w:ilvl w:val="1"/>
          <w:numId w:val="36"/>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size of the DCI field is fixed at 3 bits</w:t>
      </w:r>
    </w:p>
    <w:p w14:paraId="4E75D8F3" w14:textId="77777777" w:rsidR="000C63B6" w:rsidRPr="000C63B6" w:rsidRDefault="000C63B6" w:rsidP="000C63B6"/>
    <w:p w14:paraId="594F49EF" w14:textId="4F612B69" w:rsidR="000C63B6" w:rsidRDefault="002344FB" w:rsidP="002344FB">
      <w:pPr>
        <w:pStyle w:val="Heading2"/>
      </w:pPr>
      <w:r>
        <w:t>RAN1#99</w:t>
      </w:r>
    </w:p>
    <w:p w14:paraId="17978934" w14:textId="77777777" w:rsidR="002344FB" w:rsidRPr="002344FB" w:rsidRDefault="002344FB" w:rsidP="002344FB">
      <w:pPr>
        <w:rPr>
          <w:b/>
          <w:i/>
          <w:sz w:val="20"/>
          <w:szCs w:val="20"/>
        </w:rPr>
      </w:pPr>
      <w:r w:rsidRPr="002344FB">
        <w:rPr>
          <w:bCs/>
          <w:i/>
          <w:szCs w:val="20"/>
        </w:rPr>
        <w:t>Agreements</w:t>
      </w:r>
      <w:r w:rsidRPr="002344FB">
        <w:rPr>
          <w:b/>
          <w:i/>
          <w:szCs w:val="20"/>
        </w:rPr>
        <w:t>:</w:t>
      </w:r>
    </w:p>
    <w:p w14:paraId="2B774850" w14:textId="77777777" w:rsidR="002344FB" w:rsidRPr="002344FB" w:rsidRDefault="002344FB" w:rsidP="002344FB">
      <w:pPr>
        <w:pStyle w:val="ListParagraph"/>
        <w:numPr>
          <w:ilvl w:val="0"/>
          <w:numId w:val="44"/>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Use a separate PDCCH monitoring configuration (as configured in Rel-15) for NR DCI scheduling LTE SL</w:t>
      </w:r>
    </w:p>
    <w:p w14:paraId="1A1DF64A" w14:textId="77777777" w:rsidR="002344FB" w:rsidRPr="002344FB" w:rsidRDefault="002344FB" w:rsidP="002344FB">
      <w:pPr>
        <w:pStyle w:val="ListParagraph"/>
        <w:numPr>
          <w:ilvl w:val="1"/>
          <w:numId w:val="44"/>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blind decoding budget and the maximum number of non-overlapped CCEs for channel estimation are not increased.</w:t>
      </w:r>
    </w:p>
    <w:p w14:paraId="0A7E2477" w14:textId="77777777" w:rsidR="002344FB" w:rsidRPr="002344FB" w:rsidRDefault="002344FB" w:rsidP="002344FB">
      <w:pPr>
        <w:pStyle w:val="ListParagraph"/>
        <w:numPr>
          <w:ilvl w:val="1"/>
          <w:numId w:val="44"/>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search spaces is not increased.</w:t>
      </w:r>
    </w:p>
    <w:p w14:paraId="2449A9D2" w14:textId="77777777" w:rsidR="002344FB" w:rsidRPr="002344FB" w:rsidRDefault="002344FB" w:rsidP="002344FB">
      <w:pPr>
        <w:pStyle w:val="ListParagraph"/>
        <w:numPr>
          <w:ilvl w:val="1"/>
          <w:numId w:val="44"/>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CORESETs is not increased</w:t>
      </w:r>
    </w:p>
    <w:p w14:paraId="7464869E" w14:textId="214EE9AB" w:rsidR="002344FB" w:rsidRPr="002344FB" w:rsidRDefault="002344FB" w:rsidP="002344FB">
      <w:pPr>
        <w:pStyle w:val="ListParagraph"/>
        <w:numPr>
          <w:ilvl w:val="2"/>
          <w:numId w:val="44"/>
        </w:numPr>
        <w:spacing w:line="256" w:lineRule="auto"/>
        <w:contextualSpacing w:val="0"/>
        <w:rPr>
          <w:rFonts w:ascii="Times New Roman" w:hAnsi="Times New Roman"/>
          <w:bCs/>
          <w:i/>
          <w:szCs w:val="20"/>
          <w:lang w:eastAsia="ja-JP"/>
        </w:rPr>
      </w:pPr>
      <w:r w:rsidRPr="002344FB">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7A84C846" w14:textId="77777777" w:rsidR="002344FB" w:rsidRPr="002344FB" w:rsidRDefault="002344FB" w:rsidP="002344FB">
      <w:pPr>
        <w:rPr>
          <w:rFonts w:ascii="Times" w:hAnsi="Times"/>
          <w:i/>
          <w:szCs w:val="20"/>
          <w:lang w:eastAsia="x-none"/>
        </w:rPr>
      </w:pPr>
      <w:r w:rsidRPr="002344FB">
        <w:rPr>
          <w:i/>
          <w:szCs w:val="20"/>
          <w:lang w:eastAsia="x-none"/>
        </w:rPr>
        <w:t>Agreements:</w:t>
      </w:r>
    </w:p>
    <w:p w14:paraId="5304191E" w14:textId="77777777" w:rsidR="002344FB" w:rsidRPr="002344FB" w:rsidRDefault="002344FB" w:rsidP="002344FB">
      <w:pPr>
        <w:pStyle w:val="ListParagraph"/>
        <w:numPr>
          <w:ilvl w:val="0"/>
          <w:numId w:val="45"/>
        </w:numPr>
        <w:spacing w:line="256" w:lineRule="auto"/>
        <w:rPr>
          <w:bCs/>
          <w:i/>
          <w:szCs w:val="20"/>
          <w:lang w:eastAsia="x-none"/>
        </w:rPr>
      </w:pPr>
      <w:r w:rsidRPr="002344FB">
        <w:rPr>
          <w:bCs/>
          <w:i/>
          <w:szCs w:val="20"/>
        </w:rPr>
        <w:t>The minimum value of X signalled in the UE capability is one of the values (excluding spare values) that can be signalled in DCI 3_1</w:t>
      </w:r>
    </w:p>
    <w:p w14:paraId="5F447F1F" w14:textId="77777777" w:rsidR="002344FB" w:rsidRPr="002344FB" w:rsidRDefault="002344FB" w:rsidP="002344FB">
      <w:pPr>
        <w:rPr>
          <w:i/>
          <w:szCs w:val="20"/>
          <w:lang w:eastAsia="x-none"/>
        </w:rPr>
      </w:pPr>
      <w:r w:rsidRPr="002344FB">
        <w:rPr>
          <w:i/>
          <w:szCs w:val="20"/>
          <w:lang w:eastAsia="x-none"/>
        </w:rPr>
        <w:t>Agreements:</w:t>
      </w:r>
    </w:p>
    <w:p w14:paraId="61CD9F54" w14:textId="77777777" w:rsidR="002344FB" w:rsidRPr="002344FB" w:rsidRDefault="002344FB" w:rsidP="002344FB">
      <w:pPr>
        <w:rPr>
          <w:bCs/>
          <w:i/>
          <w:szCs w:val="20"/>
        </w:rPr>
      </w:pPr>
      <w:r w:rsidRPr="002344FB">
        <w:rPr>
          <w:bCs/>
          <w:i/>
          <w:szCs w:val="20"/>
        </w:rPr>
        <w:t>The supported values of X signaled in the DCI are:</w:t>
      </w:r>
    </w:p>
    <w:p w14:paraId="286635E7" w14:textId="77777777" w:rsidR="002344FB" w:rsidRPr="002344FB" w:rsidRDefault="002344FB" w:rsidP="002344FB">
      <w:pPr>
        <w:pStyle w:val="ListParagraph"/>
        <w:numPr>
          <w:ilvl w:val="0"/>
          <w:numId w:val="46"/>
        </w:numPr>
        <w:spacing w:line="256" w:lineRule="auto"/>
        <w:rPr>
          <w:bCs/>
          <w:i/>
          <w:szCs w:val="20"/>
        </w:rPr>
      </w:pPr>
      <w:r w:rsidRPr="002344FB">
        <w:rPr>
          <w:bCs/>
          <w:i/>
          <w:szCs w:val="20"/>
        </w:rPr>
        <w:t>0.75ms, 1ms, [1.25ms], [1.5ms], 2ms, 4ms, 5ms, 8ms, 10ms, 20 ms</w:t>
      </w:r>
    </w:p>
    <w:p w14:paraId="742EB755" w14:textId="77777777" w:rsidR="002344FB" w:rsidRPr="002344FB" w:rsidRDefault="002344FB" w:rsidP="002344FB">
      <w:pPr>
        <w:pStyle w:val="ListParagraph"/>
        <w:numPr>
          <w:ilvl w:val="1"/>
          <w:numId w:val="46"/>
        </w:numPr>
        <w:spacing w:line="256" w:lineRule="auto"/>
        <w:rPr>
          <w:bCs/>
          <w:i/>
          <w:szCs w:val="20"/>
        </w:rPr>
      </w:pPr>
      <w:r w:rsidRPr="002344FB">
        <w:rPr>
          <w:bCs/>
          <w:i/>
          <w:szCs w:val="20"/>
        </w:rPr>
        <w:t>Additional value(s) can be discussed during the Feb. meeting</w:t>
      </w:r>
    </w:p>
    <w:p w14:paraId="3F3C1E9B" w14:textId="77777777" w:rsidR="002344FB" w:rsidRPr="002344FB" w:rsidRDefault="002344FB" w:rsidP="002344FB">
      <w:pPr>
        <w:pStyle w:val="ListParagraph"/>
        <w:numPr>
          <w:ilvl w:val="0"/>
          <w:numId w:val="46"/>
        </w:numPr>
        <w:spacing w:line="256" w:lineRule="auto"/>
        <w:rPr>
          <w:bCs/>
          <w:i/>
          <w:szCs w:val="20"/>
        </w:rPr>
      </w:pPr>
      <w:r w:rsidRPr="002344FB">
        <w:rPr>
          <w:bCs/>
          <w:i/>
          <w:szCs w:val="20"/>
        </w:rPr>
        <w:t>Spare values are reserved for future deployments</w:t>
      </w:r>
    </w:p>
    <w:p w14:paraId="5DCB3595" w14:textId="6192D5FD" w:rsidR="002344FB" w:rsidRDefault="00400AE4" w:rsidP="00400AE4">
      <w:pPr>
        <w:pStyle w:val="Heading1"/>
      </w:pPr>
      <w:r>
        <w:t>References</w:t>
      </w:r>
    </w:p>
    <w:tbl>
      <w:tblPr>
        <w:tblW w:w="8592"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588"/>
      </w:tblGrid>
      <w:tr w:rsidR="00400AE4" w:rsidRPr="00400AE4" w14:paraId="58B3E2B7" w14:textId="77777777" w:rsidTr="00400AE4">
        <w:tc>
          <w:tcPr>
            <w:tcW w:w="531" w:type="dxa"/>
            <w:tcBorders>
              <w:bottom w:val="single" w:sz="6" w:space="0" w:color="000000"/>
              <w:right w:val="single" w:sz="6" w:space="0" w:color="000000"/>
            </w:tcBorders>
            <w:shd w:val="clear" w:color="auto" w:fill="auto"/>
          </w:tcPr>
          <w:p w14:paraId="3F92618A"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No.</w:t>
            </w:r>
          </w:p>
        </w:tc>
        <w:tc>
          <w:tcPr>
            <w:tcW w:w="1191" w:type="dxa"/>
            <w:tcBorders>
              <w:left w:val="single" w:sz="6" w:space="0" w:color="000000"/>
              <w:bottom w:val="single" w:sz="6" w:space="0" w:color="000000"/>
            </w:tcBorders>
            <w:shd w:val="clear" w:color="auto" w:fill="auto"/>
          </w:tcPr>
          <w:p w14:paraId="6DB4D2C2" w14:textId="77777777" w:rsidR="00400AE4" w:rsidRPr="00400AE4" w:rsidRDefault="00400AE4" w:rsidP="00400AE4">
            <w:pPr>
              <w:autoSpaceDE/>
              <w:autoSpaceDN/>
              <w:adjustRightInd/>
              <w:snapToGrid/>
              <w:jc w:val="left"/>
              <w:rPr>
                <w:rFonts w:eastAsia="Calibri"/>
                <w:i/>
                <w:iCs/>
                <w:sz w:val="16"/>
              </w:rPr>
            </w:pPr>
            <w:proofErr w:type="spellStart"/>
            <w:r w:rsidRPr="00400AE4">
              <w:rPr>
                <w:rFonts w:eastAsia="Calibri"/>
                <w:i/>
                <w:iCs/>
                <w:sz w:val="16"/>
              </w:rPr>
              <w:t>Tdoc</w:t>
            </w:r>
            <w:proofErr w:type="spellEnd"/>
          </w:p>
        </w:tc>
        <w:tc>
          <w:tcPr>
            <w:tcW w:w="1056" w:type="dxa"/>
            <w:tcBorders>
              <w:bottom w:val="single" w:sz="6" w:space="0" w:color="000000"/>
            </w:tcBorders>
            <w:shd w:val="clear" w:color="auto" w:fill="auto"/>
          </w:tcPr>
          <w:p w14:paraId="4D063E55"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Type</w:t>
            </w:r>
          </w:p>
        </w:tc>
        <w:tc>
          <w:tcPr>
            <w:tcW w:w="2226" w:type="dxa"/>
            <w:tcBorders>
              <w:bottom w:val="single" w:sz="6" w:space="0" w:color="000000"/>
            </w:tcBorders>
            <w:shd w:val="clear" w:color="auto" w:fill="auto"/>
          </w:tcPr>
          <w:p w14:paraId="0392256A"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Source</w:t>
            </w:r>
          </w:p>
        </w:tc>
        <w:tc>
          <w:tcPr>
            <w:tcW w:w="3588" w:type="dxa"/>
            <w:tcBorders>
              <w:bottom w:val="single" w:sz="6" w:space="0" w:color="000000"/>
            </w:tcBorders>
            <w:shd w:val="clear" w:color="auto" w:fill="auto"/>
          </w:tcPr>
          <w:p w14:paraId="18B20184"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Title</w:t>
            </w:r>
          </w:p>
        </w:tc>
      </w:tr>
      <w:tr w:rsidR="00400AE4" w:rsidRPr="00400AE4" w14:paraId="5D580F04" w14:textId="77777777" w:rsidTr="00400AE4">
        <w:tc>
          <w:tcPr>
            <w:tcW w:w="531" w:type="dxa"/>
            <w:tcBorders>
              <w:top w:val="single" w:sz="6" w:space="0" w:color="000000"/>
              <w:right w:val="single" w:sz="6" w:space="0" w:color="000000"/>
            </w:tcBorders>
            <w:shd w:val="clear" w:color="auto" w:fill="auto"/>
          </w:tcPr>
          <w:p w14:paraId="080D5FB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w:t>
            </w:r>
          </w:p>
        </w:tc>
        <w:tc>
          <w:tcPr>
            <w:tcW w:w="1191" w:type="dxa"/>
            <w:tcBorders>
              <w:top w:val="single" w:sz="6" w:space="0" w:color="000000"/>
              <w:left w:val="single" w:sz="6" w:space="0" w:color="000000"/>
            </w:tcBorders>
            <w:shd w:val="clear" w:color="auto" w:fill="auto"/>
          </w:tcPr>
          <w:p w14:paraId="041DFC8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R1-2000189</w:t>
            </w:r>
          </w:p>
        </w:tc>
        <w:tc>
          <w:tcPr>
            <w:tcW w:w="1056" w:type="dxa"/>
            <w:tcBorders>
              <w:top w:val="single" w:sz="6" w:space="0" w:color="000000"/>
            </w:tcBorders>
            <w:shd w:val="clear" w:color="auto" w:fill="auto"/>
          </w:tcPr>
          <w:p w14:paraId="0D6C682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tcBorders>
              <w:top w:val="single" w:sz="6" w:space="0" w:color="000000"/>
            </w:tcBorders>
            <w:shd w:val="clear" w:color="auto" w:fill="auto"/>
          </w:tcPr>
          <w:p w14:paraId="12E3AB9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 xml:space="preserve">Huawei, </w:t>
            </w:r>
            <w:proofErr w:type="spellStart"/>
            <w:r w:rsidRPr="00400AE4">
              <w:rPr>
                <w:rFonts w:eastAsia="Calibri"/>
                <w:sz w:val="16"/>
              </w:rPr>
              <w:t>HiSilicon</w:t>
            </w:r>
            <w:proofErr w:type="spellEnd"/>
          </w:p>
        </w:tc>
        <w:tc>
          <w:tcPr>
            <w:tcW w:w="3588" w:type="dxa"/>
            <w:tcBorders>
              <w:top w:val="single" w:sz="6" w:space="0" w:color="000000"/>
            </w:tcBorders>
            <w:shd w:val="clear" w:color="auto" w:fill="auto"/>
          </w:tcPr>
          <w:p w14:paraId="433A34B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details of NR Uu control for LTE sidelink</w:t>
            </w:r>
          </w:p>
        </w:tc>
      </w:tr>
      <w:tr w:rsidR="00400AE4" w:rsidRPr="00400AE4" w14:paraId="0460BFE3" w14:textId="77777777" w:rsidTr="00400AE4">
        <w:tc>
          <w:tcPr>
            <w:tcW w:w="531" w:type="dxa"/>
            <w:tcBorders>
              <w:right w:val="single" w:sz="6" w:space="0" w:color="000000"/>
            </w:tcBorders>
            <w:shd w:val="clear" w:color="auto" w:fill="auto"/>
          </w:tcPr>
          <w:p w14:paraId="1644FAC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2</w:t>
            </w:r>
          </w:p>
        </w:tc>
        <w:tc>
          <w:tcPr>
            <w:tcW w:w="1191" w:type="dxa"/>
            <w:tcBorders>
              <w:left w:val="single" w:sz="6" w:space="0" w:color="000000"/>
            </w:tcBorders>
            <w:shd w:val="clear" w:color="auto" w:fill="auto"/>
          </w:tcPr>
          <w:p w14:paraId="6F54599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R1-2000323</w:t>
            </w:r>
          </w:p>
        </w:tc>
        <w:tc>
          <w:tcPr>
            <w:tcW w:w="1056" w:type="dxa"/>
            <w:shd w:val="clear" w:color="auto" w:fill="auto"/>
          </w:tcPr>
          <w:p w14:paraId="11FEA8EA"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71A2DA9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vivo</w:t>
            </w:r>
          </w:p>
        </w:tc>
        <w:tc>
          <w:tcPr>
            <w:tcW w:w="3588" w:type="dxa"/>
            <w:shd w:val="clear" w:color="auto" w:fill="auto"/>
          </w:tcPr>
          <w:p w14:paraId="0FA7EA6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issues on support of NR Uu controlling LTE sidelink</w:t>
            </w:r>
          </w:p>
        </w:tc>
      </w:tr>
      <w:tr w:rsidR="00400AE4" w:rsidRPr="00400AE4" w14:paraId="08920673" w14:textId="77777777" w:rsidTr="00400AE4">
        <w:tc>
          <w:tcPr>
            <w:tcW w:w="531" w:type="dxa"/>
            <w:tcBorders>
              <w:right w:val="single" w:sz="6" w:space="0" w:color="000000"/>
            </w:tcBorders>
            <w:shd w:val="clear" w:color="auto" w:fill="auto"/>
          </w:tcPr>
          <w:p w14:paraId="0EAE211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3</w:t>
            </w:r>
          </w:p>
        </w:tc>
        <w:tc>
          <w:tcPr>
            <w:tcW w:w="1191" w:type="dxa"/>
            <w:tcBorders>
              <w:left w:val="single" w:sz="6" w:space="0" w:color="000000"/>
            </w:tcBorders>
            <w:shd w:val="clear" w:color="auto" w:fill="auto"/>
          </w:tcPr>
          <w:p w14:paraId="4938169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R1-2000389</w:t>
            </w:r>
          </w:p>
        </w:tc>
        <w:tc>
          <w:tcPr>
            <w:tcW w:w="1056" w:type="dxa"/>
            <w:shd w:val="clear" w:color="auto" w:fill="auto"/>
          </w:tcPr>
          <w:p w14:paraId="07C88C2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33B4BAE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Nokia, Nokia Shanghai Bell</w:t>
            </w:r>
          </w:p>
        </w:tc>
        <w:tc>
          <w:tcPr>
            <w:tcW w:w="3588" w:type="dxa"/>
            <w:shd w:val="clear" w:color="auto" w:fill="auto"/>
          </w:tcPr>
          <w:p w14:paraId="377440B6"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details of NR Uu controlling LTE sidelink</w:t>
            </w:r>
          </w:p>
        </w:tc>
      </w:tr>
      <w:tr w:rsidR="00400AE4" w:rsidRPr="00400AE4" w14:paraId="557578B5" w14:textId="77777777" w:rsidTr="00400AE4">
        <w:tc>
          <w:tcPr>
            <w:tcW w:w="531" w:type="dxa"/>
            <w:tcBorders>
              <w:right w:val="single" w:sz="6" w:space="0" w:color="000000"/>
            </w:tcBorders>
            <w:shd w:val="clear" w:color="auto" w:fill="auto"/>
          </w:tcPr>
          <w:p w14:paraId="650E25D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4</w:t>
            </w:r>
          </w:p>
        </w:tc>
        <w:tc>
          <w:tcPr>
            <w:tcW w:w="1191" w:type="dxa"/>
            <w:tcBorders>
              <w:left w:val="single" w:sz="6" w:space="0" w:color="000000"/>
            </w:tcBorders>
            <w:shd w:val="clear" w:color="auto" w:fill="auto"/>
          </w:tcPr>
          <w:p w14:paraId="6ACFC06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R1-2000450</w:t>
            </w:r>
          </w:p>
        </w:tc>
        <w:tc>
          <w:tcPr>
            <w:tcW w:w="1056" w:type="dxa"/>
            <w:shd w:val="clear" w:color="auto" w:fill="auto"/>
          </w:tcPr>
          <w:p w14:paraId="3F152F9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2AD0B883" w14:textId="77777777" w:rsidR="00400AE4" w:rsidRPr="00400AE4" w:rsidRDefault="00400AE4" w:rsidP="00400AE4">
            <w:pPr>
              <w:autoSpaceDE/>
              <w:autoSpaceDN/>
              <w:adjustRightInd/>
              <w:snapToGrid/>
              <w:jc w:val="left"/>
              <w:rPr>
                <w:rFonts w:eastAsia="Calibri"/>
                <w:sz w:val="16"/>
              </w:rPr>
            </w:pPr>
            <w:r w:rsidRPr="00400AE4">
              <w:rPr>
                <w:rFonts w:eastAsia="Calibri"/>
                <w:sz w:val="16"/>
              </w:rPr>
              <w:t>MediaTek</w:t>
            </w:r>
          </w:p>
        </w:tc>
        <w:tc>
          <w:tcPr>
            <w:tcW w:w="3588" w:type="dxa"/>
            <w:shd w:val="clear" w:color="auto" w:fill="auto"/>
          </w:tcPr>
          <w:p w14:paraId="24433396" w14:textId="77777777" w:rsidR="00400AE4" w:rsidRPr="00400AE4" w:rsidRDefault="00400AE4" w:rsidP="00400AE4">
            <w:pPr>
              <w:autoSpaceDE/>
              <w:autoSpaceDN/>
              <w:adjustRightInd/>
              <w:snapToGrid/>
              <w:jc w:val="left"/>
              <w:rPr>
                <w:rFonts w:eastAsia="Calibri"/>
                <w:sz w:val="16"/>
              </w:rPr>
            </w:pPr>
            <w:r w:rsidRPr="00400AE4">
              <w:rPr>
                <w:rFonts w:eastAsia="Calibri"/>
                <w:sz w:val="16"/>
              </w:rPr>
              <w:t>Support of NR-Uu controlling LTE sidelink</w:t>
            </w:r>
          </w:p>
        </w:tc>
      </w:tr>
      <w:tr w:rsidR="00400AE4" w:rsidRPr="00400AE4" w14:paraId="7ADAEB56" w14:textId="77777777" w:rsidTr="00400AE4">
        <w:tc>
          <w:tcPr>
            <w:tcW w:w="531" w:type="dxa"/>
            <w:tcBorders>
              <w:right w:val="single" w:sz="6" w:space="0" w:color="000000"/>
            </w:tcBorders>
            <w:shd w:val="clear" w:color="auto" w:fill="auto"/>
          </w:tcPr>
          <w:p w14:paraId="16A4A693" w14:textId="77777777" w:rsidR="00400AE4" w:rsidRPr="00400AE4" w:rsidRDefault="00400AE4" w:rsidP="00400AE4">
            <w:pPr>
              <w:autoSpaceDE/>
              <w:autoSpaceDN/>
              <w:adjustRightInd/>
              <w:snapToGrid/>
              <w:jc w:val="left"/>
              <w:rPr>
                <w:rFonts w:eastAsia="Calibri"/>
                <w:sz w:val="16"/>
              </w:rPr>
            </w:pPr>
            <w:r w:rsidRPr="00400AE4">
              <w:rPr>
                <w:rFonts w:eastAsia="Calibri"/>
                <w:sz w:val="16"/>
              </w:rPr>
              <w:t>5</w:t>
            </w:r>
          </w:p>
        </w:tc>
        <w:tc>
          <w:tcPr>
            <w:tcW w:w="1191" w:type="dxa"/>
            <w:tcBorders>
              <w:left w:val="single" w:sz="6" w:space="0" w:color="000000"/>
            </w:tcBorders>
            <w:shd w:val="clear" w:color="auto" w:fill="auto"/>
          </w:tcPr>
          <w:p w14:paraId="459721A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R1-2000497</w:t>
            </w:r>
          </w:p>
        </w:tc>
        <w:tc>
          <w:tcPr>
            <w:tcW w:w="1056" w:type="dxa"/>
            <w:shd w:val="clear" w:color="auto" w:fill="auto"/>
          </w:tcPr>
          <w:p w14:paraId="51F3E69A"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14E28C5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OPPO</w:t>
            </w:r>
          </w:p>
        </w:tc>
        <w:tc>
          <w:tcPr>
            <w:tcW w:w="3588" w:type="dxa"/>
            <w:shd w:val="clear" w:color="auto" w:fill="auto"/>
          </w:tcPr>
          <w:p w14:paraId="522EE31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 xml:space="preserve">On DCI </w:t>
            </w:r>
            <w:proofErr w:type="spellStart"/>
            <w:r w:rsidRPr="00400AE4">
              <w:rPr>
                <w:rFonts w:eastAsia="Calibri"/>
                <w:sz w:val="16"/>
              </w:rPr>
              <w:t>signalling</w:t>
            </w:r>
            <w:proofErr w:type="spellEnd"/>
            <w:r w:rsidRPr="00400AE4">
              <w:rPr>
                <w:rFonts w:eastAsia="Calibri"/>
                <w:sz w:val="16"/>
              </w:rPr>
              <w:t xml:space="preserve"> to control LTE sidelink</w:t>
            </w:r>
          </w:p>
        </w:tc>
      </w:tr>
      <w:tr w:rsidR="00400AE4" w:rsidRPr="00400AE4" w14:paraId="322EB4B3" w14:textId="77777777" w:rsidTr="00400AE4">
        <w:tc>
          <w:tcPr>
            <w:tcW w:w="531" w:type="dxa"/>
            <w:tcBorders>
              <w:right w:val="single" w:sz="6" w:space="0" w:color="000000"/>
            </w:tcBorders>
            <w:shd w:val="clear" w:color="auto" w:fill="auto"/>
          </w:tcPr>
          <w:p w14:paraId="3B83296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6</w:t>
            </w:r>
          </w:p>
        </w:tc>
        <w:tc>
          <w:tcPr>
            <w:tcW w:w="1191" w:type="dxa"/>
            <w:tcBorders>
              <w:left w:val="single" w:sz="6" w:space="0" w:color="000000"/>
            </w:tcBorders>
            <w:shd w:val="clear" w:color="auto" w:fill="auto"/>
          </w:tcPr>
          <w:p w14:paraId="31D8CC5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R1-2000526</w:t>
            </w:r>
          </w:p>
        </w:tc>
        <w:tc>
          <w:tcPr>
            <w:tcW w:w="1056" w:type="dxa"/>
            <w:shd w:val="clear" w:color="auto" w:fill="auto"/>
          </w:tcPr>
          <w:p w14:paraId="65249AC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48525DF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CATT</w:t>
            </w:r>
          </w:p>
        </w:tc>
        <w:tc>
          <w:tcPr>
            <w:tcW w:w="3588" w:type="dxa"/>
            <w:shd w:val="clear" w:color="auto" w:fill="auto"/>
          </w:tcPr>
          <w:p w14:paraId="1AECBEB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issues on NR Uu controlling LTE sidelink</w:t>
            </w:r>
          </w:p>
        </w:tc>
      </w:tr>
      <w:tr w:rsidR="00400AE4" w:rsidRPr="00400AE4" w14:paraId="111ECF87" w14:textId="77777777" w:rsidTr="00400AE4">
        <w:tc>
          <w:tcPr>
            <w:tcW w:w="531" w:type="dxa"/>
            <w:tcBorders>
              <w:right w:val="single" w:sz="6" w:space="0" w:color="000000"/>
            </w:tcBorders>
            <w:shd w:val="clear" w:color="auto" w:fill="auto"/>
          </w:tcPr>
          <w:p w14:paraId="44D6F298" w14:textId="77777777" w:rsidR="00400AE4" w:rsidRPr="00400AE4" w:rsidRDefault="00400AE4" w:rsidP="00400AE4">
            <w:pPr>
              <w:autoSpaceDE/>
              <w:autoSpaceDN/>
              <w:adjustRightInd/>
              <w:snapToGrid/>
              <w:jc w:val="left"/>
              <w:rPr>
                <w:rFonts w:eastAsia="Calibri"/>
                <w:sz w:val="16"/>
              </w:rPr>
            </w:pPr>
            <w:r w:rsidRPr="00400AE4">
              <w:rPr>
                <w:rFonts w:eastAsia="Calibri"/>
                <w:sz w:val="16"/>
              </w:rPr>
              <w:t>7</w:t>
            </w:r>
          </w:p>
        </w:tc>
        <w:tc>
          <w:tcPr>
            <w:tcW w:w="1191" w:type="dxa"/>
            <w:tcBorders>
              <w:left w:val="single" w:sz="6" w:space="0" w:color="000000"/>
            </w:tcBorders>
            <w:shd w:val="clear" w:color="auto" w:fill="auto"/>
          </w:tcPr>
          <w:p w14:paraId="05259A9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R1-2000571</w:t>
            </w:r>
          </w:p>
        </w:tc>
        <w:tc>
          <w:tcPr>
            <w:tcW w:w="1056" w:type="dxa"/>
            <w:shd w:val="clear" w:color="auto" w:fill="auto"/>
          </w:tcPr>
          <w:p w14:paraId="0EA7955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decision</w:t>
            </w:r>
          </w:p>
        </w:tc>
        <w:tc>
          <w:tcPr>
            <w:tcW w:w="2226" w:type="dxa"/>
            <w:shd w:val="clear" w:color="auto" w:fill="auto"/>
          </w:tcPr>
          <w:p w14:paraId="4E196E0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Futurewei</w:t>
            </w:r>
          </w:p>
        </w:tc>
        <w:tc>
          <w:tcPr>
            <w:tcW w:w="3588" w:type="dxa"/>
            <w:shd w:val="clear" w:color="auto" w:fill="auto"/>
          </w:tcPr>
          <w:p w14:paraId="409E84D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details on the support of NR Uu controlling LTE sidelink</w:t>
            </w:r>
          </w:p>
        </w:tc>
      </w:tr>
      <w:tr w:rsidR="00400AE4" w:rsidRPr="00400AE4" w14:paraId="0E03D5A8" w14:textId="77777777" w:rsidTr="00400AE4">
        <w:tc>
          <w:tcPr>
            <w:tcW w:w="531" w:type="dxa"/>
            <w:tcBorders>
              <w:right w:val="single" w:sz="6" w:space="0" w:color="000000"/>
            </w:tcBorders>
            <w:shd w:val="clear" w:color="auto" w:fill="auto"/>
          </w:tcPr>
          <w:p w14:paraId="660C2CA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8</w:t>
            </w:r>
          </w:p>
        </w:tc>
        <w:tc>
          <w:tcPr>
            <w:tcW w:w="1191" w:type="dxa"/>
            <w:tcBorders>
              <w:left w:val="single" w:sz="6" w:space="0" w:color="000000"/>
            </w:tcBorders>
            <w:shd w:val="clear" w:color="auto" w:fill="auto"/>
          </w:tcPr>
          <w:p w14:paraId="7C1B09B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R1-2000623</w:t>
            </w:r>
          </w:p>
        </w:tc>
        <w:tc>
          <w:tcPr>
            <w:tcW w:w="1056" w:type="dxa"/>
            <w:shd w:val="clear" w:color="auto" w:fill="auto"/>
          </w:tcPr>
          <w:p w14:paraId="3450B10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16A3799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Samsung</w:t>
            </w:r>
          </w:p>
        </w:tc>
        <w:tc>
          <w:tcPr>
            <w:tcW w:w="3588" w:type="dxa"/>
            <w:shd w:val="clear" w:color="auto" w:fill="auto"/>
          </w:tcPr>
          <w:p w14:paraId="187B490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On NR Uu Controlling LTE Sidelink</w:t>
            </w:r>
          </w:p>
        </w:tc>
      </w:tr>
      <w:tr w:rsidR="00400AE4" w:rsidRPr="00400AE4" w14:paraId="518424F3" w14:textId="77777777" w:rsidTr="00400AE4">
        <w:tc>
          <w:tcPr>
            <w:tcW w:w="531" w:type="dxa"/>
            <w:tcBorders>
              <w:right w:val="single" w:sz="6" w:space="0" w:color="000000"/>
            </w:tcBorders>
            <w:shd w:val="clear" w:color="auto" w:fill="auto"/>
          </w:tcPr>
          <w:p w14:paraId="44284C9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9</w:t>
            </w:r>
          </w:p>
        </w:tc>
        <w:tc>
          <w:tcPr>
            <w:tcW w:w="1191" w:type="dxa"/>
            <w:tcBorders>
              <w:left w:val="single" w:sz="6" w:space="0" w:color="000000"/>
            </w:tcBorders>
            <w:shd w:val="clear" w:color="auto" w:fill="auto"/>
          </w:tcPr>
          <w:p w14:paraId="590F56C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R1-2000787</w:t>
            </w:r>
          </w:p>
        </w:tc>
        <w:tc>
          <w:tcPr>
            <w:tcW w:w="1056" w:type="dxa"/>
            <w:shd w:val="clear" w:color="auto" w:fill="auto"/>
          </w:tcPr>
          <w:p w14:paraId="3C802DC3"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1C68712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LGE</w:t>
            </w:r>
          </w:p>
        </w:tc>
        <w:tc>
          <w:tcPr>
            <w:tcW w:w="3588" w:type="dxa"/>
            <w:shd w:val="clear" w:color="auto" w:fill="auto"/>
          </w:tcPr>
          <w:p w14:paraId="6DC99A7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 on NR Uu controlling LTE sidelink</w:t>
            </w:r>
          </w:p>
        </w:tc>
      </w:tr>
      <w:tr w:rsidR="00400AE4" w:rsidRPr="00400AE4" w14:paraId="3A33D2CC" w14:textId="77777777" w:rsidTr="00400AE4">
        <w:tc>
          <w:tcPr>
            <w:tcW w:w="531" w:type="dxa"/>
            <w:tcBorders>
              <w:right w:val="single" w:sz="6" w:space="0" w:color="000000"/>
            </w:tcBorders>
            <w:shd w:val="clear" w:color="auto" w:fill="auto"/>
          </w:tcPr>
          <w:p w14:paraId="558A636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10</w:t>
            </w:r>
          </w:p>
        </w:tc>
        <w:tc>
          <w:tcPr>
            <w:tcW w:w="1191" w:type="dxa"/>
            <w:tcBorders>
              <w:left w:val="single" w:sz="6" w:space="0" w:color="000000"/>
            </w:tcBorders>
            <w:shd w:val="clear" w:color="auto" w:fill="auto"/>
          </w:tcPr>
          <w:p w14:paraId="3915550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R1-2000822</w:t>
            </w:r>
          </w:p>
        </w:tc>
        <w:tc>
          <w:tcPr>
            <w:tcW w:w="1056" w:type="dxa"/>
            <w:shd w:val="clear" w:color="auto" w:fill="auto"/>
          </w:tcPr>
          <w:p w14:paraId="026C57E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decision</w:t>
            </w:r>
          </w:p>
        </w:tc>
        <w:tc>
          <w:tcPr>
            <w:tcW w:w="2226" w:type="dxa"/>
            <w:shd w:val="clear" w:color="auto" w:fill="auto"/>
          </w:tcPr>
          <w:p w14:paraId="1175B2C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Futurewei</w:t>
            </w:r>
          </w:p>
        </w:tc>
        <w:tc>
          <w:tcPr>
            <w:tcW w:w="3588" w:type="dxa"/>
            <w:shd w:val="clear" w:color="auto" w:fill="auto"/>
          </w:tcPr>
          <w:p w14:paraId="6B5959E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Summary of critical issues for NR Uu scheduling LTE sidelink</w:t>
            </w:r>
          </w:p>
        </w:tc>
      </w:tr>
      <w:tr w:rsidR="00400AE4" w:rsidRPr="00400AE4" w14:paraId="4A2012B3" w14:textId="77777777" w:rsidTr="00400AE4">
        <w:tc>
          <w:tcPr>
            <w:tcW w:w="531" w:type="dxa"/>
            <w:tcBorders>
              <w:right w:val="single" w:sz="6" w:space="0" w:color="000000"/>
            </w:tcBorders>
            <w:shd w:val="clear" w:color="auto" w:fill="auto"/>
          </w:tcPr>
          <w:p w14:paraId="712AA5B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11</w:t>
            </w:r>
          </w:p>
        </w:tc>
        <w:tc>
          <w:tcPr>
            <w:tcW w:w="1191" w:type="dxa"/>
            <w:tcBorders>
              <w:left w:val="single" w:sz="6" w:space="0" w:color="000000"/>
            </w:tcBorders>
            <w:shd w:val="clear" w:color="auto" w:fill="auto"/>
          </w:tcPr>
          <w:p w14:paraId="0C233904"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R1-2000854</w:t>
            </w:r>
          </w:p>
        </w:tc>
        <w:tc>
          <w:tcPr>
            <w:tcW w:w="1056" w:type="dxa"/>
            <w:shd w:val="clear" w:color="auto" w:fill="auto"/>
          </w:tcPr>
          <w:p w14:paraId="3E4F0D78"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79C4853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Apple</w:t>
            </w:r>
          </w:p>
        </w:tc>
        <w:tc>
          <w:tcPr>
            <w:tcW w:w="3588" w:type="dxa"/>
            <w:shd w:val="clear" w:color="auto" w:fill="auto"/>
          </w:tcPr>
          <w:p w14:paraId="033779E8" w14:textId="77777777" w:rsidR="00400AE4" w:rsidRPr="00400AE4" w:rsidRDefault="00400AE4" w:rsidP="00400AE4">
            <w:pPr>
              <w:autoSpaceDE/>
              <w:autoSpaceDN/>
              <w:adjustRightInd/>
              <w:snapToGrid/>
              <w:jc w:val="left"/>
              <w:rPr>
                <w:rFonts w:eastAsia="Calibri"/>
                <w:sz w:val="16"/>
              </w:rPr>
            </w:pPr>
            <w:r w:rsidRPr="00400AE4">
              <w:rPr>
                <w:rFonts w:eastAsia="Calibri"/>
                <w:sz w:val="16"/>
              </w:rPr>
              <w:t>On size alignment of DCI format 3_1</w:t>
            </w:r>
          </w:p>
        </w:tc>
      </w:tr>
      <w:tr w:rsidR="00400AE4" w:rsidRPr="00400AE4" w14:paraId="03AC2C46" w14:textId="77777777" w:rsidTr="00400AE4">
        <w:tc>
          <w:tcPr>
            <w:tcW w:w="531" w:type="dxa"/>
            <w:tcBorders>
              <w:right w:val="single" w:sz="6" w:space="0" w:color="000000"/>
            </w:tcBorders>
            <w:shd w:val="clear" w:color="auto" w:fill="auto"/>
          </w:tcPr>
          <w:p w14:paraId="4B7A46D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12</w:t>
            </w:r>
          </w:p>
        </w:tc>
        <w:tc>
          <w:tcPr>
            <w:tcW w:w="1191" w:type="dxa"/>
            <w:tcBorders>
              <w:left w:val="single" w:sz="6" w:space="0" w:color="000000"/>
            </w:tcBorders>
            <w:shd w:val="clear" w:color="auto" w:fill="auto"/>
          </w:tcPr>
          <w:p w14:paraId="2CFBCAC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R1-2000967</w:t>
            </w:r>
          </w:p>
        </w:tc>
        <w:tc>
          <w:tcPr>
            <w:tcW w:w="1056" w:type="dxa"/>
            <w:shd w:val="clear" w:color="auto" w:fill="auto"/>
          </w:tcPr>
          <w:p w14:paraId="529EB14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2D04804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Qualcomm</w:t>
            </w:r>
          </w:p>
        </w:tc>
        <w:tc>
          <w:tcPr>
            <w:tcW w:w="3588" w:type="dxa"/>
            <w:shd w:val="clear" w:color="auto" w:fill="auto"/>
          </w:tcPr>
          <w:p w14:paraId="20B9410A" w14:textId="77777777" w:rsidR="00400AE4" w:rsidRPr="00400AE4" w:rsidRDefault="00400AE4" w:rsidP="00400AE4">
            <w:pPr>
              <w:autoSpaceDE/>
              <w:autoSpaceDN/>
              <w:adjustRightInd/>
              <w:snapToGrid/>
              <w:jc w:val="left"/>
              <w:rPr>
                <w:rFonts w:eastAsia="Calibri"/>
                <w:sz w:val="16"/>
              </w:rPr>
            </w:pPr>
            <w:proofErr w:type="spellStart"/>
            <w:r w:rsidRPr="00400AE4">
              <w:rPr>
                <w:rFonts w:eastAsia="Calibri"/>
                <w:sz w:val="16"/>
              </w:rPr>
              <w:t>Syncronisation</w:t>
            </w:r>
            <w:proofErr w:type="spellEnd"/>
            <w:r w:rsidRPr="00400AE4">
              <w:rPr>
                <w:rFonts w:eastAsia="Calibri"/>
                <w:sz w:val="16"/>
              </w:rPr>
              <w:t xml:space="preserve"> details for NR-V2X</w:t>
            </w:r>
          </w:p>
        </w:tc>
      </w:tr>
      <w:tr w:rsidR="00400AE4" w:rsidRPr="00400AE4" w14:paraId="22BA76B1" w14:textId="77777777" w:rsidTr="00400AE4">
        <w:tc>
          <w:tcPr>
            <w:tcW w:w="531" w:type="dxa"/>
            <w:tcBorders>
              <w:right w:val="single" w:sz="6" w:space="0" w:color="000000"/>
            </w:tcBorders>
            <w:shd w:val="clear" w:color="auto" w:fill="auto"/>
          </w:tcPr>
          <w:p w14:paraId="7F2B3166"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13</w:t>
            </w:r>
          </w:p>
        </w:tc>
        <w:tc>
          <w:tcPr>
            <w:tcW w:w="1191" w:type="dxa"/>
            <w:tcBorders>
              <w:left w:val="single" w:sz="6" w:space="0" w:color="000000"/>
            </w:tcBorders>
            <w:shd w:val="clear" w:color="auto" w:fill="auto"/>
          </w:tcPr>
          <w:p w14:paraId="37130A3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R1-2001014</w:t>
            </w:r>
          </w:p>
        </w:tc>
        <w:tc>
          <w:tcPr>
            <w:tcW w:w="1056" w:type="dxa"/>
            <w:shd w:val="clear" w:color="auto" w:fill="auto"/>
          </w:tcPr>
          <w:p w14:paraId="707AE89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363AE80A" w14:textId="77777777" w:rsidR="00400AE4" w:rsidRPr="00400AE4" w:rsidRDefault="00400AE4" w:rsidP="00400AE4">
            <w:pPr>
              <w:autoSpaceDE/>
              <w:autoSpaceDN/>
              <w:adjustRightInd/>
              <w:snapToGrid/>
              <w:jc w:val="left"/>
              <w:rPr>
                <w:rFonts w:eastAsia="Calibri"/>
                <w:sz w:val="16"/>
              </w:rPr>
            </w:pPr>
            <w:r w:rsidRPr="00400AE4">
              <w:rPr>
                <w:rFonts w:eastAsia="Calibri"/>
                <w:sz w:val="16"/>
              </w:rPr>
              <w:t>Ericsson</w:t>
            </w:r>
          </w:p>
        </w:tc>
        <w:tc>
          <w:tcPr>
            <w:tcW w:w="3588" w:type="dxa"/>
            <w:shd w:val="clear" w:color="auto" w:fill="auto"/>
          </w:tcPr>
          <w:p w14:paraId="0CE49E2E" w14:textId="5CB3FBEF" w:rsidR="00400AE4" w:rsidRPr="00400AE4" w:rsidRDefault="00400AE4" w:rsidP="00400AE4">
            <w:pPr>
              <w:autoSpaceDE/>
              <w:autoSpaceDN/>
              <w:adjustRightInd/>
              <w:snapToGrid/>
              <w:jc w:val="left"/>
              <w:rPr>
                <w:rFonts w:eastAsia="Calibri"/>
                <w:sz w:val="16"/>
              </w:rPr>
            </w:pPr>
            <w:r w:rsidRPr="00400AE4">
              <w:rPr>
                <w:rFonts w:eastAsia="Calibri"/>
                <w:sz w:val="16"/>
              </w:rPr>
              <w:t>NR UU controlling LTE sidelink transmission</w:t>
            </w:r>
            <w:r>
              <w:rPr>
                <w:rFonts w:eastAsia="Calibri"/>
                <w:sz w:val="16"/>
              </w:rPr>
              <w:t>s</w:t>
            </w:r>
          </w:p>
        </w:tc>
      </w:tr>
      <w:tr w:rsidR="00400AE4" w:rsidRPr="00400AE4" w14:paraId="3E9043B5" w14:textId="77777777" w:rsidTr="00400AE4">
        <w:tc>
          <w:tcPr>
            <w:tcW w:w="531" w:type="dxa"/>
            <w:tcBorders>
              <w:right w:val="single" w:sz="6" w:space="0" w:color="000000"/>
            </w:tcBorders>
            <w:shd w:val="clear" w:color="auto" w:fill="auto"/>
          </w:tcPr>
          <w:p w14:paraId="607926CA" w14:textId="04F8ED4B" w:rsidR="00400AE4" w:rsidRPr="00400AE4" w:rsidRDefault="00400AE4" w:rsidP="00400AE4">
            <w:pPr>
              <w:autoSpaceDE/>
              <w:autoSpaceDN/>
              <w:adjustRightInd/>
              <w:snapToGrid/>
              <w:jc w:val="left"/>
              <w:rPr>
                <w:rFonts w:eastAsia="Calibri"/>
                <w:sz w:val="16"/>
              </w:rPr>
            </w:pPr>
            <w:r>
              <w:rPr>
                <w:rFonts w:eastAsia="Calibri"/>
                <w:sz w:val="16"/>
              </w:rPr>
              <w:t>14</w:t>
            </w:r>
          </w:p>
        </w:tc>
        <w:tc>
          <w:tcPr>
            <w:tcW w:w="1191" w:type="dxa"/>
            <w:tcBorders>
              <w:left w:val="single" w:sz="6" w:space="0" w:color="000000"/>
            </w:tcBorders>
            <w:shd w:val="clear" w:color="auto" w:fill="auto"/>
          </w:tcPr>
          <w:p w14:paraId="22D201D4" w14:textId="5DEE255E" w:rsidR="00400AE4" w:rsidRPr="00400AE4" w:rsidRDefault="00400AE4" w:rsidP="00400AE4">
            <w:pPr>
              <w:autoSpaceDE/>
              <w:autoSpaceDN/>
              <w:adjustRightInd/>
              <w:snapToGrid/>
              <w:jc w:val="left"/>
              <w:rPr>
                <w:rFonts w:eastAsia="Calibri"/>
                <w:sz w:val="16"/>
              </w:rPr>
            </w:pPr>
            <w:r w:rsidRPr="00FD2D64">
              <w:rPr>
                <w:sz w:val="16"/>
              </w:rPr>
              <w:t>R1-2001010</w:t>
            </w:r>
          </w:p>
        </w:tc>
        <w:tc>
          <w:tcPr>
            <w:tcW w:w="1056" w:type="dxa"/>
            <w:shd w:val="clear" w:color="auto" w:fill="auto"/>
          </w:tcPr>
          <w:p w14:paraId="6D9CF1D0" w14:textId="141C6616" w:rsidR="00400AE4" w:rsidRPr="00400AE4" w:rsidRDefault="00400AE4" w:rsidP="00400AE4">
            <w:pPr>
              <w:autoSpaceDE/>
              <w:autoSpaceDN/>
              <w:adjustRightInd/>
              <w:snapToGrid/>
              <w:jc w:val="left"/>
              <w:rPr>
                <w:rFonts w:eastAsia="Calibri"/>
                <w:sz w:val="16"/>
              </w:rPr>
            </w:pPr>
            <w:r w:rsidRPr="00FD2D64">
              <w:rPr>
                <w:sz w:val="16"/>
              </w:rPr>
              <w:t>discussion</w:t>
            </w:r>
          </w:p>
        </w:tc>
        <w:tc>
          <w:tcPr>
            <w:tcW w:w="2226" w:type="dxa"/>
            <w:shd w:val="clear" w:color="auto" w:fill="auto"/>
          </w:tcPr>
          <w:p w14:paraId="38F5A390" w14:textId="208512CA" w:rsidR="00400AE4" w:rsidRPr="00400AE4" w:rsidRDefault="00400AE4" w:rsidP="00400AE4">
            <w:pPr>
              <w:autoSpaceDE/>
              <w:autoSpaceDN/>
              <w:adjustRightInd/>
              <w:snapToGrid/>
              <w:jc w:val="left"/>
              <w:rPr>
                <w:rFonts w:eastAsia="Calibri"/>
                <w:sz w:val="16"/>
              </w:rPr>
            </w:pPr>
            <w:r w:rsidRPr="00FD2D64">
              <w:rPr>
                <w:sz w:val="16"/>
              </w:rPr>
              <w:t>Ericsson</w:t>
            </w:r>
          </w:p>
        </w:tc>
        <w:tc>
          <w:tcPr>
            <w:tcW w:w="3588" w:type="dxa"/>
            <w:shd w:val="clear" w:color="auto" w:fill="auto"/>
          </w:tcPr>
          <w:p w14:paraId="42908D79" w14:textId="2C2E9D16" w:rsidR="00400AE4" w:rsidRPr="00400AE4" w:rsidRDefault="00400AE4" w:rsidP="00400AE4">
            <w:pPr>
              <w:autoSpaceDE/>
              <w:autoSpaceDN/>
              <w:adjustRightInd/>
              <w:snapToGrid/>
              <w:jc w:val="left"/>
              <w:rPr>
                <w:rFonts w:eastAsia="Calibri"/>
                <w:sz w:val="16"/>
              </w:rPr>
            </w:pPr>
            <w:r w:rsidRPr="00FD2D64">
              <w:rPr>
                <w:sz w:val="16"/>
              </w:rPr>
              <w:t>Other outstanding resource allocation issues</w:t>
            </w:r>
          </w:p>
        </w:tc>
      </w:tr>
    </w:tbl>
    <w:p w14:paraId="59282A4B" w14:textId="77777777" w:rsidR="00400AE4" w:rsidRPr="00400AE4" w:rsidRDefault="00400AE4" w:rsidP="00400AE4"/>
    <w:sectPr w:rsidR="00400AE4" w:rsidRPr="00400A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2A157" w14:textId="77777777" w:rsidR="00C27125" w:rsidRDefault="00C27125">
      <w:r>
        <w:separator/>
      </w:r>
    </w:p>
  </w:endnote>
  <w:endnote w:type="continuationSeparator" w:id="0">
    <w:p w14:paraId="1F52BEDE" w14:textId="77777777" w:rsidR="00C27125" w:rsidRDefault="00C2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0FB1C" w14:textId="77777777" w:rsidR="00C27125" w:rsidRDefault="00C27125">
      <w:r>
        <w:separator/>
      </w:r>
    </w:p>
  </w:footnote>
  <w:footnote w:type="continuationSeparator" w:id="0">
    <w:p w14:paraId="14A2E17A" w14:textId="77777777" w:rsidR="00C27125" w:rsidRDefault="00C27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46CE"/>
    <w:multiLevelType w:val="multilevel"/>
    <w:tmpl w:val="89482FC0"/>
    <w:numStyleLink w:val="3GPPListofBullets"/>
  </w:abstractNum>
  <w:abstractNum w:abstractNumId="1"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0D2E62"/>
    <w:multiLevelType w:val="hybridMultilevel"/>
    <w:tmpl w:val="46189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28213F"/>
    <w:multiLevelType w:val="hybridMultilevel"/>
    <w:tmpl w:val="87A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4013599B"/>
    <w:multiLevelType w:val="hybridMultilevel"/>
    <w:tmpl w:val="C67AB42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84D2F0DA"/>
    <w:lvl w:ilvl="0" w:tplc="901E4CC4">
      <w:start w:val="1"/>
      <w:numFmt w:val="decimal"/>
      <w:pStyle w:val="Observation"/>
      <w:lvlText w:val="Observation %1"/>
      <w:lvlJc w:val="left"/>
      <w:pPr>
        <w:ind w:left="360" w:hanging="360"/>
      </w:pPr>
    </w:lvl>
    <w:lvl w:ilvl="1" w:tplc="04090019">
      <w:start w:val="1"/>
      <w:numFmt w:val="lowerLetter"/>
      <w:lvlText w:val="%2."/>
      <w:lvlJc w:val="left"/>
      <w:pPr>
        <w:ind w:left="-1821" w:hanging="360"/>
      </w:pPr>
    </w:lvl>
    <w:lvl w:ilvl="2" w:tplc="0409001B">
      <w:start w:val="1"/>
      <w:numFmt w:val="lowerRoman"/>
      <w:lvlText w:val="%3."/>
      <w:lvlJc w:val="right"/>
      <w:pPr>
        <w:ind w:left="-1101" w:hanging="180"/>
      </w:pPr>
    </w:lvl>
    <w:lvl w:ilvl="3" w:tplc="0409000F">
      <w:start w:val="1"/>
      <w:numFmt w:val="decimal"/>
      <w:lvlText w:val="%4."/>
      <w:lvlJc w:val="left"/>
      <w:pPr>
        <w:ind w:left="-381" w:hanging="360"/>
      </w:pPr>
    </w:lvl>
    <w:lvl w:ilvl="4" w:tplc="04090019">
      <w:start w:val="1"/>
      <w:numFmt w:val="lowerLetter"/>
      <w:lvlText w:val="%5."/>
      <w:lvlJc w:val="left"/>
      <w:pPr>
        <w:ind w:left="339" w:hanging="360"/>
      </w:pPr>
    </w:lvl>
    <w:lvl w:ilvl="5" w:tplc="0409001B">
      <w:start w:val="1"/>
      <w:numFmt w:val="lowerRoman"/>
      <w:lvlText w:val="%6."/>
      <w:lvlJc w:val="right"/>
      <w:pPr>
        <w:ind w:left="1059" w:hanging="180"/>
      </w:pPr>
    </w:lvl>
    <w:lvl w:ilvl="6" w:tplc="0409000F">
      <w:start w:val="1"/>
      <w:numFmt w:val="decimal"/>
      <w:lvlText w:val="%7."/>
      <w:lvlJc w:val="left"/>
      <w:pPr>
        <w:ind w:left="1779" w:hanging="360"/>
      </w:pPr>
    </w:lvl>
    <w:lvl w:ilvl="7" w:tplc="04090019">
      <w:start w:val="1"/>
      <w:numFmt w:val="lowerLetter"/>
      <w:lvlText w:val="%8."/>
      <w:lvlJc w:val="left"/>
      <w:pPr>
        <w:ind w:left="2499" w:hanging="360"/>
      </w:pPr>
    </w:lvl>
    <w:lvl w:ilvl="8" w:tplc="0409001B">
      <w:start w:val="1"/>
      <w:numFmt w:val="lowerRoman"/>
      <w:lvlText w:val="%9."/>
      <w:lvlJc w:val="right"/>
      <w:pPr>
        <w:ind w:left="3219" w:hanging="180"/>
      </w:pPr>
    </w:lvl>
  </w:abstractNum>
  <w:abstractNum w:abstractNumId="24"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9800C1"/>
    <w:multiLevelType w:val="hybridMultilevel"/>
    <w:tmpl w:val="3CE8D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33E45"/>
    <w:multiLevelType w:val="hybridMultilevel"/>
    <w:tmpl w:val="4C50191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8" w15:restartNumberingAfterBreak="0">
    <w:nsid w:val="5AA7139C"/>
    <w:multiLevelType w:val="hybridMultilevel"/>
    <w:tmpl w:val="F53CBE7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5C740AFD"/>
    <w:multiLevelType w:val="hybridMultilevel"/>
    <w:tmpl w:val="9AEA9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17933"/>
    <w:multiLevelType w:val="multilevel"/>
    <w:tmpl w:val="456CAACC"/>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BB01D5B"/>
    <w:multiLevelType w:val="hybridMultilevel"/>
    <w:tmpl w:val="E36A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37E20"/>
    <w:multiLevelType w:val="hybridMultilevel"/>
    <w:tmpl w:val="DB7A5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192D"/>
    <w:multiLevelType w:val="hybridMultilevel"/>
    <w:tmpl w:val="CEF2CB64"/>
    <w:lvl w:ilvl="0" w:tplc="040B0001">
      <w:start w:val="1"/>
      <w:numFmt w:val="bullet"/>
      <w:lvlText w:val=""/>
      <w:lvlJc w:val="left"/>
      <w:pPr>
        <w:ind w:left="720" w:hanging="360"/>
      </w:pPr>
      <w:rPr>
        <w:rFonts w:ascii="Symbol" w:hAnsi="Symbol" w:hint="default"/>
      </w:rPr>
    </w:lvl>
    <w:lvl w:ilvl="1" w:tplc="6724567C">
      <w:start w:val="1"/>
      <w:numFmt w:val="bullet"/>
      <w:lvlText w:val="o"/>
      <w:lvlJc w:val="left"/>
      <w:pPr>
        <w:ind w:left="1440" w:hanging="360"/>
      </w:pPr>
      <w:rPr>
        <w:rFonts w:ascii="Courier New" w:hAnsi="Courier New" w:cs="Courier New" w:hint="default"/>
        <w:sz w:val="22"/>
        <w:szCs w:val="22"/>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7C0A00"/>
    <w:multiLevelType w:val="hybridMultilevel"/>
    <w:tmpl w:val="A7260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032A93"/>
    <w:multiLevelType w:val="hybridMultilevel"/>
    <w:tmpl w:val="8E62D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C3230D"/>
    <w:multiLevelType w:val="hybridMultilevel"/>
    <w:tmpl w:val="E898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30"/>
  </w:num>
  <w:num w:numId="4">
    <w:abstractNumId w:val="39"/>
  </w:num>
  <w:num w:numId="5">
    <w:abstractNumId w:val="13"/>
  </w:num>
  <w:num w:numId="6">
    <w:abstractNumId w:val="27"/>
  </w:num>
  <w:num w:numId="7">
    <w:abstractNumId w:val="17"/>
  </w:num>
  <w:num w:numId="8">
    <w:abstractNumId w:val="26"/>
  </w:num>
  <w:num w:numId="9">
    <w:abstractNumId w:val="38"/>
  </w:num>
  <w:num w:numId="10">
    <w:abstractNumId w:val="20"/>
  </w:num>
  <w:num w:numId="11">
    <w:abstractNumId w:val="21"/>
  </w:num>
  <w:num w:numId="12">
    <w:abstractNumId w:val="22"/>
  </w:num>
  <w:num w:numId="13">
    <w:abstractNumId w:val="8"/>
  </w:num>
  <w:num w:numId="14">
    <w:abstractNumId w:val="42"/>
  </w:num>
  <w:num w:numId="15">
    <w:abstractNumId w:val="12"/>
  </w:num>
  <w:num w:numId="16">
    <w:abstractNumId w:val="6"/>
  </w:num>
  <w:num w:numId="17">
    <w:abstractNumId w:val="31"/>
  </w:num>
  <w:num w:numId="18">
    <w:abstractNumId w:val="14"/>
  </w:num>
  <w:num w:numId="19">
    <w:abstractNumId w:val="40"/>
  </w:num>
  <w:num w:numId="20">
    <w:abstractNumId w:val="9"/>
  </w:num>
  <w:num w:numId="21">
    <w:abstractNumId w:val="2"/>
  </w:num>
  <w:num w:numId="22">
    <w:abstractNumId w:val="38"/>
  </w:num>
  <w:num w:numId="23">
    <w:abstractNumId w:val="11"/>
  </w:num>
  <w:num w:numId="24">
    <w:abstractNumId w:val="7"/>
  </w:num>
  <w:num w:numId="25">
    <w:abstractNumId w:val="0"/>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9"/>
  </w:num>
  <w:num w:numId="31">
    <w:abstractNumId w:val="41"/>
  </w:num>
  <w:num w:numId="32">
    <w:abstractNumId w:val="19"/>
  </w:num>
  <w:num w:numId="33">
    <w:abstractNumId w:val="28"/>
  </w:num>
  <w:num w:numId="34">
    <w:abstractNumId w:val="28"/>
  </w:num>
  <w:num w:numId="35">
    <w:abstractNumId w:val="5"/>
  </w:num>
  <w:num w:numId="36">
    <w:abstractNumId w:val="24"/>
  </w:num>
  <w:num w:numId="37">
    <w:abstractNumId w:val="25"/>
  </w:num>
  <w:num w:numId="38">
    <w:abstractNumId w:val="37"/>
  </w:num>
  <w:num w:numId="39">
    <w:abstractNumId w:val="35"/>
  </w:num>
  <w:num w:numId="40">
    <w:abstractNumId w:val="34"/>
  </w:num>
  <w:num w:numId="41">
    <w:abstractNumId w:val="3"/>
  </w:num>
  <w:num w:numId="42">
    <w:abstractNumId w:val="4"/>
  </w:num>
  <w:num w:numId="43">
    <w:abstractNumId w:val="36"/>
  </w:num>
  <w:num w:numId="44">
    <w:abstractNumId w:val="35"/>
    <w:lvlOverride w:ilvl="0"/>
    <w:lvlOverride w:ilvl="1"/>
    <w:lvlOverride w:ilvl="2"/>
    <w:lvlOverride w:ilvl="3"/>
    <w:lvlOverride w:ilvl="4"/>
    <w:lvlOverride w:ilvl="5"/>
    <w:lvlOverride w:ilvl="6"/>
    <w:lvlOverride w:ilvl="7"/>
    <w:lvlOverride w:ilvl="8"/>
  </w:num>
  <w:num w:numId="45">
    <w:abstractNumId w:val="36"/>
    <w:lvlOverride w:ilvl="0"/>
    <w:lvlOverride w:ilvl="1"/>
    <w:lvlOverride w:ilvl="2"/>
    <w:lvlOverride w:ilvl="3"/>
    <w:lvlOverride w:ilvl="4"/>
    <w:lvlOverride w:ilvl="5"/>
    <w:lvlOverride w:ilvl="6"/>
    <w:lvlOverride w:ilvl="7"/>
    <w:lvlOverride w:ilvl="8"/>
  </w:num>
  <w:num w:numId="46">
    <w:abstractNumId w:val="3"/>
    <w:lvlOverride w:ilvl="0"/>
    <w:lvlOverride w:ilvl="1"/>
    <w:lvlOverride w:ilvl="2"/>
    <w:lvlOverride w:ilvl="3"/>
    <w:lvlOverride w:ilvl="4"/>
    <w:lvlOverride w:ilvl="5"/>
    <w:lvlOverride w:ilvl="6"/>
    <w:lvlOverride w:ilvl="7"/>
    <w:lvlOverride w:ilvl="8"/>
  </w:num>
  <w:num w:numId="47">
    <w:abstractNumId w:val="15"/>
    <w:lvlOverride w:ilvl="0"/>
    <w:lvlOverride w:ilvl="1"/>
    <w:lvlOverride w:ilvl="2"/>
    <w:lvlOverride w:ilvl="3"/>
    <w:lvlOverride w:ilvl="4"/>
    <w:lvlOverride w:ilvl="5"/>
    <w:lvlOverride w:ilvl="6"/>
    <w:lvlOverride w:ilvl="7"/>
    <w:lvlOverride w:ilvl="8"/>
  </w:num>
  <w:num w:numId="4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AFF"/>
    <w:rsid w:val="00085E04"/>
    <w:rsid w:val="00086800"/>
    <w:rsid w:val="00086AA0"/>
    <w:rsid w:val="00087913"/>
    <w:rsid w:val="000902DC"/>
    <w:rsid w:val="00090946"/>
    <w:rsid w:val="000911AE"/>
    <w:rsid w:val="00092DF7"/>
    <w:rsid w:val="00093697"/>
    <w:rsid w:val="00093D42"/>
    <w:rsid w:val="00093DD0"/>
    <w:rsid w:val="00094A16"/>
    <w:rsid w:val="00094DE6"/>
    <w:rsid w:val="00094F11"/>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AD2"/>
    <w:rsid w:val="001141E3"/>
    <w:rsid w:val="001144DF"/>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5FEB"/>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8FE"/>
    <w:rsid w:val="00400AE4"/>
    <w:rsid w:val="0040126E"/>
    <w:rsid w:val="004015B7"/>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45D"/>
    <w:rsid w:val="0043547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E54"/>
    <w:rsid w:val="00463690"/>
    <w:rsid w:val="004646B4"/>
    <w:rsid w:val="00464A88"/>
    <w:rsid w:val="00464B01"/>
    <w:rsid w:val="004651A0"/>
    <w:rsid w:val="00465742"/>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641"/>
    <w:rsid w:val="007739C6"/>
    <w:rsid w:val="007747AF"/>
    <w:rsid w:val="00774889"/>
    <w:rsid w:val="00774FF5"/>
    <w:rsid w:val="007750B3"/>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953"/>
    <w:rsid w:val="007B2D3B"/>
    <w:rsid w:val="007B52CD"/>
    <w:rsid w:val="007B7DC1"/>
    <w:rsid w:val="007B7EDB"/>
    <w:rsid w:val="007C0718"/>
    <w:rsid w:val="007C0962"/>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466"/>
    <w:rsid w:val="008A366E"/>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20C"/>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1D69"/>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680"/>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864"/>
    <w:rsid w:val="00AE7933"/>
    <w:rsid w:val="00AE7949"/>
    <w:rsid w:val="00AF07BD"/>
    <w:rsid w:val="00AF0B68"/>
    <w:rsid w:val="00AF25D5"/>
    <w:rsid w:val="00AF3DBB"/>
    <w:rsid w:val="00AF4B8D"/>
    <w:rsid w:val="00AF5021"/>
    <w:rsid w:val="00AF5194"/>
    <w:rsid w:val="00AF53EF"/>
    <w:rsid w:val="00AF55EA"/>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0FDC"/>
    <w:rsid w:val="00F112FD"/>
    <w:rsid w:val="00F122A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512B2"/>
    <w:rsid w:val="00F5283D"/>
    <w:rsid w:val="00F52ABA"/>
    <w:rsid w:val="00F52BC7"/>
    <w:rsid w:val="00F53BF4"/>
    <w:rsid w:val="00F54266"/>
    <w:rsid w:val="00F54E90"/>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BC1"/>
    <w:rsid w:val="00FF6B4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character" w:customStyle="1" w:styleId="00MainTextChar">
    <w:name w:val="00 Main Text Char"/>
    <w:basedOn w:val="DefaultParagraphFont"/>
    <w:link w:val="00MainText"/>
    <w:locked/>
    <w:rsid w:val="00660734"/>
    <w:rPr>
      <w:rFonts w:ascii="Malgun Gothic" w:eastAsia="Malgun Gothic" w:hAnsi="Malgun Gothic" w:cs="Batang"/>
      <w:sz w:val="22"/>
      <w:lang w:val="en-GB"/>
    </w:rPr>
  </w:style>
  <w:style w:type="paragraph" w:customStyle="1" w:styleId="00MainText">
    <w:name w:val="00 Main Text"/>
    <w:basedOn w:val="Normal"/>
    <w:link w:val="00MainTextChar"/>
    <w:qFormat/>
    <w:rsid w:val="00660734"/>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numbering" w:customStyle="1" w:styleId="3GPPListofBullets">
    <w:name w:val="3GPP List of Bullets"/>
    <w:rsid w:val="00880013"/>
    <w:pPr>
      <w:numPr>
        <w:numId w:val="24"/>
      </w:numPr>
    </w:pPr>
  </w:style>
  <w:style w:type="paragraph" w:customStyle="1" w:styleId="3GPPText">
    <w:name w:val="3GPP Text"/>
    <w:basedOn w:val="Normal"/>
    <w:link w:val="3GPPTextChar"/>
    <w:qFormat/>
    <w:rsid w:val="00880013"/>
    <w:pPr>
      <w:overflowPunct w:val="0"/>
      <w:snapToGrid/>
      <w:spacing w:before="120"/>
      <w:textAlignment w:val="baseline"/>
    </w:pPr>
    <w:rPr>
      <w:szCs w:val="20"/>
    </w:rPr>
  </w:style>
  <w:style w:type="character" w:customStyle="1" w:styleId="3GPPTextChar">
    <w:name w:val="3GPP Text Char"/>
    <w:link w:val="3GPPText"/>
    <w:rsid w:val="00880013"/>
    <w:rPr>
      <w:sz w:val="22"/>
    </w:rPr>
  </w:style>
  <w:style w:type="paragraph" w:customStyle="1" w:styleId="YJ-Proposal">
    <w:name w:val="YJ-Proposal"/>
    <w:basedOn w:val="Normal"/>
    <w:qFormat/>
    <w:rsid w:val="00053C16"/>
    <w:pPr>
      <w:numPr>
        <w:numId w:val="26"/>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rsid w:val="00CD661A"/>
    <w:pPr>
      <w:numPr>
        <w:numId w:val="27"/>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sid w:val="00CE593D"/>
    <w:rPr>
      <w:kern w:val="2"/>
      <w:sz w:val="22"/>
      <w:szCs w:val="24"/>
      <w:lang w:val="en-GB" w:eastAsia="ko-KR"/>
    </w:rPr>
  </w:style>
  <w:style w:type="paragraph" w:customStyle="1" w:styleId="LGTdoc">
    <w:name w:val="LGTdoc_본문"/>
    <w:basedOn w:val="Normal"/>
    <w:link w:val="LGTdocChar"/>
    <w:rsid w:val="00CE593D"/>
    <w:pPr>
      <w:widowControl w:val="0"/>
      <w:spacing w:afterLines="50" w:after="0" w:line="264" w:lineRule="auto"/>
    </w:pPr>
    <w:rPr>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2596">
      <w:bodyDiv w:val="1"/>
      <w:marLeft w:val="0"/>
      <w:marRight w:val="0"/>
      <w:marTop w:val="0"/>
      <w:marBottom w:val="0"/>
      <w:divBdr>
        <w:top w:val="none" w:sz="0" w:space="0" w:color="auto"/>
        <w:left w:val="none" w:sz="0" w:space="0" w:color="auto"/>
        <w:bottom w:val="none" w:sz="0" w:space="0" w:color="auto"/>
        <w:right w:val="none" w:sz="0" w:space="0" w:color="auto"/>
      </w:divBdr>
    </w:div>
    <w:div w:id="2098098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9200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5446808">
      <w:bodyDiv w:val="1"/>
      <w:marLeft w:val="0"/>
      <w:marRight w:val="0"/>
      <w:marTop w:val="0"/>
      <w:marBottom w:val="0"/>
      <w:divBdr>
        <w:top w:val="none" w:sz="0" w:space="0" w:color="auto"/>
        <w:left w:val="none" w:sz="0" w:space="0" w:color="auto"/>
        <w:bottom w:val="none" w:sz="0" w:space="0" w:color="auto"/>
        <w:right w:val="none" w:sz="0" w:space="0" w:color="auto"/>
      </w:divBdr>
    </w:div>
    <w:div w:id="77000930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0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824576">
      <w:bodyDiv w:val="1"/>
      <w:marLeft w:val="0"/>
      <w:marRight w:val="0"/>
      <w:marTop w:val="0"/>
      <w:marBottom w:val="0"/>
      <w:divBdr>
        <w:top w:val="none" w:sz="0" w:space="0" w:color="auto"/>
        <w:left w:val="none" w:sz="0" w:space="0" w:color="auto"/>
        <w:bottom w:val="none" w:sz="0" w:space="0" w:color="auto"/>
        <w:right w:val="none" w:sz="0" w:space="0" w:color="auto"/>
      </w:divBdr>
    </w:div>
    <w:div w:id="1110785817">
      <w:bodyDiv w:val="1"/>
      <w:marLeft w:val="0"/>
      <w:marRight w:val="0"/>
      <w:marTop w:val="0"/>
      <w:marBottom w:val="0"/>
      <w:divBdr>
        <w:top w:val="none" w:sz="0" w:space="0" w:color="auto"/>
        <w:left w:val="none" w:sz="0" w:space="0" w:color="auto"/>
        <w:bottom w:val="none" w:sz="0" w:space="0" w:color="auto"/>
        <w:right w:val="none" w:sz="0" w:space="0" w:color="auto"/>
      </w:divBdr>
    </w:div>
    <w:div w:id="1141341313">
      <w:bodyDiv w:val="1"/>
      <w:marLeft w:val="0"/>
      <w:marRight w:val="0"/>
      <w:marTop w:val="0"/>
      <w:marBottom w:val="0"/>
      <w:divBdr>
        <w:top w:val="none" w:sz="0" w:space="0" w:color="auto"/>
        <w:left w:val="none" w:sz="0" w:space="0" w:color="auto"/>
        <w:bottom w:val="none" w:sz="0" w:space="0" w:color="auto"/>
        <w:right w:val="none" w:sz="0" w:space="0" w:color="auto"/>
      </w:divBdr>
    </w:div>
    <w:div w:id="1205946446">
      <w:bodyDiv w:val="1"/>
      <w:marLeft w:val="0"/>
      <w:marRight w:val="0"/>
      <w:marTop w:val="0"/>
      <w:marBottom w:val="0"/>
      <w:divBdr>
        <w:top w:val="none" w:sz="0" w:space="0" w:color="auto"/>
        <w:left w:val="none" w:sz="0" w:space="0" w:color="auto"/>
        <w:bottom w:val="none" w:sz="0" w:space="0" w:color="auto"/>
        <w:right w:val="none" w:sz="0" w:space="0" w:color="auto"/>
      </w:divBdr>
    </w:div>
    <w:div w:id="1239242249">
      <w:bodyDiv w:val="1"/>
      <w:marLeft w:val="0"/>
      <w:marRight w:val="0"/>
      <w:marTop w:val="0"/>
      <w:marBottom w:val="0"/>
      <w:divBdr>
        <w:top w:val="none" w:sz="0" w:space="0" w:color="auto"/>
        <w:left w:val="none" w:sz="0" w:space="0" w:color="auto"/>
        <w:bottom w:val="none" w:sz="0" w:space="0" w:color="auto"/>
        <w:right w:val="none" w:sz="0" w:space="0" w:color="auto"/>
      </w:divBdr>
    </w:div>
    <w:div w:id="1356886646">
      <w:bodyDiv w:val="1"/>
      <w:marLeft w:val="0"/>
      <w:marRight w:val="0"/>
      <w:marTop w:val="0"/>
      <w:marBottom w:val="0"/>
      <w:divBdr>
        <w:top w:val="none" w:sz="0" w:space="0" w:color="auto"/>
        <w:left w:val="none" w:sz="0" w:space="0" w:color="auto"/>
        <w:bottom w:val="none" w:sz="0" w:space="0" w:color="auto"/>
        <w:right w:val="none" w:sz="0" w:space="0" w:color="auto"/>
      </w:divBdr>
    </w:div>
    <w:div w:id="1369405173">
      <w:bodyDiv w:val="1"/>
      <w:marLeft w:val="0"/>
      <w:marRight w:val="0"/>
      <w:marTop w:val="0"/>
      <w:marBottom w:val="0"/>
      <w:divBdr>
        <w:top w:val="none" w:sz="0" w:space="0" w:color="auto"/>
        <w:left w:val="none" w:sz="0" w:space="0" w:color="auto"/>
        <w:bottom w:val="none" w:sz="0" w:space="0" w:color="auto"/>
        <w:right w:val="none" w:sz="0" w:space="0" w:color="auto"/>
      </w:divBdr>
    </w:div>
    <w:div w:id="1431001260">
      <w:bodyDiv w:val="1"/>
      <w:marLeft w:val="0"/>
      <w:marRight w:val="0"/>
      <w:marTop w:val="0"/>
      <w:marBottom w:val="0"/>
      <w:divBdr>
        <w:top w:val="none" w:sz="0" w:space="0" w:color="auto"/>
        <w:left w:val="none" w:sz="0" w:space="0" w:color="auto"/>
        <w:bottom w:val="none" w:sz="0" w:space="0" w:color="auto"/>
        <w:right w:val="none" w:sz="0" w:space="0" w:color="auto"/>
      </w:divBdr>
    </w:div>
    <w:div w:id="1447964712">
      <w:bodyDiv w:val="1"/>
      <w:marLeft w:val="0"/>
      <w:marRight w:val="0"/>
      <w:marTop w:val="0"/>
      <w:marBottom w:val="0"/>
      <w:divBdr>
        <w:top w:val="none" w:sz="0" w:space="0" w:color="auto"/>
        <w:left w:val="none" w:sz="0" w:space="0" w:color="auto"/>
        <w:bottom w:val="none" w:sz="0" w:space="0" w:color="auto"/>
        <w:right w:val="none" w:sz="0" w:space="0" w:color="auto"/>
      </w:divBdr>
    </w:div>
    <w:div w:id="1509172771">
      <w:bodyDiv w:val="1"/>
      <w:marLeft w:val="0"/>
      <w:marRight w:val="0"/>
      <w:marTop w:val="0"/>
      <w:marBottom w:val="0"/>
      <w:divBdr>
        <w:top w:val="none" w:sz="0" w:space="0" w:color="auto"/>
        <w:left w:val="none" w:sz="0" w:space="0" w:color="auto"/>
        <w:bottom w:val="none" w:sz="0" w:space="0" w:color="auto"/>
        <w:right w:val="none" w:sz="0" w:space="0" w:color="auto"/>
      </w:divBdr>
    </w:div>
    <w:div w:id="1632444110">
      <w:bodyDiv w:val="1"/>
      <w:marLeft w:val="0"/>
      <w:marRight w:val="0"/>
      <w:marTop w:val="0"/>
      <w:marBottom w:val="0"/>
      <w:divBdr>
        <w:top w:val="none" w:sz="0" w:space="0" w:color="auto"/>
        <w:left w:val="none" w:sz="0" w:space="0" w:color="auto"/>
        <w:bottom w:val="none" w:sz="0" w:space="0" w:color="auto"/>
        <w:right w:val="none" w:sz="0" w:space="0" w:color="auto"/>
      </w:divBdr>
    </w:div>
    <w:div w:id="16569548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031684">
      <w:bodyDiv w:val="1"/>
      <w:marLeft w:val="0"/>
      <w:marRight w:val="0"/>
      <w:marTop w:val="0"/>
      <w:marBottom w:val="0"/>
      <w:divBdr>
        <w:top w:val="none" w:sz="0" w:space="0" w:color="auto"/>
        <w:left w:val="none" w:sz="0" w:space="0" w:color="auto"/>
        <w:bottom w:val="none" w:sz="0" w:space="0" w:color="auto"/>
        <w:right w:val="none" w:sz="0" w:space="0" w:color="auto"/>
      </w:divBdr>
    </w:div>
    <w:div w:id="18250509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57939">
      <w:bodyDiv w:val="1"/>
      <w:marLeft w:val="0"/>
      <w:marRight w:val="0"/>
      <w:marTop w:val="0"/>
      <w:marBottom w:val="0"/>
      <w:divBdr>
        <w:top w:val="none" w:sz="0" w:space="0" w:color="auto"/>
        <w:left w:val="none" w:sz="0" w:space="0" w:color="auto"/>
        <w:bottom w:val="none" w:sz="0" w:space="0" w:color="auto"/>
        <w:right w:val="none" w:sz="0" w:space="0" w:color="auto"/>
      </w:divBdr>
    </w:div>
    <w:div w:id="1917276641">
      <w:bodyDiv w:val="1"/>
      <w:marLeft w:val="0"/>
      <w:marRight w:val="0"/>
      <w:marTop w:val="0"/>
      <w:marBottom w:val="0"/>
      <w:divBdr>
        <w:top w:val="none" w:sz="0" w:space="0" w:color="auto"/>
        <w:left w:val="none" w:sz="0" w:space="0" w:color="auto"/>
        <w:bottom w:val="none" w:sz="0" w:space="0" w:color="auto"/>
        <w:right w:val="none" w:sz="0" w:space="0" w:color="auto"/>
      </w:divBdr>
    </w:div>
    <w:div w:id="1920939922">
      <w:bodyDiv w:val="1"/>
      <w:marLeft w:val="0"/>
      <w:marRight w:val="0"/>
      <w:marTop w:val="0"/>
      <w:marBottom w:val="0"/>
      <w:divBdr>
        <w:top w:val="none" w:sz="0" w:space="0" w:color="auto"/>
        <w:left w:val="none" w:sz="0" w:space="0" w:color="auto"/>
        <w:bottom w:val="none" w:sz="0" w:space="0" w:color="auto"/>
        <w:right w:val="none" w:sz="0" w:space="0" w:color="auto"/>
      </w:divBdr>
    </w:div>
    <w:div w:id="1926566951">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261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61A14-3829-43E2-BE3A-B9DB8CC63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1406</Words>
  <Characters>8019</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Issues</vt:lpstr>
      <vt:lpstr>    Summary</vt:lpstr>
      <vt:lpstr>    Timing</vt:lpstr>
      <vt:lpstr>    DCI format size</vt:lpstr>
      <vt:lpstr>    Values of X</vt:lpstr>
      <vt:lpstr>    Capture of the decisions in TS36.213</vt:lpstr>
      <vt:lpstr>Decisions at previous meetings</vt:lpstr>
      <vt:lpstr>    RAN1#96</vt:lpstr>
      <vt:lpstr>    RAN1#96bis</vt:lpstr>
      <vt:lpstr>    RAN2#105bis</vt:lpstr>
      <vt:lpstr>    RAN1#97</vt:lpstr>
      <vt:lpstr>    RAN1#98</vt:lpstr>
      <vt:lpstr>    RAN1#98b</vt:lpstr>
      <vt:lpstr>    RAN1#99</vt:lpstr>
      <vt:lpstr>References</vt:lpstr>
    </vt:vector>
  </TitlesOfParts>
  <Company>Futurewei</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7</cp:revision>
  <cp:lastPrinted>2007-06-18T22:08:00Z</cp:lastPrinted>
  <dcterms:created xsi:type="dcterms:W3CDTF">2020-02-18T02:09:00Z</dcterms:created>
  <dcterms:modified xsi:type="dcterms:W3CDTF">2020-02-18T02:13:00Z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(3)cWe4Ixui+WenhSToL9Ewrvuw5LFG8HY+ZU35hnn0C0bCaRPCO02wvS+9PnNTT6Z9S4Ayi68h
kPOy75MLdatS1wKDuxF+jjZg8hBOk0yTkCyoct9oq3xyYVycPGqMyVaLaSoNQuo/T91alTdP
kWuVwWhRy+6JE8CfjUs5k+zSnFeFlP8HW9zzkhbFUR8kuv9fhausxGApcMvAh1FB86Cs2t1n
i5J195tx+c2fJaIRQ0</vt:lpwstr>
  </property>
  <property fmtid="{D5CDD505-2E9C-101B-9397-08002B2CF9AE}" pid="13" name="_2015_ms_pID_725343_00">
    <vt:lpwstr>_2015_ms_pID_725343</vt:lpwstr>
  </property>
  <property fmtid="{D5CDD505-2E9C-101B-9397-08002B2CF9AE}" pid="14" name="_2015_ms_pID_7253431">
    <vt:lpwstr>zgqS0dyqKVuEHOoQ8ybU6lgEnraI4auhGCKijmPZmLBZF1VMoIjvQz
0E1IWRyeXq5DvfTLVfCJAgldVfqDPsMMEKTrzz5rbGt9r1nISUQtZ45Bn7VT9LKjHRB3xn6p
ThNso3VABab9M+m0w9fHAwstXg2oRZTrSUvKKsdcXyjAuYIb62jc1D2vHC9GpzXT4sQgQv4H
e7Fsj6nE4S2lxbebIQ7KX3ytw86L8YR5cojv</vt:lpwstr>
  </property>
  <property fmtid="{D5CDD505-2E9C-101B-9397-08002B2CF9AE}" pid="15" name="_2015_ms_pID_7253431_00">
    <vt:lpwstr>_2015_ms_pID_7253431</vt:lpwstr>
  </property>
  <property fmtid="{D5CDD505-2E9C-101B-9397-08002B2CF9AE}" pid="16" name="_2015_ms_pID_7253432">
    <vt:lpwstr>MUGsLjdnF9DKDbe72J2ZnTfragisN8x7HCn/
7mxKF/ONe64h8Cy0GFLmxbqXOtdSurOXvZ4yhxpe/K6I2Fkb2Uk=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