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89EA" w14:textId="19740712" w:rsidR="00A03A09" w:rsidRPr="00D74B92" w:rsidRDefault="00A03A09" w:rsidP="00A03A0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9A783E0" wp14:editId="3A7B074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943B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sidR="009B7AAF">
        <w:rPr>
          <w:rFonts w:ascii="Arial" w:hAnsi="Arial" w:cs="Arial"/>
          <w:b/>
          <w:kern w:val="2"/>
          <w:lang w:eastAsia="zh-CN"/>
        </w:rPr>
        <w:t>100</w:t>
      </w:r>
      <w:r w:rsidR="00167426">
        <w:rPr>
          <w:rFonts w:ascii="Arial" w:hAnsi="Arial" w:cs="Arial"/>
          <w:b/>
          <w:kern w:val="2"/>
          <w:lang w:eastAsia="zh-CN"/>
        </w:rPr>
        <w:t>-e</w:t>
      </w:r>
      <w:r w:rsidRPr="00D74B92">
        <w:rPr>
          <w:rFonts w:ascii="Arial" w:hAnsi="Arial" w:cs="Arial"/>
          <w:b/>
          <w:kern w:val="2"/>
          <w:lang w:eastAsia="zh-CN"/>
        </w:rPr>
        <w:tab/>
        <w:t>R1-</w:t>
      </w:r>
      <w:r w:rsidR="009B7AAF">
        <w:rPr>
          <w:rFonts w:ascii="Arial" w:hAnsi="Arial" w:cs="Arial"/>
          <w:b/>
          <w:kern w:val="2"/>
          <w:lang w:eastAsia="zh-CN"/>
        </w:rPr>
        <w:t>20</w:t>
      </w:r>
      <w:r w:rsidR="009523E4">
        <w:rPr>
          <w:rFonts w:ascii="Arial" w:hAnsi="Arial" w:cs="Arial"/>
          <w:b/>
          <w:kern w:val="2"/>
          <w:lang w:eastAsia="zh-CN"/>
        </w:rPr>
        <w:t>00567</w:t>
      </w:r>
    </w:p>
    <w:p w14:paraId="77459A90" w14:textId="638AEF8C" w:rsidR="00A03A09" w:rsidRPr="007F5EC6" w:rsidRDefault="00167426" w:rsidP="00A03A09">
      <w:pPr>
        <w:jc w:val="left"/>
        <w:rPr>
          <w:rFonts w:ascii="Arial" w:hAnsi="Arial" w:cs="Arial"/>
          <w:b/>
          <w:kern w:val="2"/>
          <w:lang w:eastAsia="zh-CN"/>
        </w:rPr>
      </w:pPr>
      <w:r>
        <w:rPr>
          <w:rFonts w:ascii="Arial" w:hAnsi="Arial" w:cs="Arial"/>
          <w:b/>
          <w:kern w:val="2"/>
          <w:lang w:eastAsia="zh-CN"/>
        </w:rPr>
        <w:t>e-Meeting</w:t>
      </w:r>
      <w:r w:rsidR="00A03A09" w:rsidRPr="00D74B92">
        <w:rPr>
          <w:rFonts w:ascii="Arial" w:hAnsi="Arial" w:cs="Arial"/>
          <w:b/>
          <w:kern w:val="2"/>
          <w:lang w:eastAsia="zh-CN"/>
        </w:rPr>
        <w:t xml:space="preserve">, </w:t>
      </w:r>
      <w:r w:rsidR="009B7AAF">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44478E3C" w14:textId="4E0B964E"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w:t>
      </w:r>
      <w:r w:rsidR="004C434C">
        <w:rPr>
          <w:rFonts w:ascii="Arial" w:hAnsi="Arial" w:cs="Arial"/>
          <w:b/>
          <w:lang w:eastAsia="zh-CN"/>
        </w:rPr>
        <w:t>4.</w:t>
      </w:r>
      <w:r w:rsidR="00EB46BC">
        <w:rPr>
          <w:rFonts w:ascii="Arial" w:hAnsi="Arial" w:cs="Arial"/>
          <w:b/>
          <w:lang w:eastAsia="zh-CN"/>
        </w:rPr>
        <w:t>3</w:t>
      </w:r>
    </w:p>
    <w:p w14:paraId="08285A75" w14:textId="4CE22DE0"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9523E4" w:rsidRPr="009523E4">
        <w:rPr>
          <w:rFonts w:ascii="Arial" w:hAnsi="Arial" w:cs="Arial"/>
          <w:b/>
          <w:bCs/>
          <w:caps/>
          <w:shd w:val="clear" w:color="auto" w:fill="FFFFFF"/>
        </w:rPr>
        <w:t>F</w:t>
      </w:r>
      <w:r w:rsidR="009523E4" w:rsidRPr="009523E4">
        <w:rPr>
          <w:rFonts w:ascii="Arial" w:hAnsi="Arial" w:cs="Arial"/>
          <w:b/>
          <w:bCs/>
          <w:smallCaps/>
          <w:shd w:val="clear" w:color="auto" w:fill="FFFFFF"/>
        </w:rPr>
        <w:t>UTUREWEI</w:t>
      </w:r>
    </w:p>
    <w:p w14:paraId="0F22F8FF" w14:textId="7000D0E4"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B46BC" w:rsidRPr="00EB46BC">
        <w:rPr>
          <w:rFonts w:ascii="Arial" w:hAnsi="Arial" w:cs="Arial"/>
          <w:b/>
          <w:lang w:eastAsia="zh-CN"/>
        </w:rPr>
        <w:t>Remaining details on synchronization for sidelink</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808F366" w14:textId="34B682E0"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p>
    <w:p w14:paraId="25BE3639" w14:textId="3F62D1E8" w:rsidR="00495A39" w:rsidRDefault="00BE45B7" w:rsidP="00495A39">
      <w:pPr>
        <w:rPr>
          <w:lang w:eastAsia="zh-CN"/>
        </w:rPr>
      </w:pPr>
      <w:r>
        <w:rPr>
          <w:lang w:eastAsia="zh-CN"/>
        </w:rPr>
        <w:t xml:space="preserve">In [1], </w:t>
      </w:r>
      <w:r w:rsidR="008E2F31">
        <w:rPr>
          <w:lang w:eastAsia="zh-CN"/>
        </w:rPr>
        <w:t>four</w:t>
      </w:r>
      <w:r>
        <w:rPr>
          <w:lang w:eastAsia="zh-CN"/>
        </w:rPr>
        <w:t xml:space="preserve"> issues were identified</w:t>
      </w:r>
      <w:r w:rsidR="000D15B7">
        <w:rPr>
          <w:lang w:eastAsia="zh-CN"/>
        </w:rPr>
        <w:t xml:space="preserve"> for </w:t>
      </w:r>
      <w:r w:rsidR="00EB46BC">
        <w:rPr>
          <w:lang w:eastAsia="zh-CN"/>
        </w:rPr>
        <w:t>synchronization</w:t>
      </w:r>
      <w:r>
        <w:rPr>
          <w:lang w:eastAsia="zh-CN"/>
        </w:rPr>
        <w:t>, and are shown in Table 1. In this contribution, we discuss each of these issues.</w:t>
      </w:r>
      <w:r w:rsidR="009523E4">
        <w:rPr>
          <w:lang w:eastAsia="zh-CN"/>
        </w:rPr>
        <w:t xml:space="preserve"> Issues E1, E2 and E3 are critical to solve, whereas issue E4 is not as important.</w:t>
      </w:r>
    </w:p>
    <w:p w14:paraId="103E5106" w14:textId="2FB2F643" w:rsidR="00BE45B7" w:rsidRDefault="00BE45B7" w:rsidP="00BE45B7">
      <w:pPr>
        <w:pStyle w:val="Caption"/>
      </w:pPr>
      <w:r>
        <w:t xml:space="preserve">Table </w:t>
      </w:r>
      <w:r w:rsidR="006B0B0D">
        <w:fldChar w:fldCharType="begin"/>
      </w:r>
      <w:r w:rsidR="006B0B0D">
        <w:instrText xml:space="preserve"> SEQ Table \* ARABIC </w:instrText>
      </w:r>
      <w:r w:rsidR="006B0B0D">
        <w:fldChar w:fldCharType="separate"/>
      </w:r>
      <w:r w:rsidR="007F6CE9">
        <w:rPr>
          <w:noProof/>
        </w:rPr>
        <w:t>1</w:t>
      </w:r>
      <w:r w:rsidR="006B0B0D">
        <w:rPr>
          <w:noProof/>
        </w:rPr>
        <w:fldChar w:fldCharType="end"/>
      </w:r>
      <w:r>
        <w:t xml:space="preserve">. Open issues for </w:t>
      </w:r>
      <w:r w:rsidR="000D15B7">
        <w:t xml:space="preserve">mode </w:t>
      </w:r>
      <w:r w:rsidR="00167426">
        <w:t>2</w:t>
      </w:r>
      <w:r w:rsidR="000D15B7">
        <w:t xml:space="preserve"> resource allocation.</w:t>
      </w: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406"/>
        <w:gridCol w:w="1640"/>
      </w:tblGrid>
      <w:tr w:rsidR="00EB46BC" w:rsidRPr="004E1F9F" w14:paraId="3B4C94C1" w14:textId="77777777" w:rsidTr="00937D91">
        <w:tc>
          <w:tcPr>
            <w:tcW w:w="1527" w:type="dxa"/>
            <w:vMerge w:val="restart"/>
            <w:shd w:val="clear" w:color="auto" w:fill="auto"/>
          </w:tcPr>
          <w:p w14:paraId="732DEA00" w14:textId="255C1729" w:rsidR="00EB46BC" w:rsidRPr="004E1F9F" w:rsidRDefault="00EB46BC" w:rsidP="00EB46BC">
            <w:pPr>
              <w:spacing w:after="0" w:line="320" w:lineRule="exact"/>
              <w:rPr>
                <w:rFonts w:cs="Batang"/>
                <w:sz w:val="20"/>
                <w:lang w:eastAsia="ko-KR"/>
              </w:rPr>
            </w:pPr>
            <w:r w:rsidRPr="004E1F9F">
              <w:rPr>
                <w:rFonts w:cs="Batang" w:hint="eastAsia"/>
                <w:sz w:val="20"/>
                <w:lang w:eastAsia="ko-KR"/>
              </w:rPr>
              <w:t>Synchronization</w:t>
            </w:r>
          </w:p>
        </w:tc>
        <w:tc>
          <w:tcPr>
            <w:tcW w:w="595" w:type="dxa"/>
          </w:tcPr>
          <w:p w14:paraId="4376F5B0" w14:textId="3D151E17" w:rsidR="00EB46BC" w:rsidRPr="004E1F9F" w:rsidRDefault="00EB46BC" w:rsidP="00EB46BC">
            <w:pPr>
              <w:spacing w:after="0" w:line="320" w:lineRule="exact"/>
              <w:rPr>
                <w:rFonts w:cs="Batang"/>
                <w:sz w:val="20"/>
                <w:lang w:eastAsia="ko-KR"/>
              </w:rPr>
            </w:pPr>
            <w:r w:rsidRPr="004E1F9F">
              <w:rPr>
                <w:rFonts w:cs="Batang"/>
                <w:sz w:val="20"/>
                <w:lang w:eastAsia="ko-KR"/>
              </w:rPr>
              <w:t>E1</w:t>
            </w:r>
          </w:p>
        </w:tc>
        <w:tc>
          <w:tcPr>
            <w:tcW w:w="6406" w:type="dxa"/>
            <w:shd w:val="clear" w:color="auto" w:fill="auto"/>
          </w:tcPr>
          <w:p w14:paraId="45BC4C29" w14:textId="4B4FEAD5" w:rsidR="00EB46BC" w:rsidRPr="004E1F9F" w:rsidRDefault="00EB46BC" w:rsidP="00EB46BC">
            <w:pPr>
              <w:spacing w:after="0" w:line="320" w:lineRule="exact"/>
              <w:rPr>
                <w:rFonts w:cs="Batang"/>
                <w:sz w:val="20"/>
              </w:rPr>
            </w:pPr>
            <w:r>
              <w:t xml:space="preserve"> </w:t>
            </w:r>
            <w:r w:rsidRPr="00A019EB">
              <w:rPr>
                <w:rFonts w:cs="Batang"/>
                <w:sz w:val="20"/>
              </w:rPr>
              <w:t>Detai</w:t>
            </w:r>
            <w:r>
              <w:rPr>
                <w:rFonts w:cs="Batang"/>
                <w:sz w:val="20"/>
              </w:rPr>
              <w:t>ls of transmission power of S-SSB</w:t>
            </w:r>
          </w:p>
        </w:tc>
        <w:tc>
          <w:tcPr>
            <w:tcW w:w="1640" w:type="dxa"/>
            <w:shd w:val="clear" w:color="auto" w:fill="auto"/>
          </w:tcPr>
          <w:p w14:paraId="63C297F6" w14:textId="5A255DD6" w:rsidR="00EB46BC" w:rsidRPr="004E1F9F" w:rsidRDefault="00EB46BC" w:rsidP="00EB46BC">
            <w:pPr>
              <w:spacing w:after="0" w:line="320" w:lineRule="exact"/>
              <w:rPr>
                <w:rFonts w:cs="Batang"/>
                <w:sz w:val="20"/>
              </w:rPr>
            </w:pPr>
            <w:r w:rsidRPr="00A83C66">
              <w:rPr>
                <w:rFonts w:cs="Batang"/>
                <w:sz w:val="20"/>
                <w:lang w:eastAsia="ko-KR"/>
              </w:rPr>
              <w:t>Depends on the outcome of RAN1 discussion</w:t>
            </w:r>
          </w:p>
        </w:tc>
      </w:tr>
      <w:tr w:rsidR="00EB46BC" w:rsidRPr="004E1F9F" w14:paraId="71391EE3" w14:textId="77777777" w:rsidTr="00937D91">
        <w:tc>
          <w:tcPr>
            <w:tcW w:w="1527" w:type="dxa"/>
            <w:vMerge/>
            <w:shd w:val="clear" w:color="auto" w:fill="auto"/>
          </w:tcPr>
          <w:p w14:paraId="03F38888" w14:textId="77777777" w:rsidR="00EB46BC" w:rsidRPr="004E1F9F" w:rsidRDefault="00EB46BC" w:rsidP="00EB46BC">
            <w:pPr>
              <w:spacing w:after="0" w:line="320" w:lineRule="exact"/>
              <w:rPr>
                <w:rFonts w:cs="Batang"/>
                <w:sz w:val="20"/>
                <w:lang w:eastAsia="ko-KR"/>
              </w:rPr>
            </w:pPr>
          </w:p>
        </w:tc>
        <w:tc>
          <w:tcPr>
            <w:tcW w:w="595" w:type="dxa"/>
          </w:tcPr>
          <w:p w14:paraId="30C989C5" w14:textId="69C216D8" w:rsidR="00EB46BC" w:rsidRPr="004E1F9F" w:rsidRDefault="00EB46BC" w:rsidP="00EB46BC">
            <w:pPr>
              <w:spacing w:after="0" w:line="320" w:lineRule="exact"/>
              <w:rPr>
                <w:rFonts w:cs="Batang"/>
                <w:sz w:val="20"/>
                <w:lang w:eastAsia="ko-KR"/>
              </w:rPr>
            </w:pPr>
            <w:r>
              <w:rPr>
                <w:rFonts w:cs="Batang" w:hint="eastAsia"/>
                <w:sz w:val="20"/>
                <w:lang w:eastAsia="ko-KR"/>
              </w:rPr>
              <w:t>E2</w:t>
            </w:r>
          </w:p>
        </w:tc>
        <w:tc>
          <w:tcPr>
            <w:tcW w:w="6406" w:type="dxa"/>
            <w:shd w:val="clear" w:color="auto" w:fill="auto"/>
          </w:tcPr>
          <w:p w14:paraId="3EB72588" w14:textId="72489A66" w:rsidR="00EB46BC" w:rsidRPr="004E1F9F" w:rsidRDefault="00EB46BC" w:rsidP="00EB46BC">
            <w:pPr>
              <w:spacing w:after="0" w:line="320" w:lineRule="exact"/>
              <w:rPr>
                <w:rFonts w:cs="Batang"/>
                <w:sz w:val="20"/>
                <w:lang w:eastAsia="ko-KR"/>
              </w:rPr>
            </w:pPr>
            <w:bookmarkStart w:id="2" w:name="_Hlk32226355"/>
            <w:r w:rsidRPr="00A83C66">
              <w:rPr>
                <w:rFonts w:cs="Batang"/>
                <w:sz w:val="20"/>
                <w:lang w:eastAsia="ko-KR"/>
              </w:rPr>
              <w:t>Details</w:t>
            </w:r>
            <w:r>
              <w:rPr>
                <w:rFonts w:cs="Batang"/>
                <w:sz w:val="20"/>
                <w:lang w:eastAsia="ko-KR"/>
              </w:rPr>
              <w:t xml:space="preserve"> and </w:t>
            </w:r>
            <w:bookmarkStart w:id="3" w:name="_Hlk32226366"/>
            <w:r>
              <w:rPr>
                <w:rFonts w:cs="Batang"/>
                <w:sz w:val="20"/>
                <w:lang w:eastAsia="ko-KR"/>
              </w:rPr>
              <w:t xml:space="preserve">clarification of PSBCH contents including </w:t>
            </w:r>
            <w:r w:rsidRPr="00A83C66">
              <w:rPr>
                <w:rFonts w:cs="Batang"/>
                <w:sz w:val="20"/>
                <w:lang w:eastAsia="ko-KR"/>
              </w:rPr>
              <w:t>TDD configuration</w:t>
            </w:r>
            <w:r>
              <w:rPr>
                <w:rFonts w:cs="Batang"/>
                <w:sz w:val="20"/>
                <w:lang w:eastAsia="ko-KR"/>
              </w:rPr>
              <w:t xml:space="preserve"> and slot number</w:t>
            </w:r>
            <w:r w:rsidRPr="00A83C66">
              <w:rPr>
                <w:rFonts w:cs="Batang"/>
                <w:sz w:val="20"/>
                <w:lang w:eastAsia="ko-KR"/>
              </w:rPr>
              <w:t xml:space="preserve"> in P</w:t>
            </w:r>
            <w:bookmarkEnd w:id="3"/>
            <w:r w:rsidRPr="00A83C66">
              <w:rPr>
                <w:rFonts w:cs="Batang"/>
                <w:sz w:val="20"/>
                <w:lang w:eastAsia="ko-KR"/>
              </w:rPr>
              <w:t>SBCH</w:t>
            </w:r>
            <w:bookmarkEnd w:id="2"/>
          </w:p>
        </w:tc>
        <w:tc>
          <w:tcPr>
            <w:tcW w:w="1640" w:type="dxa"/>
            <w:shd w:val="clear" w:color="auto" w:fill="auto"/>
          </w:tcPr>
          <w:p w14:paraId="13279984" w14:textId="5ED28828" w:rsidR="00EB46BC" w:rsidRPr="004E1F9F" w:rsidRDefault="00EB46BC" w:rsidP="00EB46BC">
            <w:pPr>
              <w:spacing w:after="0" w:line="320" w:lineRule="exact"/>
              <w:rPr>
                <w:rFonts w:cs="Batang"/>
                <w:sz w:val="20"/>
                <w:lang w:eastAsia="ko-KR"/>
              </w:rPr>
            </w:pPr>
            <w:r>
              <w:rPr>
                <w:rFonts w:cs="Batang" w:hint="eastAsia"/>
                <w:sz w:val="20"/>
                <w:lang w:eastAsia="ko-KR"/>
              </w:rPr>
              <w:t>YES</w:t>
            </w:r>
          </w:p>
        </w:tc>
      </w:tr>
      <w:tr w:rsidR="00EB46BC" w:rsidRPr="004E1F9F" w14:paraId="4869B3FC" w14:textId="77777777" w:rsidTr="00937D91">
        <w:tc>
          <w:tcPr>
            <w:tcW w:w="1527" w:type="dxa"/>
            <w:vMerge/>
            <w:shd w:val="clear" w:color="auto" w:fill="auto"/>
          </w:tcPr>
          <w:p w14:paraId="3762E4AC" w14:textId="77777777" w:rsidR="00EB46BC" w:rsidRPr="004E1F9F" w:rsidRDefault="00EB46BC" w:rsidP="00EB46BC">
            <w:pPr>
              <w:spacing w:after="0" w:line="320" w:lineRule="exact"/>
              <w:rPr>
                <w:rFonts w:cs="Batang"/>
                <w:sz w:val="20"/>
                <w:lang w:eastAsia="ko-KR"/>
              </w:rPr>
            </w:pPr>
          </w:p>
        </w:tc>
        <w:tc>
          <w:tcPr>
            <w:tcW w:w="595" w:type="dxa"/>
          </w:tcPr>
          <w:p w14:paraId="67EB7E36" w14:textId="1A308639" w:rsidR="00EB46BC" w:rsidRPr="004E1F9F" w:rsidRDefault="00EB46BC" w:rsidP="00EB46BC">
            <w:pPr>
              <w:spacing w:after="0" w:line="320" w:lineRule="exact"/>
              <w:rPr>
                <w:rFonts w:cs="Batang"/>
                <w:sz w:val="20"/>
                <w:lang w:eastAsia="ko-KR"/>
              </w:rPr>
            </w:pPr>
            <w:r>
              <w:rPr>
                <w:rFonts w:cs="Batang" w:hint="eastAsia"/>
                <w:sz w:val="20"/>
                <w:lang w:eastAsia="ko-KR"/>
              </w:rPr>
              <w:t>E3</w:t>
            </w:r>
          </w:p>
        </w:tc>
        <w:tc>
          <w:tcPr>
            <w:tcW w:w="6406" w:type="dxa"/>
            <w:shd w:val="clear" w:color="auto" w:fill="auto"/>
          </w:tcPr>
          <w:p w14:paraId="5055D4C1" w14:textId="7A98841B" w:rsidR="00EB46BC" w:rsidRPr="004E1F9F" w:rsidDel="00EA0FC4" w:rsidRDefault="00EB46BC" w:rsidP="00EB46BC">
            <w:pPr>
              <w:spacing w:after="0" w:line="320" w:lineRule="exact"/>
              <w:rPr>
                <w:rFonts w:cs="Batang"/>
                <w:sz w:val="20"/>
                <w:lang w:eastAsia="ko-KR"/>
              </w:rPr>
            </w:pPr>
            <w:r>
              <w:rPr>
                <w:rFonts w:cs="Batang" w:hint="eastAsia"/>
                <w:sz w:val="20"/>
                <w:lang w:eastAsia="ko-KR"/>
              </w:rPr>
              <w:t>DM RS sequence initialization for PSBCH</w:t>
            </w:r>
          </w:p>
        </w:tc>
        <w:tc>
          <w:tcPr>
            <w:tcW w:w="1640" w:type="dxa"/>
            <w:shd w:val="clear" w:color="auto" w:fill="auto"/>
          </w:tcPr>
          <w:p w14:paraId="07CFC29D" w14:textId="50C4130B" w:rsidR="00EB46BC" w:rsidRPr="004E1F9F" w:rsidRDefault="00EB46BC" w:rsidP="00EB46BC">
            <w:pPr>
              <w:spacing w:after="0" w:line="320" w:lineRule="exact"/>
              <w:rPr>
                <w:rFonts w:cs="Batang"/>
                <w:sz w:val="20"/>
                <w:lang w:eastAsia="ko-KR"/>
              </w:rPr>
            </w:pPr>
            <w:r>
              <w:rPr>
                <w:rFonts w:cs="Batang" w:hint="eastAsia"/>
                <w:sz w:val="20"/>
                <w:lang w:eastAsia="ko-KR"/>
              </w:rPr>
              <w:t>No</w:t>
            </w:r>
          </w:p>
        </w:tc>
      </w:tr>
      <w:tr w:rsidR="00EB46BC" w:rsidRPr="00293B1F" w14:paraId="010951D0" w14:textId="77777777" w:rsidTr="00937D91">
        <w:tc>
          <w:tcPr>
            <w:tcW w:w="1527" w:type="dxa"/>
            <w:vMerge/>
            <w:shd w:val="clear" w:color="auto" w:fill="auto"/>
          </w:tcPr>
          <w:p w14:paraId="1A2AB82B" w14:textId="77777777" w:rsidR="00EB46BC" w:rsidRPr="004E1F9F" w:rsidRDefault="00EB46BC" w:rsidP="00EB46BC">
            <w:pPr>
              <w:spacing w:after="0" w:line="320" w:lineRule="exact"/>
              <w:rPr>
                <w:rFonts w:cs="Batang"/>
                <w:sz w:val="20"/>
                <w:lang w:eastAsia="ko-KR"/>
              </w:rPr>
            </w:pPr>
          </w:p>
        </w:tc>
        <w:tc>
          <w:tcPr>
            <w:tcW w:w="595" w:type="dxa"/>
          </w:tcPr>
          <w:p w14:paraId="73E8197E" w14:textId="70D47F6F" w:rsidR="00EB46BC" w:rsidRDefault="00EB46BC" w:rsidP="00EB46BC">
            <w:pPr>
              <w:spacing w:after="0" w:line="320" w:lineRule="exact"/>
              <w:rPr>
                <w:rFonts w:cs="Batang"/>
                <w:sz w:val="20"/>
                <w:lang w:eastAsia="ko-KR"/>
              </w:rPr>
            </w:pPr>
            <w:r>
              <w:rPr>
                <w:rFonts w:cs="Batang" w:hint="eastAsia"/>
                <w:sz w:val="20"/>
                <w:lang w:eastAsia="ko-KR"/>
              </w:rPr>
              <w:t>E4</w:t>
            </w:r>
          </w:p>
        </w:tc>
        <w:tc>
          <w:tcPr>
            <w:tcW w:w="6406" w:type="dxa"/>
            <w:shd w:val="clear" w:color="auto" w:fill="auto"/>
          </w:tcPr>
          <w:p w14:paraId="2A26E8BE" w14:textId="14DEF9F8" w:rsidR="00EB46BC" w:rsidRDefault="00EB46BC" w:rsidP="00EB46BC">
            <w:pPr>
              <w:spacing w:after="0" w:line="320" w:lineRule="exact"/>
              <w:rPr>
                <w:rFonts w:cs="Batang"/>
                <w:sz w:val="20"/>
                <w:lang w:eastAsia="ko-KR"/>
              </w:rPr>
            </w:pPr>
            <w:r>
              <w:rPr>
                <w:rFonts w:cs="Batang" w:hint="eastAsia"/>
                <w:sz w:val="20"/>
                <w:lang w:eastAsia="ko-KR"/>
              </w:rPr>
              <w:t>Whether/how to define QCL for S-SSB transmission</w:t>
            </w:r>
          </w:p>
        </w:tc>
        <w:tc>
          <w:tcPr>
            <w:tcW w:w="1640" w:type="dxa"/>
            <w:shd w:val="clear" w:color="auto" w:fill="auto"/>
          </w:tcPr>
          <w:p w14:paraId="31BB7F24" w14:textId="2A39A51E" w:rsidR="00EB46BC" w:rsidRPr="00293B1F" w:rsidRDefault="00EB46BC" w:rsidP="00EB46BC">
            <w:pPr>
              <w:spacing w:after="0" w:line="320" w:lineRule="exact"/>
              <w:rPr>
                <w:rFonts w:cs="Batang"/>
                <w:sz w:val="20"/>
                <w:lang w:eastAsia="ko-KR"/>
              </w:rPr>
            </w:pPr>
            <w:r>
              <w:rPr>
                <w:rFonts w:cs="Batang"/>
                <w:sz w:val="20"/>
                <w:lang w:eastAsia="ko-KR"/>
              </w:rPr>
              <w:t>No</w:t>
            </w:r>
          </w:p>
        </w:tc>
      </w:tr>
    </w:tbl>
    <w:p w14:paraId="62522A62" w14:textId="0530D6C2" w:rsidR="008E2F31" w:rsidRDefault="008E2F31" w:rsidP="008E2F31"/>
    <w:p w14:paraId="3DAB8C32" w14:textId="77777777" w:rsidR="008E2F31" w:rsidRPr="008E2F31" w:rsidRDefault="008E2F31" w:rsidP="008E2F31"/>
    <w:p w14:paraId="35954F20" w14:textId="7B56A34F" w:rsidR="00816E9B" w:rsidRDefault="00EE4568" w:rsidP="00493C77">
      <w:pPr>
        <w:pStyle w:val="Heading1"/>
      </w:pPr>
      <w:r>
        <w:t>Discussion</w:t>
      </w:r>
    </w:p>
    <w:p w14:paraId="6A7317E9" w14:textId="4741ADE2" w:rsidR="009C7E6B" w:rsidRDefault="000D15B7" w:rsidP="009C7E6B">
      <w:pPr>
        <w:pStyle w:val="Heading2"/>
      </w:pPr>
      <w:r>
        <w:t xml:space="preserve">Details of </w:t>
      </w:r>
      <w:r w:rsidR="009729CF">
        <w:t>transmission power of S-SSB</w:t>
      </w:r>
    </w:p>
    <w:p w14:paraId="40CF320F" w14:textId="323FFEAE" w:rsidR="004E7D30" w:rsidRDefault="002105F0" w:rsidP="004A4B61">
      <w:pPr>
        <w:rPr>
          <w:rFonts w:eastAsia="Times New Roman"/>
          <w:szCs w:val="20"/>
          <w:lang w:eastAsia="ko-KR"/>
        </w:rPr>
      </w:pPr>
      <w:r>
        <w:rPr>
          <w:rFonts w:eastAsia="Times New Roman"/>
          <w:szCs w:val="20"/>
          <w:lang w:eastAsia="ko-KR"/>
        </w:rPr>
        <w:t>At RAN1#97, the following was agreed:</w:t>
      </w:r>
    </w:p>
    <w:p w14:paraId="5BFB5BB3" w14:textId="77777777" w:rsidR="002105F0" w:rsidRPr="002105F0" w:rsidRDefault="002105F0" w:rsidP="002105F0">
      <w:pPr>
        <w:rPr>
          <w:i/>
          <w:iCs/>
        </w:rPr>
      </w:pPr>
      <w:r w:rsidRPr="002105F0">
        <w:rPr>
          <w:i/>
          <w:iCs/>
        </w:rPr>
        <w:t>The impact on detection probability performance of having or not having a transient period between S-PSS and S-SSS symbols is used to evaluate the following:</w:t>
      </w:r>
    </w:p>
    <w:p w14:paraId="54F9C41C" w14:textId="77777777" w:rsidR="002105F0" w:rsidRPr="002105F0" w:rsidRDefault="002105F0" w:rsidP="002105F0">
      <w:pPr>
        <w:numPr>
          <w:ilvl w:val="0"/>
          <w:numId w:val="35"/>
        </w:numPr>
        <w:autoSpaceDE/>
        <w:autoSpaceDN/>
        <w:adjustRightInd/>
        <w:snapToGrid/>
        <w:spacing w:after="0"/>
        <w:jc w:val="left"/>
        <w:rPr>
          <w:i/>
          <w:iCs/>
        </w:rPr>
      </w:pPr>
      <w:r w:rsidRPr="002105F0">
        <w:rPr>
          <w:i/>
          <w:iCs/>
        </w:rPr>
        <w:t>Alt 1: S-PSS symbols and S-SSS symbols are adjacent.</w:t>
      </w:r>
    </w:p>
    <w:p w14:paraId="0CE53719" w14:textId="77777777" w:rsidR="002105F0" w:rsidRPr="002105F0" w:rsidRDefault="002105F0" w:rsidP="002105F0">
      <w:pPr>
        <w:numPr>
          <w:ilvl w:val="0"/>
          <w:numId w:val="35"/>
        </w:numPr>
        <w:autoSpaceDE/>
        <w:autoSpaceDN/>
        <w:adjustRightInd/>
        <w:snapToGrid/>
        <w:spacing w:after="0"/>
        <w:jc w:val="left"/>
        <w:rPr>
          <w:i/>
          <w:iCs/>
        </w:rPr>
      </w:pPr>
      <w:r w:rsidRPr="002105F0">
        <w:rPr>
          <w:i/>
          <w:iCs/>
        </w:rPr>
        <w:t>Alt 2: S-PSS symbols and S-SSS symbols are not adjacent.</w:t>
      </w:r>
    </w:p>
    <w:p w14:paraId="507F7427" w14:textId="77777777" w:rsidR="002105F0" w:rsidRPr="002105F0" w:rsidRDefault="002105F0" w:rsidP="002105F0">
      <w:pPr>
        <w:rPr>
          <w:i/>
          <w:iCs/>
        </w:rPr>
      </w:pPr>
      <w:r w:rsidRPr="002105F0">
        <w:rPr>
          <w:i/>
          <w:iCs/>
        </w:rPr>
        <w:t>FFS (aim to conclude this week – see below)</w:t>
      </w:r>
    </w:p>
    <w:p w14:paraId="4497CD3E" w14:textId="77777777" w:rsidR="002105F0" w:rsidRPr="002105F0" w:rsidRDefault="002105F0" w:rsidP="002105F0">
      <w:pPr>
        <w:numPr>
          <w:ilvl w:val="0"/>
          <w:numId w:val="35"/>
        </w:numPr>
        <w:autoSpaceDE/>
        <w:autoSpaceDN/>
        <w:adjustRightInd/>
        <w:snapToGrid/>
        <w:spacing w:after="0"/>
        <w:jc w:val="left"/>
        <w:rPr>
          <w:i/>
          <w:iCs/>
        </w:rPr>
      </w:pPr>
      <w:r w:rsidRPr="002105F0">
        <w:rPr>
          <w:i/>
          <w:iCs/>
        </w:rPr>
        <w:t>The power difference between S-PSS and S-SSS symbols.</w:t>
      </w:r>
    </w:p>
    <w:p w14:paraId="0EA98B88" w14:textId="77777777" w:rsidR="002105F0" w:rsidRPr="002105F0" w:rsidRDefault="002105F0" w:rsidP="002105F0">
      <w:pPr>
        <w:numPr>
          <w:ilvl w:val="0"/>
          <w:numId w:val="35"/>
        </w:numPr>
        <w:autoSpaceDE/>
        <w:autoSpaceDN/>
        <w:adjustRightInd/>
        <w:snapToGrid/>
        <w:spacing w:after="0"/>
        <w:jc w:val="left"/>
        <w:rPr>
          <w:i/>
          <w:iCs/>
        </w:rPr>
      </w:pPr>
      <w:r w:rsidRPr="002105F0">
        <w:rPr>
          <w:i/>
          <w:iCs/>
        </w:rPr>
        <w:t>The transient duration.</w:t>
      </w:r>
    </w:p>
    <w:p w14:paraId="71282DE0" w14:textId="77777777" w:rsidR="002105F0" w:rsidRPr="002105F0" w:rsidRDefault="002105F0" w:rsidP="002105F0">
      <w:pPr>
        <w:rPr>
          <w:rFonts w:eastAsia="DengXian"/>
          <w:i/>
          <w:iCs/>
          <w:lang w:eastAsia="zh-CN"/>
        </w:rPr>
      </w:pPr>
    </w:p>
    <w:p w14:paraId="21226629" w14:textId="40755AC6" w:rsidR="002105F0" w:rsidRPr="002105F0" w:rsidRDefault="002105F0" w:rsidP="002105F0">
      <w:pPr>
        <w:rPr>
          <w:rFonts w:eastAsia="DengXian"/>
          <w:i/>
          <w:iCs/>
          <w:lang w:eastAsia="zh-CN"/>
        </w:rPr>
      </w:pPr>
      <w:r w:rsidRPr="002105F0">
        <w:rPr>
          <w:rFonts w:eastAsia="DengXian"/>
          <w:i/>
          <w:iCs/>
          <w:lang w:eastAsia="zh-CN"/>
        </w:rPr>
        <w:t>The following parameters are assumed for evaluation:</w:t>
      </w:r>
    </w:p>
    <w:p w14:paraId="3FB5F8CE" w14:textId="77777777" w:rsidR="002105F0" w:rsidRPr="002105F0" w:rsidRDefault="002105F0" w:rsidP="002105F0">
      <w:pPr>
        <w:numPr>
          <w:ilvl w:val="0"/>
          <w:numId w:val="35"/>
        </w:numPr>
        <w:autoSpaceDE/>
        <w:autoSpaceDN/>
        <w:adjustRightInd/>
        <w:snapToGrid/>
        <w:spacing w:after="0"/>
        <w:jc w:val="left"/>
        <w:rPr>
          <w:i/>
          <w:iCs/>
        </w:rPr>
      </w:pPr>
      <w:r w:rsidRPr="002105F0">
        <w:rPr>
          <w:i/>
          <w:iCs/>
        </w:rPr>
        <w:t>Power Difference for S-PSS and S-SSS symbols:</w:t>
      </w:r>
    </w:p>
    <w:p w14:paraId="4316BC5F" w14:textId="77777777" w:rsidR="002105F0" w:rsidRPr="002105F0" w:rsidRDefault="002105F0" w:rsidP="002105F0">
      <w:pPr>
        <w:numPr>
          <w:ilvl w:val="1"/>
          <w:numId w:val="35"/>
        </w:numPr>
        <w:autoSpaceDE/>
        <w:autoSpaceDN/>
        <w:adjustRightInd/>
        <w:snapToGrid/>
        <w:spacing w:after="0"/>
        <w:jc w:val="left"/>
        <w:rPr>
          <w:i/>
          <w:iCs/>
        </w:rPr>
      </w:pPr>
      <w:r w:rsidRPr="002105F0">
        <w:rPr>
          <w:i/>
          <w:iCs/>
        </w:rPr>
        <w:t>Opt.1) MPR values: S-PSS = 0 dB, S-SSS = 3 dB;</w:t>
      </w:r>
    </w:p>
    <w:p w14:paraId="5A455191" w14:textId="77777777" w:rsidR="002105F0" w:rsidRPr="002105F0" w:rsidRDefault="002105F0" w:rsidP="002105F0">
      <w:pPr>
        <w:numPr>
          <w:ilvl w:val="1"/>
          <w:numId w:val="35"/>
        </w:numPr>
        <w:autoSpaceDE/>
        <w:autoSpaceDN/>
        <w:adjustRightInd/>
        <w:snapToGrid/>
        <w:spacing w:after="0"/>
        <w:jc w:val="left"/>
        <w:rPr>
          <w:i/>
          <w:iCs/>
        </w:rPr>
      </w:pPr>
      <w:r w:rsidRPr="002105F0">
        <w:rPr>
          <w:i/>
          <w:iCs/>
        </w:rPr>
        <w:t>Opt.2) MPR values: S-PSS = 3 dB, S-SSS = 3 dB</w:t>
      </w:r>
    </w:p>
    <w:p w14:paraId="5C1A27A9" w14:textId="57CCFD52" w:rsidR="002105F0" w:rsidRPr="002105F0" w:rsidRDefault="002105F0" w:rsidP="004A4B61">
      <w:pPr>
        <w:numPr>
          <w:ilvl w:val="1"/>
          <w:numId w:val="35"/>
        </w:numPr>
        <w:autoSpaceDE/>
        <w:autoSpaceDN/>
        <w:adjustRightInd/>
        <w:snapToGrid/>
        <w:spacing w:after="0"/>
        <w:jc w:val="left"/>
        <w:rPr>
          <w:i/>
          <w:iCs/>
        </w:rPr>
      </w:pPr>
      <w:r w:rsidRPr="002105F0">
        <w:rPr>
          <w:i/>
          <w:iCs/>
        </w:rPr>
        <w:t>Opt.3) companies to report the assumed MPR values</w:t>
      </w:r>
    </w:p>
    <w:p w14:paraId="6E1F1B16" w14:textId="77939F6C" w:rsidR="002105F0" w:rsidRDefault="002105F0" w:rsidP="002105F0">
      <w:pPr>
        <w:autoSpaceDE/>
        <w:autoSpaceDN/>
        <w:adjustRightInd/>
        <w:snapToGrid/>
        <w:spacing w:after="0"/>
        <w:jc w:val="left"/>
      </w:pPr>
    </w:p>
    <w:p w14:paraId="7557E0C0" w14:textId="55779D11" w:rsidR="002105F0" w:rsidRDefault="002105F0" w:rsidP="002105F0">
      <w:pPr>
        <w:autoSpaceDE/>
        <w:autoSpaceDN/>
        <w:adjustRightInd/>
        <w:snapToGrid/>
        <w:spacing w:after="0"/>
        <w:jc w:val="left"/>
      </w:pPr>
      <w:r>
        <w:t>The decision on the power difference between S-PSS and S-SSS has not concluded yet. In this section, we express our views on that topic.</w:t>
      </w:r>
    </w:p>
    <w:p w14:paraId="69E931AC" w14:textId="77777777" w:rsidR="00253557" w:rsidRDefault="00253557" w:rsidP="00A2117F">
      <w:pPr>
        <w:autoSpaceDE/>
        <w:autoSpaceDN/>
        <w:adjustRightInd/>
        <w:snapToGrid/>
        <w:spacing w:after="0"/>
      </w:pPr>
    </w:p>
    <w:p w14:paraId="5A65F4ED" w14:textId="4B88394E" w:rsidR="00253557" w:rsidRDefault="002105F0" w:rsidP="00A2117F">
      <w:pPr>
        <w:autoSpaceDE/>
        <w:autoSpaceDN/>
        <w:adjustRightInd/>
        <w:snapToGrid/>
        <w:spacing w:after="0"/>
      </w:pPr>
      <w:r>
        <w:t xml:space="preserve">S-PSS has lower PAPR than S-SSS. </w:t>
      </w:r>
      <w:r w:rsidR="00A2117F">
        <w:t xml:space="preserve">Thus, for a given maximum transmit power, a UE can transmit the S-PSS at a higher average transmit power than the S-SSS. Thus, the UE could reduce </w:t>
      </w:r>
      <w:proofErr w:type="gramStart"/>
      <w:r w:rsidR="00A2117F">
        <w:t>its</w:t>
      </w:r>
      <w:proofErr w:type="gramEnd"/>
      <w:r w:rsidR="00A2117F">
        <w:t xml:space="preserve"> transmit power on </w:t>
      </w:r>
      <w:r w:rsidR="00A2117F">
        <w:lastRenderedPageBreak/>
        <w:t xml:space="preserve">the P-SSS since the S-SSS is the limiting factor at the receiving UE. This is the rationale </w:t>
      </w:r>
      <w:r w:rsidR="00253557">
        <w:t xml:space="preserve">for </w:t>
      </w:r>
      <w:r w:rsidR="00A2117F">
        <w:t xml:space="preserve">Option </w:t>
      </w:r>
      <w:r w:rsidR="00253557">
        <w:t>1</w:t>
      </w:r>
      <w:r w:rsidR="00A2117F">
        <w:t xml:space="preserve">. However, we note that reducing the transmit power on the P-SSS has extremely limited benefits, if any, for the transmitting UE. Reducing the transmit power of two symbols transmitted relatively infrequently is likely to have negligible benefits at the UE. On the other hand, if a UE correctly receives the P-SSS, but not the S-SSS, nothing is broken. The receiving UE cannot obtain synchronization but would not acquire it anyway since there is not enough power budget at the transmitting UE. </w:t>
      </w:r>
    </w:p>
    <w:p w14:paraId="31796853" w14:textId="294E684A" w:rsidR="00253557" w:rsidRDefault="00253557" w:rsidP="00A2117F">
      <w:pPr>
        <w:autoSpaceDE/>
        <w:autoSpaceDN/>
        <w:adjustRightInd/>
        <w:snapToGrid/>
        <w:spacing w:after="0"/>
      </w:pPr>
    </w:p>
    <w:p w14:paraId="68D16AE4" w14:textId="440B4E50" w:rsidR="002105F0" w:rsidRDefault="00253557" w:rsidP="00A2117F">
      <w:pPr>
        <w:autoSpaceDE/>
        <w:autoSpaceDN/>
        <w:adjustRightInd/>
        <w:snapToGrid/>
        <w:spacing w:after="0"/>
      </w:pPr>
      <w:r>
        <w:t xml:space="preserve">Another consideration is the need to maintain a constant EPRE. Unlike, SSB block structure where SSS is nested with PBCH motivating different EPRE between SSS and PSS, S-SSB block structure is a fixed structure with 127 </w:t>
      </w:r>
      <w:proofErr w:type="spellStart"/>
      <w:r>
        <w:t>REs.</w:t>
      </w:r>
      <w:proofErr w:type="spellEnd"/>
      <w:r>
        <w:t xml:space="preserve"> Therefore, a fixed EPRE between S-PSS and S-SSS ensures fixed power for both S-PSS and S-SSS. </w:t>
      </w:r>
      <w:r w:rsidR="00A2117F">
        <w:t xml:space="preserve">Thus, we </w:t>
      </w:r>
      <w:proofErr w:type="gramStart"/>
      <w:r w:rsidR="00A2117F">
        <w:t>prefer to have</w:t>
      </w:r>
      <w:proofErr w:type="gramEnd"/>
      <w:r w:rsidR="00A2117F">
        <w:t xml:space="preserve"> a UE transmitting both the P-SSS and S-SSS at the same (full) power</w:t>
      </w:r>
      <w:r>
        <w:t>.</w:t>
      </w:r>
    </w:p>
    <w:p w14:paraId="4BE489F9" w14:textId="77777777" w:rsidR="00253557" w:rsidRDefault="00253557" w:rsidP="00A2117F">
      <w:pPr>
        <w:autoSpaceDE/>
        <w:autoSpaceDN/>
        <w:adjustRightInd/>
        <w:snapToGrid/>
        <w:spacing w:after="0"/>
      </w:pPr>
    </w:p>
    <w:p w14:paraId="4F2922F2" w14:textId="257E582F" w:rsidR="00A2117F" w:rsidRPr="00A2117F" w:rsidRDefault="00A2117F" w:rsidP="00A2117F">
      <w:pPr>
        <w:autoSpaceDE/>
        <w:autoSpaceDN/>
        <w:adjustRightInd/>
        <w:snapToGrid/>
        <w:spacing w:after="0"/>
        <w:rPr>
          <w:b/>
          <w:bCs/>
          <w:i/>
          <w:iCs/>
        </w:rPr>
      </w:pPr>
      <w:r w:rsidRPr="00A2117F">
        <w:rPr>
          <w:b/>
          <w:bCs/>
          <w:i/>
          <w:iCs/>
        </w:rPr>
        <w:t>Proposal 1: there is no power difference for P-SSS and S-SSS transmission.</w:t>
      </w:r>
    </w:p>
    <w:p w14:paraId="78412E21" w14:textId="77777777" w:rsidR="002105F0" w:rsidRPr="002105F0" w:rsidRDefault="002105F0" w:rsidP="002105F0">
      <w:pPr>
        <w:autoSpaceDE/>
        <w:autoSpaceDN/>
        <w:adjustRightInd/>
        <w:snapToGrid/>
        <w:spacing w:after="0"/>
        <w:jc w:val="left"/>
      </w:pPr>
    </w:p>
    <w:p w14:paraId="5D97EA44" w14:textId="3C0EE871" w:rsidR="000D15B7" w:rsidRDefault="000D15B7" w:rsidP="000D15B7">
      <w:pPr>
        <w:pStyle w:val="Heading2"/>
      </w:pPr>
      <w:r>
        <w:t xml:space="preserve">Details </w:t>
      </w:r>
      <w:r w:rsidR="00FC70DC">
        <w:t>of</w:t>
      </w:r>
      <w:r>
        <w:t xml:space="preserve"> </w:t>
      </w:r>
      <w:r w:rsidR="009729CF" w:rsidRPr="009729CF">
        <w:t xml:space="preserve">TDD configuration </w:t>
      </w:r>
      <w:r w:rsidR="00253557">
        <w:t>indications in PSBCH</w:t>
      </w:r>
    </w:p>
    <w:p w14:paraId="72EA1B79" w14:textId="5BCEED28" w:rsidR="000C730A" w:rsidRDefault="007F6CE9" w:rsidP="00D049B2">
      <w:pPr>
        <w:spacing w:after="0"/>
      </w:pPr>
      <w:r>
        <w:t>The PSBCH content was agreed as described in Table 2.</w:t>
      </w:r>
    </w:p>
    <w:p w14:paraId="2C6CEDA0" w14:textId="77777777" w:rsidR="00253557" w:rsidRDefault="00253557" w:rsidP="00D049B2">
      <w:pPr>
        <w:spacing w:after="0"/>
      </w:pPr>
    </w:p>
    <w:p w14:paraId="1F622C06" w14:textId="011254C1" w:rsidR="007F6CE9" w:rsidRDefault="00810551" w:rsidP="00810551">
      <w:pPr>
        <w:pStyle w:val="Caption"/>
        <w:keepNext/>
        <w:tabs>
          <w:tab w:val="center" w:pos="4658"/>
          <w:tab w:val="left" w:pos="8013"/>
        </w:tabs>
        <w:jc w:val="left"/>
      </w:pPr>
      <w:r>
        <w:tab/>
      </w:r>
      <w:r w:rsidR="007F6CE9">
        <w:t xml:space="preserve">Table </w:t>
      </w:r>
      <w:r w:rsidR="006B0B0D">
        <w:fldChar w:fldCharType="begin"/>
      </w:r>
      <w:r w:rsidR="006B0B0D">
        <w:instrText xml:space="preserve"> SEQ Table \* ARABIC </w:instrText>
      </w:r>
      <w:r w:rsidR="006B0B0D">
        <w:fldChar w:fldCharType="separate"/>
      </w:r>
      <w:r w:rsidR="007F6CE9">
        <w:rPr>
          <w:noProof/>
        </w:rPr>
        <w:t>2</w:t>
      </w:r>
      <w:r w:rsidR="006B0B0D">
        <w:rPr>
          <w:noProof/>
        </w:rPr>
        <w:fldChar w:fldCharType="end"/>
      </w:r>
      <w:r w:rsidR="007F6CE9">
        <w:t>. PSBCH content.</w:t>
      </w: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7F6CE9" w14:paraId="5E6905A9" w14:textId="77777777" w:rsidTr="007F6CE9">
        <w:tc>
          <w:tcPr>
            <w:tcW w:w="2835" w:type="dxa"/>
            <w:tcBorders>
              <w:top w:val="single" w:sz="4" w:space="0" w:color="auto"/>
              <w:left w:val="single" w:sz="4" w:space="0" w:color="auto"/>
              <w:bottom w:val="single" w:sz="4" w:space="0" w:color="auto"/>
              <w:right w:val="single" w:sz="4" w:space="0" w:color="auto"/>
            </w:tcBorders>
            <w:shd w:val="clear" w:color="auto" w:fill="8EAADB"/>
            <w:hideMark/>
          </w:tcPr>
          <w:p w14:paraId="2ABD3448" w14:textId="77777777" w:rsidR="007F6CE9" w:rsidRPr="007F6CE9" w:rsidRDefault="007F6CE9">
            <w:pPr>
              <w:jc w:val="center"/>
              <w:rPr>
                <w:rFonts w:eastAsia="DengXian"/>
                <w:b/>
                <w:color w:val="FFFFFF"/>
                <w:sz w:val="20"/>
                <w:szCs w:val="24"/>
                <w:lang w:eastAsia="zh-CN"/>
              </w:rPr>
            </w:pPr>
            <w:r w:rsidRPr="007F6CE9">
              <w:rPr>
                <w:rFonts w:eastAsia="DengXian"/>
                <w:b/>
                <w:color w:val="FFFFFF"/>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14:paraId="378B7F61" w14:textId="77777777" w:rsidR="007F6CE9" w:rsidRPr="007F6CE9" w:rsidRDefault="007F6CE9">
            <w:pPr>
              <w:jc w:val="center"/>
              <w:rPr>
                <w:rFonts w:eastAsia="Batang"/>
                <w:b/>
                <w:color w:val="FFFFFF"/>
                <w:lang w:eastAsia="zh-CN"/>
              </w:rPr>
            </w:pPr>
            <w:r w:rsidRPr="007F6CE9">
              <w:rPr>
                <w:b/>
                <w:color w:val="FFFFFF"/>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14:paraId="7DA2822D" w14:textId="77777777" w:rsidR="007F6CE9" w:rsidRDefault="007F6CE9">
            <w:pPr>
              <w:jc w:val="center"/>
              <w:rPr>
                <w:rFonts w:eastAsia="DengXian"/>
                <w:b/>
                <w:color w:val="FFFFFF"/>
                <w:lang w:eastAsia="zh-CN"/>
              </w:rPr>
            </w:pPr>
            <w:r>
              <w:rPr>
                <w:rFonts w:eastAsia="DengXian"/>
                <w:b/>
                <w:color w:val="FFFFFF"/>
                <w:lang w:eastAsia="zh-CN"/>
              </w:rPr>
              <w:t>Notes</w:t>
            </w:r>
          </w:p>
        </w:tc>
      </w:tr>
      <w:tr w:rsidR="007F6CE9" w14:paraId="0EB98E89" w14:textId="77777777" w:rsidTr="007F6CE9">
        <w:tc>
          <w:tcPr>
            <w:tcW w:w="2835" w:type="dxa"/>
            <w:tcBorders>
              <w:top w:val="single" w:sz="4" w:space="0" w:color="auto"/>
              <w:left w:val="single" w:sz="4" w:space="0" w:color="auto"/>
              <w:bottom w:val="single" w:sz="4" w:space="0" w:color="auto"/>
              <w:right w:val="single" w:sz="4" w:space="0" w:color="auto"/>
            </w:tcBorders>
            <w:hideMark/>
          </w:tcPr>
          <w:p w14:paraId="7E0B1469" w14:textId="77777777" w:rsidR="007F6CE9" w:rsidRPr="007F6CE9" w:rsidRDefault="007F6CE9">
            <w:pPr>
              <w:jc w:val="center"/>
              <w:rPr>
                <w:rFonts w:eastAsia="DengXian"/>
                <w:lang w:eastAsia="zh-CN"/>
              </w:rPr>
            </w:pPr>
            <w:r w:rsidRPr="007F6CE9">
              <w:rPr>
                <w:rFonts w:eastAsia="DengXia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14:paraId="0A1AEF31" w14:textId="77777777" w:rsidR="007F6CE9" w:rsidRPr="007F6CE9" w:rsidRDefault="007F6CE9">
            <w:pPr>
              <w:jc w:val="center"/>
              <w:rPr>
                <w:rFonts w:eastAsia="DengXian"/>
                <w:lang w:eastAsia="zh-CN"/>
              </w:rPr>
            </w:pPr>
            <w:r w:rsidRPr="007F6CE9">
              <w:rPr>
                <w:rFonts w:eastAsia="DengXian"/>
                <w:lang w:eastAsia="zh-CN"/>
              </w:rPr>
              <w:t>10</w:t>
            </w:r>
          </w:p>
        </w:tc>
        <w:tc>
          <w:tcPr>
            <w:tcW w:w="4536" w:type="dxa"/>
            <w:tcBorders>
              <w:top w:val="single" w:sz="4" w:space="0" w:color="auto"/>
              <w:left w:val="single" w:sz="4" w:space="0" w:color="auto"/>
              <w:bottom w:val="single" w:sz="4" w:space="0" w:color="auto"/>
              <w:right w:val="single" w:sz="4" w:space="0" w:color="auto"/>
            </w:tcBorders>
          </w:tcPr>
          <w:p w14:paraId="4656E5C5" w14:textId="77777777" w:rsidR="007F6CE9" w:rsidRDefault="007F6CE9">
            <w:pPr>
              <w:rPr>
                <w:rFonts w:eastAsia="DengXian"/>
                <w:lang w:eastAsia="zh-CN"/>
              </w:rPr>
            </w:pPr>
          </w:p>
        </w:tc>
      </w:tr>
      <w:tr w:rsidR="007F6CE9" w14:paraId="2A380361" w14:textId="77777777" w:rsidTr="007F6CE9">
        <w:tc>
          <w:tcPr>
            <w:tcW w:w="2835" w:type="dxa"/>
            <w:tcBorders>
              <w:top w:val="single" w:sz="4" w:space="0" w:color="auto"/>
              <w:left w:val="single" w:sz="4" w:space="0" w:color="auto"/>
              <w:bottom w:val="single" w:sz="4" w:space="0" w:color="auto"/>
              <w:right w:val="single" w:sz="4" w:space="0" w:color="auto"/>
            </w:tcBorders>
            <w:hideMark/>
          </w:tcPr>
          <w:p w14:paraId="7F9DDAAF" w14:textId="77777777" w:rsidR="007F6CE9" w:rsidRPr="007F6CE9" w:rsidRDefault="007F6CE9">
            <w:pPr>
              <w:jc w:val="center"/>
              <w:rPr>
                <w:rFonts w:eastAsia="DengXian"/>
                <w:lang w:eastAsia="zh-CN"/>
              </w:rPr>
            </w:pPr>
            <w:r w:rsidRPr="007F6CE9">
              <w:rPr>
                <w:rFonts w:eastAsia="DengXia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14:paraId="65DB5F43" w14:textId="77777777" w:rsidR="007F6CE9" w:rsidRPr="007F6CE9" w:rsidRDefault="007F6CE9">
            <w:pPr>
              <w:jc w:val="center"/>
              <w:rPr>
                <w:rFonts w:eastAsia="DengXian"/>
                <w:lang w:eastAsia="zh-CN"/>
              </w:rPr>
            </w:pPr>
            <w:r w:rsidRPr="007F6CE9">
              <w:rPr>
                <w:rFonts w:eastAsia="DengXian"/>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2BE27890" w14:textId="77777777" w:rsidR="007F6CE9" w:rsidRDefault="007F6CE9">
            <w:pPr>
              <w:rPr>
                <w:rFonts w:eastAsia="DengXian"/>
                <w:highlight w:val="green"/>
                <w:lang w:eastAsia="zh-CN"/>
              </w:rPr>
            </w:pPr>
            <w:bookmarkStart w:id="4" w:name="_GoBack"/>
            <w:bookmarkEnd w:id="4"/>
            <w:r w:rsidRPr="00936C1E">
              <w:rPr>
                <w:rFonts w:eastAsia="DengXian"/>
                <w:lang w:eastAsia="zh-CN"/>
              </w:rPr>
              <w:t>System-wide information, e.g. TDD-UL-DL common configuration and/or potential SL slots</w:t>
            </w:r>
          </w:p>
        </w:tc>
      </w:tr>
      <w:tr w:rsidR="007F6CE9" w14:paraId="2DABE4E3" w14:textId="77777777" w:rsidTr="007F6CE9">
        <w:tc>
          <w:tcPr>
            <w:tcW w:w="2835" w:type="dxa"/>
            <w:tcBorders>
              <w:top w:val="single" w:sz="4" w:space="0" w:color="auto"/>
              <w:left w:val="single" w:sz="4" w:space="0" w:color="auto"/>
              <w:bottom w:val="single" w:sz="4" w:space="0" w:color="auto"/>
              <w:right w:val="single" w:sz="4" w:space="0" w:color="auto"/>
            </w:tcBorders>
            <w:hideMark/>
          </w:tcPr>
          <w:p w14:paraId="41E67CA0" w14:textId="77777777" w:rsidR="007F6CE9" w:rsidRPr="007F6CE9" w:rsidRDefault="007F6CE9">
            <w:pPr>
              <w:jc w:val="center"/>
              <w:rPr>
                <w:rFonts w:eastAsia="DengXian"/>
                <w:lang w:eastAsia="zh-CN"/>
              </w:rPr>
            </w:pPr>
            <w:r w:rsidRPr="007F6CE9">
              <w:rPr>
                <w:rFonts w:eastAsia="DengXian"/>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14:paraId="4247DE8A" w14:textId="77777777" w:rsidR="007F6CE9" w:rsidRPr="007F6CE9" w:rsidRDefault="007F6CE9">
            <w:pPr>
              <w:jc w:val="center"/>
              <w:rPr>
                <w:rFonts w:eastAsia="DengXian"/>
                <w:lang w:eastAsia="zh-CN"/>
              </w:rPr>
            </w:pPr>
            <w:r w:rsidRPr="007F6CE9">
              <w:rPr>
                <w:rFonts w:eastAsia="DengXian"/>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14:paraId="5A313ADC" w14:textId="363A52E8" w:rsidR="007F6CE9" w:rsidRDefault="007F6CE9">
            <w:pPr>
              <w:rPr>
                <w:rFonts w:eastAsia="DengXian"/>
                <w:strike/>
                <w:color w:val="FF0000"/>
                <w:lang w:eastAsia="zh-CN"/>
              </w:rPr>
            </w:pPr>
          </w:p>
        </w:tc>
      </w:tr>
      <w:tr w:rsidR="007F6CE9" w14:paraId="1799546F" w14:textId="77777777" w:rsidTr="007F6CE9">
        <w:tc>
          <w:tcPr>
            <w:tcW w:w="2835" w:type="dxa"/>
            <w:tcBorders>
              <w:top w:val="single" w:sz="4" w:space="0" w:color="auto"/>
              <w:left w:val="single" w:sz="4" w:space="0" w:color="auto"/>
              <w:bottom w:val="single" w:sz="4" w:space="0" w:color="auto"/>
              <w:right w:val="single" w:sz="4" w:space="0" w:color="auto"/>
            </w:tcBorders>
            <w:hideMark/>
          </w:tcPr>
          <w:p w14:paraId="36789F93" w14:textId="77777777" w:rsidR="007F6CE9" w:rsidRPr="007F6CE9" w:rsidRDefault="007F6CE9">
            <w:pPr>
              <w:jc w:val="center"/>
              <w:rPr>
                <w:rFonts w:eastAsia="DengXian"/>
                <w:lang w:eastAsia="zh-CN"/>
              </w:rPr>
            </w:pPr>
            <w:r w:rsidRPr="007F6CE9">
              <w:rPr>
                <w:rFonts w:eastAsia="DengXia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14:paraId="4C8E8C57" w14:textId="77777777" w:rsidR="007F6CE9" w:rsidRPr="007F6CE9" w:rsidRDefault="007F6CE9">
            <w:pPr>
              <w:jc w:val="center"/>
              <w:rPr>
                <w:rFonts w:eastAsia="DengXian"/>
                <w:lang w:eastAsia="zh-CN"/>
              </w:rPr>
            </w:pPr>
            <w:r w:rsidRPr="007F6CE9">
              <w:rPr>
                <w:rFonts w:eastAsia="DengXian"/>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3AAB974" w14:textId="77777777" w:rsidR="007F6CE9" w:rsidRDefault="007F6CE9">
            <w:pPr>
              <w:rPr>
                <w:rFonts w:eastAsia="DengXian"/>
                <w:highlight w:val="green"/>
                <w:lang w:eastAsia="zh-CN"/>
              </w:rPr>
            </w:pPr>
          </w:p>
        </w:tc>
      </w:tr>
      <w:tr w:rsidR="007F6CE9" w14:paraId="688E0107" w14:textId="77777777" w:rsidTr="007F6CE9">
        <w:tc>
          <w:tcPr>
            <w:tcW w:w="2835" w:type="dxa"/>
            <w:tcBorders>
              <w:top w:val="single" w:sz="4" w:space="0" w:color="auto"/>
              <w:left w:val="single" w:sz="4" w:space="0" w:color="auto"/>
              <w:bottom w:val="single" w:sz="4" w:space="0" w:color="auto"/>
              <w:right w:val="single" w:sz="4" w:space="0" w:color="auto"/>
            </w:tcBorders>
            <w:hideMark/>
          </w:tcPr>
          <w:p w14:paraId="7048F020" w14:textId="77777777" w:rsidR="007F6CE9" w:rsidRPr="007F6CE9" w:rsidRDefault="007F6CE9">
            <w:pPr>
              <w:jc w:val="center"/>
              <w:rPr>
                <w:rFonts w:eastAsia="DengXian"/>
                <w:lang w:eastAsia="zh-CN"/>
              </w:rPr>
            </w:pPr>
            <w:r w:rsidRPr="007F6CE9">
              <w:rPr>
                <w:rFonts w:eastAsia="DengXian"/>
                <w:lang w:eastAsia="zh-CN"/>
              </w:rPr>
              <w:t>Reserve bits</w:t>
            </w:r>
          </w:p>
        </w:tc>
        <w:tc>
          <w:tcPr>
            <w:tcW w:w="1701" w:type="dxa"/>
            <w:tcBorders>
              <w:top w:val="single" w:sz="4" w:space="0" w:color="auto"/>
              <w:left w:val="single" w:sz="4" w:space="0" w:color="auto"/>
              <w:bottom w:val="single" w:sz="4" w:space="0" w:color="auto"/>
              <w:right w:val="single" w:sz="4" w:space="0" w:color="auto"/>
            </w:tcBorders>
          </w:tcPr>
          <w:p w14:paraId="3930F89B" w14:textId="41C7995C" w:rsidR="007F6CE9" w:rsidRPr="007F6CE9" w:rsidRDefault="005D51EA">
            <w:pPr>
              <w:jc w:val="center"/>
              <w:rPr>
                <w:rFonts w:eastAsia="DengXian"/>
                <w:lang w:eastAsia="zh-CN"/>
              </w:rPr>
            </w:pPr>
            <w:r>
              <w:rPr>
                <w:rFonts w:eastAsia="DengXian"/>
                <w:lang w:eastAsia="zh-CN"/>
              </w:rPr>
              <w:t>2</w:t>
            </w:r>
          </w:p>
        </w:tc>
        <w:tc>
          <w:tcPr>
            <w:tcW w:w="4536" w:type="dxa"/>
            <w:tcBorders>
              <w:top w:val="single" w:sz="4" w:space="0" w:color="auto"/>
              <w:left w:val="single" w:sz="4" w:space="0" w:color="auto"/>
              <w:bottom w:val="single" w:sz="4" w:space="0" w:color="auto"/>
              <w:right w:val="single" w:sz="4" w:space="0" w:color="auto"/>
            </w:tcBorders>
          </w:tcPr>
          <w:p w14:paraId="26BE2B40" w14:textId="77777777" w:rsidR="007F6CE9" w:rsidRDefault="007F6CE9">
            <w:pPr>
              <w:rPr>
                <w:rFonts w:eastAsia="Batang"/>
                <w:highlight w:val="yellow"/>
                <w:lang w:eastAsia="zh-CN"/>
              </w:rPr>
            </w:pPr>
          </w:p>
        </w:tc>
      </w:tr>
      <w:tr w:rsidR="007F6CE9" w14:paraId="26DF994F" w14:textId="77777777" w:rsidTr="007F6CE9">
        <w:tc>
          <w:tcPr>
            <w:tcW w:w="2835" w:type="dxa"/>
            <w:tcBorders>
              <w:top w:val="single" w:sz="4" w:space="0" w:color="auto"/>
              <w:left w:val="single" w:sz="4" w:space="0" w:color="auto"/>
              <w:bottom w:val="single" w:sz="4" w:space="0" w:color="auto"/>
              <w:right w:val="single" w:sz="4" w:space="0" w:color="auto"/>
            </w:tcBorders>
            <w:hideMark/>
          </w:tcPr>
          <w:p w14:paraId="2ACA4E06" w14:textId="77777777" w:rsidR="007F6CE9" w:rsidRPr="007F6CE9" w:rsidRDefault="007F6CE9">
            <w:pPr>
              <w:jc w:val="center"/>
              <w:rPr>
                <w:lang w:eastAsia="zh-CN"/>
              </w:rPr>
            </w:pPr>
            <w:r w:rsidRPr="007F6CE9">
              <w:rPr>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14:paraId="2E2005E9" w14:textId="77777777" w:rsidR="007F6CE9" w:rsidRPr="007F6CE9" w:rsidRDefault="007F6CE9">
            <w:pPr>
              <w:jc w:val="center"/>
              <w:rPr>
                <w:lang w:eastAsia="zh-CN"/>
              </w:rPr>
            </w:pPr>
            <w:r w:rsidRPr="007F6CE9">
              <w:rPr>
                <w:lang w:eastAsia="zh-CN"/>
              </w:rPr>
              <w:t>24</w:t>
            </w:r>
          </w:p>
        </w:tc>
        <w:tc>
          <w:tcPr>
            <w:tcW w:w="4536" w:type="dxa"/>
            <w:tcBorders>
              <w:top w:val="single" w:sz="4" w:space="0" w:color="auto"/>
              <w:left w:val="single" w:sz="4" w:space="0" w:color="auto"/>
              <w:bottom w:val="single" w:sz="4" w:space="0" w:color="auto"/>
              <w:right w:val="single" w:sz="4" w:space="0" w:color="auto"/>
            </w:tcBorders>
          </w:tcPr>
          <w:p w14:paraId="1D8F8B4C" w14:textId="77777777" w:rsidR="007F6CE9" w:rsidRDefault="007F6CE9">
            <w:pPr>
              <w:rPr>
                <w:lang w:eastAsia="zh-CN"/>
              </w:rPr>
            </w:pPr>
          </w:p>
        </w:tc>
      </w:tr>
      <w:tr w:rsidR="007F6CE9" w14:paraId="4D04DD86" w14:textId="77777777" w:rsidTr="007F6CE9">
        <w:trPr>
          <w:trHeight w:val="63"/>
        </w:trPr>
        <w:tc>
          <w:tcPr>
            <w:tcW w:w="2835" w:type="dxa"/>
            <w:tcBorders>
              <w:top w:val="single" w:sz="4" w:space="0" w:color="auto"/>
              <w:left w:val="single" w:sz="4" w:space="0" w:color="auto"/>
              <w:bottom w:val="single" w:sz="4" w:space="0" w:color="auto"/>
              <w:right w:val="single" w:sz="4" w:space="0" w:color="auto"/>
            </w:tcBorders>
            <w:hideMark/>
          </w:tcPr>
          <w:p w14:paraId="6B09361A" w14:textId="77777777" w:rsidR="007F6CE9" w:rsidRPr="007F6CE9" w:rsidRDefault="007F6CE9">
            <w:pPr>
              <w:jc w:val="center"/>
              <w:rPr>
                <w:rFonts w:eastAsia="DengXian"/>
                <w:lang w:eastAsia="zh-CN"/>
              </w:rPr>
            </w:pPr>
            <w:r w:rsidRPr="007F6CE9">
              <w:rPr>
                <w:lang w:eastAsia="zh-CN"/>
              </w:rPr>
              <w:t>Total bit</w:t>
            </w:r>
            <w:r w:rsidRPr="007F6CE9">
              <w:rPr>
                <w:rFonts w:eastAsia="DengXian"/>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14:paraId="5B6D6B72" w14:textId="77777777" w:rsidR="007F6CE9" w:rsidRPr="007F6CE9" w:rsidRDefault="007F6CE9">
            <w:pPr>
              <w:jc w:val="center"/>
              <w:rPr>
                <w:rFonts w:eastAsia="DengXian"/>
                <w:lang w:eastAsia="zh-CN"/>
              </w:rPr>
            </w:pPr>
            <w:r w:rsidRPr="007F6CE9">
              <w:rPr>
                <w:rFonts w:eastAsia="DengXian"/>
                <w:lang w:eastAsia="zh-CN"/>
              </w:rPr>
              <w:t>56</w:t>
            </w:r>
          </w:p>
        </w:tc>
        <w:tc>
          <w:tcPr>
            <w:tcW w:w="4536" w:type="dxa"/>
            <w:tcBorders>
              <w:top w:val="single" w:sz="4" w:space="0" w:color="auto"/>
              <w:left w:val="single" w:sz="4" w:space="0" w:color="auto"/>
              <w:bottom w:val="single" w:sz="4" w:space="0" w:color="auto"/>
              <w:right w:val="single" w:sz="4" w:space="0" w:color="auto"/>
            </w:tcBorders>
          </w:tcPr>
          <w:p w14:paraId="0FBFD2C1" w14:textId="77777777" w:rsidR="007F6CE9" w:rsidRDefault="007F6CE9">
            <w:pPr>
              <w:rPr>
                <w:rFonts w:eastAsia="DengXian"/>
                <w:lang w:eastAsia="zh-CN"/>
              </w:rPr>
            </w:pPr>
          </w:p>
        </w:tc>
      </w:tr>
    </w:tbl>
    <w:p w14:paraId="49467B79" w14:textId="0D8EA58C" w:rsidR="007F6CE9" w:rsidRDefault="007F6CE9" w:rsidP="00D049B2">
      <w:pPr>
        <w:spacing w:after="0"/>
      </w:pPr>
    </w:p>
    <w:p w14:paraId="198E655D" w14:textId="14751622" w:rsidR="00400D38" w:rsidRDefault="005D51EA" w:rsidP="00D049B2">
      <w:pPr>
        <w:spacing w:after="0"/>
      </w:pPr>
      <w:r>
        <w:t>The details of the TDD configuration need to be defined. We note that the number of bits for the TDD configuration is too low to reuse the TDD signaling for Rel-15 NR</w:t>
      </w:r>
      <w:r w:rsidR="00400D38">
        <w:t>, since the Rel-15 signaling can require more than 30 bits</w:t>
      </w:r>
      <w:r>
        <w:t xml:space="preserve">. </w:t>
      </w:r>
      <w:r w:rsidR="00400D38">
        <w:t xml:space="preserve">Thus, some limitations will be required. </w:t>
      </w:r>
    </w:p>
    <w:p w14:paraId="4E452932" w14:textId="5002B2E4" w:rsidR="00C543FC" w:rsidRDefault="00C543FC" w:rsidP="00D049B2">
      <w:pPr>
        <w:spacing w:after="0"/>
      </w:pPr>
    </w:p>
    <w:p w14:paraId="0FDD45D3" w14:textId="6D89D046" w:rsidR="00C543FC" w:rsidRPr="002C187E" w:rsidRDefault="00C543FC" w:rsidP="00C543FC">
      <w:r w:rsidRPr="002C187E">
        <w:t xml:space="preserve">A fixed budget of 12 bits (Working Assumption, RAN1#99) have been allocated for the TDD Configuration information. </w:t>
      </w:r>
      <w:r w:rsidRPr="00253557">
        <w:t>Given the number of bits for the TDD configuration (12), it would be cumbersome to define 4096 TDD configurations in a lookup table, as it is done for LTE-V.</w:t>
      </w:r>
      <w:r w:rsidRPr="00253557">
        <w:t xml:space="preserve"> </w:t>
      </w:r>
      <w:r w:rsidRPr="002C187E">
        <w:t>Several different methods can be designed to indicate the TDD UL-DL configuration for sidelink:</w:t>
      </w:r>
    </w:p>
    <w:p w14:paraId="36CC7171" w14:textId="77777777" w:rsidR="00C543FC" w:rsidRPr="002C187E" w:rsidRDefault="00C543FC" w:rsidP="00C543FC">
      <w:pPr>
        <w:pStyle w:val="BodyText"/>
        <w:numPr>
          <w:ilvl w:val="0"/>
          <w:numId w:val="41"/>
        </w:numPr>
        <w:autoSpaceDE/>
        <w:autoSpaceDN/>
        <w:adjustRightInd/>
        <w:snapToGrid/>
        <w:rPr>
          <w:sz w:val="22"/>
          <w:szCs w:val="22"/>
          <w:lang w:eastAsia="zh-CN"/>
        </w:rPr>
      </w:pPr>
      <w:r w:rsidRPr="002C187E">
        <w:rPr>
          <w:sz w:val="22"/>
          <w:szCs w:val="22"/>
          <w:lang w:eastAsia="zh-CN"/>
        </w:rPr>
        <w:t>Inform the number of consecutive uplink slots/symbols and periodicity of NR Uu TDD UL-DL configuration</w:t>
      </w:r>
    </w:p>
    <w:p w14:paraId="5C28C1F5" w14:textId="77777777" w:rsidR="00C543FC" w:rsidRPr="002C187E" w:rsidRDefault="00C543FC" w:rsidP="00C543FC">
      <w:pPr>
        <w:pStyle w:val="BodyText"/>
        <w:numPr>
          <w:ilvl w:val="0"/>
          <w:numId w:val="41"/>
        </w:numPr>
        <w:autoSpaceDE/>
        <w:autoSpaceDN/>
        <w:adjustRightInd/>
        <w:snapToGrid/>
        <w:rPr>
          <w:sz w:val="22"/>
          <w:szCs w:val="22"/>
          <w:lang w:eastAsia="zh-CN"/>
        </w:rPr>
      </w:pPr>
      <w:r w:rsidRPr="002C187E">
        <w:rPr>
          <w:sz w:val="22"/>
          <w:szCs w:val="22"/>
          <w:lang w:eastAsia="zh-CN"/>
        </w:rPr>
        <w:t>The number of NR TDD UL/DL patterns are (pre-) configured (each using the TDD-UL-DL-</w:t>
      </w:r>
      <w:proofErr w:type="spellStart"/>
      <w:r w:rsidRPr="002C187E">
        <w:rPr>
          <w:sz w:val="22"/>
          <w:szCs w:val="22"/>
          <w:lang w:eastAsia="zh-CN"/>
        </w:rPr>
        <w:t>ConfigCommon</w:t>
      </w:r>
      <w:proofErr w:type="spellEnd"/>
      <w:r w:rsidRPr="002C187E">
        <w:rPr>
          <w:sz w:val="22"/>
          <w:szCs w:val="22"/>
          <w:lang w:eastAsia="zh-CN"/>
        </w:rPr>
        <w:t xml:space="preserve"> IE), from which an index in PSBCH contents is indicate one. </w:t>
      </w:r>
    </w:p>
    <w:p w14:paraId="22A5BFE7" w14:textId="77777777" w:rsidR="00C543FC" w:rsidRPr="002C187E" w:rsidRDefault="00C543FC" w:rsidP="00C543FC">
      <w:pPr>
        <w:pStyle w:val="BodyText"/>
        <w:numPr>
          <w:ilvl w:val="0"/>
          <w:numId w:val="41"/>
        </w:numPr>
        <w:autoSpaceDE/>
        <w:autoSpaceDN/>
        <w:adjustRightInd/>
        <w:snapToGrid/>
        <w:rPr>
          <w:sz w:val="22"/>
          <w:szCs w:val="22"/>
          <w:lang w:eastAsia="zh-CN"/>
        </w:rPr>
      </w:pPr>
      <w:r w:rsidRPr="002C187E">
        <w:rPr>
          <w:sz w:val="22"/>
          <w:szCs w:val="22"/>
          <w:lang w:eastAsia="zh-CN"/>
        </w:rPr>
        <w:t xml:space="preserve">The number of SL slot bitmaps are (pre-) configured, from which an index in PSBCH contents is used to indicate one. </w:t>
      </w:r>
    </w:p>
    <w:p w14:paraId="7719E1AF" w14:textId="77777777" w:rsidR="00C543FC" w:rsidRPr="002C187E" w:rsidRDefault="00C543FC" w:rsidP="00C543FC">
      <w:r w:rsidRPr="002C187E">
        <w:t>Note that the following is needed to indicate the following:</w:t>
      </w:r>
    </w:p>
    <w:p w14:paraId="36F3E3F8" w14:textId="77777777" w:rsidR="00C543FC" w:rsidRPr="002C187E" w:rsidRDefault="00C543FC" w:rsidP="00C543FC">
      <w:pPr>
        <w:numPr>
          <w:ilvl w:val="0"/>
          <w:numId w:val="40"/>
        </w:numPr>
        <w:autoSpaceDE/>
        <w:autoSpaceDN/>
        <w:adjustRightInd/>
        <w:snapToGrid/>
        <w:spacing w:after="0"/>
      </w:pPr>
      <w:r w:rsidRPr="002C187E">
        <w:t xml:space="preserve">The index to the different TDD configuration period: 4 bits to indicate up to 10 different configuration period (1,2,4,8,16,5,10,20,40,80). </w:t>
      </w:r>
    </w:p>
    <w:p w14:paraId="457D826D" w14:textId="77777777" w:rsidR="00C543FC" w:rsidRPr="002C187E" w:rsidRDefault="00C543FC" w:rsidP="00C543FC">
      <w:pPr>
        <w:numPr>
          <w:ilvl w:val="0"/>
          <w:numId w:val="40"/>
        </w:numPr>
        <w:autoSpaceDE/>
        <w:autoSpaceDN/>
        <w:adjustRightInd/>
        <w:snapToGrid/>
        <w:spacing w:after="0"/>
      </w:pPr>
      <w:r w:rsidRPr="002C187E">
        <w:t>UL slots indication within a period: Starting Slots index: 7 bits for up to 80 starting slots position.</w:t>
      </w:r>
    </w:p>
    <w:p w14:paraId="7FEEE297" w14:textId="24C2D171" w:rsidR="00C543FC" w:rsidRPr="002C187E" w:rsidRDefault="00C543FC" w:rsidP="002C187E">
      <w:pPr>
        <w:numPr>
          <w:ilvl w:val="0"/>
          <w:numId w:val="40"/>
        </w:numPr>
        <w:autoSpaceDE/>
        <w:autoSpaceDN/>
        <w:adjustRightInd/>
        <w:snapToGrid/>
        <w:spacing w:after="0"/>
      </w:pPr>
      <w:r w:rsidRPr="002C187E">
        <w:t>Configurable slots indication within a period and the L symbol indications within the configurable slot: X bits?</w:t>
      </w:r>
    </w:p>
    <w:p w14:paraId="1295B9FC" w14:textId="77777777" w:rsidR="00C543FC" w:rsidRDefault="00C543FC" w:rsidP="00D049B2">
      <w:pPr>
        <w:spacing w:after="0"/>
      </w:pPr>
    </w:p>
    <w:p w14:paraId="53DD4296" w14:textId="28BA961A" w:rsidR="005D51EA" w:rsidRDefault="00400D38" w:rsidP="00D049B2">
      <w:pPr>
        <w:spacing w:after="0"/>
      </w:pPr>
      <w:r>
        <w:t xml:space="preserve">Since the allocation needs to be done at the slot level, we propose a simplified mechanism based on the Rel-15 allocation, where only consecutive UL slots can be used. </w:t>
      </w:r>
      <w:r w:rsidR="00253557">
        <w:t>As a result, t</w:t>
      </w:r>
      <w:r>
        <w:t>he allocation</w:t>
      </w:r>
      <w:r w:rsidR="00253557">
        <w:t>s</w:t>
      </w:r>
      <w:r>
        <w:t xml:space="preserve"> can be as follows:</w:t>
      </w:r>
    </w:p>
    <w:p w14:paraId="6DE2ADC5" w14:textId="6DEAA308" w:rsidR="00400D38" w:rsidRDefault="00400D38" w:rsidP="00400D38">
      <w:pPr>
        <w:pStyle w:val="ListParagraph"/>
        <w:numPr>
          <w:ilvl w:val="0"/>
          <w:numId w:val="36"/>
        </w:numPr>
        <w:spacing w:after="0"/>
      </w:pPr>
      <w:r>
        <w:t>Periodicity: (4 bits)</w:t>
      </w:r>
    </w:p>
    <w:p w14:paraId="765B1618" w14:textId="191D1E44" w:rsidR="00400D38" w:rsidRDefault="00400D38" w:rsidP="00400D38">
      <w:pPr>
        <w:pStyle w:val="ListParagraph"/>
        <w:numPr>
          <w:ilvl w:val="0"/>
          <w:numId w:val="36"/>
        </w:numPr>
        <w:spacing w:after="0"/>
      </w:pPr>
      <w:r>
        <w:t>Number of consecutive UL slots (8 bits)</w:t>
      </w:r>
    </w:p>
    <w:p w14:paraId="6DECF3E3" w14:textId="77777777" w:rsidR="00C543FC" w:rsidRDefault="00C543FC" w:rsidP="00400D38">
      <w:pPr>
        <w:spacing w:after="0"/>
      </w:pPr>
    </w:p>
    <w:p w14:paraId="44AA6117" w14:textId="4021DB75" w:rsidR="00400D38" w:rsidRDefault="00400D38" w:rsidP="00400D38">
      <w:pPr>
        <w:spacing w:after="0"/>
      </w:pPr>
      <w:r>
        <w:t>Note that with such an encoding, less bits could be used: for instance, 3 bits to signal eight periodicities might be enough. Similarly, 7 bits</w:t>
      </w:r>
      <w:r w:rsidR="00AE0347">
        <w:t xml:space="preserve"> for the number of consecutive UL slots would align with the slot index.</w:t>
      </w:r>
    </w:p>
    <w:p w14:paraId="2FB7F93D" w14:textId="77777777" w:rsidR="00C543FC" w:rsidRDefault="00C543FC" w:rsidP="00400D38">
      <w:pPr>
        <w:spacing w:after="0"/>
        <w:rPr>
          <w:b/>
          <w:bCs/>
          <w:i/>
          <w:iCs/>
        </w:rPr>
      </w:pPr>
    </w:p>
    <w:p w14:paraId="426DFB66" w14:textId="26BCAFFB" w:rsidR="00AE0347" w:rsidRPr="00AE0347" w:rsidRDefault="00AE0347" w:rsidP="00400D38">
      <w:pPr>
        <w:spacing w:after="0"/>
        <w:rPr>
          <w:b/>
          <w:bCs/>
          <w:i/>
          <w:iCs/>
        </w:rPr>
      </w:pPr>
      <w:r w:rsidRPr="00AE0347">
        <w:rPr>
          <w:b/>
          <w:bCs/>
          <w:i/>
          <w:iCs/>
        </w:rPr>
        <w:t>Proposal 2: The TDD configuration is indicated as follows:</w:t>
      </w:r>
    </w:p>
    <w:p w14:paraId="1303BDC6" w14:textId="22956486" w:rsidR="00AE0347" w:rsidRPr="003C4A72" w:rsidRDefault="00AE0347" w:rsidP="00AE0347">
      <w:pPr>
        <w:pStyle w:val="ListParagraph"/>
        <w:numPr>
          <w:ilvl w:val="0"/>
          <w:numId w:val="37"/>
        </w:numPr>
        <w:spacing w:after="0"/>
        <w:rPr>
          <w:b/>
          <w:bCs/>
          <w:i/>
          <w:iCs/>
        </w:rPr>
      </w:pPr>
      <w:r w:rsidRPr="003C4A72">
        <w:rPr>
          <w:b/>
          <w:bCs/>
          <w:i/>
          <w:iCs/>
        </w:rPr>
        <w:t>4 bits to indicate the periodicity</w:t>
      </w:r>
    </w:p>
    <w:p w14:paraId="583E3CD3" w14:textId="29A602E4" w:rsidR="00AE0347" w:rsidRPr="00AE0347" w:rsidRDefault="00AE0347" w:rsidP="00AE0347">
      <w:pPr>
        <w:pStyle w:val="ListParagraph"/>
        <w:numPr>
          <w:ilvl w:val="0"/>
          <w:numId w:val="37"/>
        </w:numPr>
        <w:spacing w:after="0"/>
        <w:rPr>
          <w:b/>
          <w:bCs/>
        </w:rPr>
      </w:pPr>
      <w:r w:rsidRPr="003C4A72">
        <w:rPr>
          <w:b/>
          <w:bCs/>
          <w:i/>
          <w:iCs/>
        </w:rPr>
        <w:t>8 bits to indicate the number of consecutive UL slots</w:t>
      </w:r>
    </w:p>
    <w:p w14:paraId="60C9BFDD" w14:textId="77777777" w:rsidR="00AE0347" w:rsidRDefault="00AE0347" w:rsidP="008D77B9">
      <w:pPr>
        <w:pStyle w:val="ListParagraph"/>
        <w:numPr>
          <w:ilvl w:val="0"/>
          <w:numId w:val="0"/>
        </w:numPr>
        <w:spacing w:after="0"/>
        <w:ind w:left="720"/>
      </w:pPr>
    </w:p>
    <w:p w14:paraId="43FDE721" w14:textId="47112056" w:rsidR="000D15B7" w:rsidRDefault="009729CF" w:rsidP="000D15B7">
      <w:pPr>
        <w:pStyle w:val="Heading2"/>
      </w:pPr>
      <w:r>
        <w:t>DMRS sequence initialization for PSBCH</w:t>
      </w:r>
    </w:p>
    <w:p w14:paraId="771259A2" w14:textId="38011702" w:rsidR="008D77B9" w:rsidRDefault="003B0DF8" w:rsidP="008D77B9">
      <w:r>
        <w:t>For PBCH, the DMRS sequence is initialized by :</w:t>
      </w:r>
    </w:p>
    <w:p w14:paraId="1CDC6F96" w14:textId="4FB18863" w:rsidR="00FA219E" w:rsidRDefault="00FA219E" w:rsidP="00FA219E">
      <w:pPr>
        <w:jc w:val="center"/>
      </w:pPr>
      <w:r>
        <w:rPr>
          <w:noProof/>
          <w:position w:val="-16"/>
          <w:lang w:eastAsia="en-GB"/>
        </w:rPr>
        <w:drawing>
          <wp:inline distT="0" distB="0" distL="0" distR="0" wp14:anchorId="68CA0EF6" wp14:editId="2AACDAC5">
            <wp:extent cx="3108960" cy="2743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14:paraId="5AD47CF8" w14:textId="24CB1ED8" w:rsidR="003B0DF8" w:rsidRDefault="003B0DF8" w:rsidP="008D77B9"/>
    <w:p w14:paraId="1F6B1BC3" w14:textId="3CA9233F" w:rsidR="003B0DF8" w:rsidRDefault="003B0DF8" w:rsidP="008D77B9">
      <w:r>
        <w:t>For PSBCH, a similar formula can be used. Given that there is no</w:t>
      </w:r>
      <w:r w:rsidR="00810551">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rsidR="00810551">
        <w:t xml:space="preserve"> defined for the sidelink, a simple solution is to </w:t>
      </w:r>
      <w:r w:rsidR="00810551" w:rsidRPr="005F0653">
        <w:t xml:space="preserve">use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oMath>
      <w:r w:rsidR="00810551">
        <w:t>instead.</w:t>
      </w:r>
    </w:p>
    <w:p w14:paraId="3FCE0CB0" w14:textId="77777777" w:rsidR="00810551" w:rsidRPr="00810551" w:rsidRDefault="00810551" w:rsidP="008D77B9">
      <w:pPr>
        <w:rPr>
          <w:b/>
          <w:bCs/>
          <w:i/>
          <w:iCs/>
        </w:rPr>
      </w:pPr>
      <w:r w:rsidRPr="00810551">
        <w:rPr>
          <w:b/>
          <w:bCs/>
          <w:i/>
          <w:iCs/>
        </w:rPr>
        <w:t>Proposal 3: the PBCH DMRS sequence is initialized by the same seed as for the PBCH with:</w:t>
      </w:r>
    </w:p>
    <w:p w14:paraId="68C0EB58" w14:textId="63AA8E03" w:rsidR="00810551" w:rsidRPr="00810551" w:rsidRDefault="006B0B0D" w:rsidP="00810551">
      <w:pPr>
        <w:jc w:val="center"/>
        <w:rPr>
          <w:b/>
          <w:bCs/>
        </w:rPr>
      </w:pPr>
      <m:oMathPara>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SL</m:t>
              </m:r>
            </m:sup>
          </m:sSubSup>
        </m:oMath>
      </m:oMathPara>
    </w:p>
    <w:p w14:paraId="3B1999B4" w14:textId="580CA156" w:rsidR="000D15B7" w:rsidRDefault="009729CF" w:rsidP="000D15B7">
      <w:pPr>
        <w:pStyle w:val="Heading2"/>
      </w:pPr>
      <w:r>
        <w:t>Whether/how to define QCL for S-SSB transmission</w:t>
      </w:r>
    </w:p>
    <w:p w14:paraId="779632E3" w14:textId="0145E7BF" w:rsidR="004B7CC1" w:rsidRDefault="00A20DEF" w:rsidP="004B7CC1">
      <w:r>
        <w:t>At RAN1#98, the following was agreed:</w:t>
      </w:r>
    </w:p>
    <w:p w14:paraId="4B84C156" w14:textId="77777777" w:rsidR="00A20DEF" w:rsidRPr="00A20DEF" w:rsidRDefault="00A20DEF" w:rsidP="00A20DEF">
      <w:pPr>
        <w:numPr>
          <w:ilvl w:val="0"/>
          <w:numId w:val="38"/>
        </w:numPr>
        <w:autoSpaceDE/>
        <w:autoSpaceDN/>
        <w:adjustRightInd/>
        <w:snapToGrid/>
        <w:spacing w:after="0"/>
        <w:jc w:val="left"/>
        <w:rPr>
          <w:i/>
          <w:iCs/>
        </w:rPr>
      </w:pPr>
      <w:r w:rsidRPr="00A20DEF">
        <w:rPr>
          <w:i/>
          <w:iCs/>
        </w:rPr>
        <w:t>160ms is supported as the S-SSB periodicity for all SCS.</w:t>
      </w:r>
    </w:p>
    <w:p w14:paraId="3EF9D390" w14:textId="77777777" w:rsidR="00A20DEF" w:rsidRPr="00A20DEF" w:rsidRDefault="00A20DEF" w:rsidP="00A20DEF">
      <w:pPr>
        <w:numPr>
          <w:ilvl w:val="0"/>
          <w:numId w:val="38"/>
        </w:numPr>
        <w:autoSpaceDE/>
        <w:autoSpaceDN/>
        <w:adjustRightInd/>
        <w:snapToGrid/>
        <w:spacing w:after="0"/>
        <w:jc w:val="left"/>
        <w:rPr>
          <w:i/>
          <w:iCs/>
        </w:rPr>
      </w:pPr>
      <w:r w:rsidRPr="00A20DEF">
        <w:rPr>
          <w:i/>
          <w:iCs/>
        </w:rPr>
        <w:t>The number of S-SSB transmissions within one S-SSB period is (pre)configurable</w:t>
      </w:r>
    </w:p>
    <w:p w14:paraId="1136148E" w14:textId="77777777" w:rsidR="00A20DEF" w:rsidRPr="00A20DEF" w:rsidRDefault="00A20DEF" w:rsidP="00A20DEF">
      <w:pPr>
        <w:ind w:firstLine="720"/>
        <w:rPr>
          <w:i/>
          <w:iCs/>
        </w:rPr>
      </w:pPr>
      <w:r w:rsidRPr="00A20DEF">
        <w:rPr>
          <w:i/>
          <w:iCs/>
        </w:rPr>
        <w:t>The following values with change marks are further agreed:</w:t>
      </w:r>
    </w:p>
    <w:p w14:paraId="62BF4BDF" w14:textId="77777777" w:rsidR="00A20DEF" w:rsidRPr="00A20DEF" w:rsidRDefault="00A20DEF" w:rsidP="00A20DEF">
      <w:pPr>
        <w:numPr>
          <w:ilvl w:val="1"/>
          <w:numId w:val="38"/>
        </w:numPr>
        <w:autoSpaceDE/>
        <w:autoSpaceDN/>
        <w:adjustRightInd/>
        <w:snapToGrid/>
        <w:spacing w:after="0"/>
        <w:jc w:val="left"/>
        <w:rPr>
          <w:i/>
          <w:iCs/>
        </w:rPr>
      </w:pPr>
      <w:r w:rsidRPr="00A20DEF">
        <w:rPr>
          <w:i/>
          <w:iCs/>
        </w:rPr>
        <w:t>Note: the values in bracket are subject to further discussion regarding potential removal all-together</w:t>
      </w:r>
    </w:p>
    <w:p w14:paraId="5FCEA45E" w14:textId="77777777" w:rsidR="00A20DEF" w:rsidRPr="00A20DEF" w:rsidRDefault="00A20DEF" w:rsidP="00A20DEF">
      <w:pPr>
        <w:ind w:leftChars="320" w:left="704" w:firstLine="400"/>
        <w:rPr>
          <w:i/>
          <w:iCs/>
        </w:rPr>
      </w:pPr>
      <w:r w:rsidRPr="00A20DEF">
        <w:rPr>
          <w:i/>
          <w:iCs/>
          <w:lang w:eastAsia="zh-CN"/>
        </w:rPr>
        <w:t>For FR1:</w:t>
      </w:r>
    </w:p>
    <w:p w14:paraId="15849BBE" w14:textId="77777777" w:rsidR="00A20DEF" w:rsidRPr="00A20DEF" w:rsidRDefault="00A20DEF" w:rsidP="00A20DEF">
      <w:pPr>
        <w:numPr>
          <w:ilvl w:val="2"/>
          <w:numId w:val="39"/>
        </w:numPr>
        <w:autoSpaceDE/>
        <w:autoSpaceDN/>
        <w:adjustRightInd/>
        <w:snapToGrid/>
        <w:spacing w:after="0"/>
        <w:rPr>
          <w:i/>
          <w:iCs/>
        </w:rPr>
      </w:pPr>
      <w:r w:rsidRPr="00A20DEF">
        <w:rPr>
          <w:i/>
          <w:iCs/>
        </w:rPr>
        <w:t xml:space="preserve">For 15kHz SCS, {1, </w:t>
      </w:r>
      <w:r w:rsidRPr="00A20DEF">
        <w:rPr>
          <w:rFonts w:eastAsia="DengXian" w:hint="eastAsia"/>
          <w:i/>
          <w:iCs/>
          <w:lang w:eastAsia="zh-CN"/>
        </w:rPr>
        <w:t>[</w:t>
      </w:r>
      <w:r w:rsidRPr="00A20DEF">
        <w:rPr>
          <w:i/>
          <w:iCs/>
        </w:rPr>
        <w:t>2</w:t>
      </w:r>
      <w:r w:rsidRPr="00A20DEF">
        <w:rPr>
          <w:rFonts w:eastAsia="DengXian" w:hint="eastAsia"/>
          <w:i/>
          <w:iCs/>
          <w:lang w:eastAsia="zh-CN"/>
        </w:rPr>
        <w:t>]</w:t>
      </w:r>
      <w:r w:rsidRPr="00A20DEF">
        <w:rPr>
          <w:i/>
          <w:iCs/>
        </w:rPr>
        <w:t>}</w:t>
      </w:r>
    </w:p>
    <w:p w14:paraId="1B578997" w14:textId="77777777" w:rsidR="00A20DEF" w:rsidRPr="00A20DEF" w:rsidRDefault="00A20DEF" w:rsidP="00A20DEF">
      <w:pPr>
        <w:numPr>
          <w:ilvl w:val="2"/>
          <w:numId w:val="39"/>
        </w:numPr>
        <w:autoSpaceDE/>
        <w:autoSpaceDN/>
        <w:adjustRightInd/>
        <w:snapToGrid/>
        <w:spacing w:after="0"/>
        <w:rPr>
          <w:i/>
          <w:iCs/>
        </w:rPr>
      </w:pPr>
      <w:r w:rsidRPr="00A20DEF">
        <w:rPr>
          <w:i/>
          <w:iCs/>
        </w:rPr>
        <w:t>For 30kHz SCS, {1, 2</w:t>
      </w:r>
      <w:r w:rsidRPr="00A20DEF">
        <w:rPr>
          <w:rFonts w:eastAsia="DengXian" w:hint="eastAsia"/>
          <w:i/>
          <w:iCs/>
          <w:lang w:eastAsia="zh-CN"/>
        </w:rPr>
        <w:t>, [4]</w:t>
      </w:r>
      <w:r w:rsidRPr="00A20DEF">
        <w:rPr>
          <w:i/>
          <w:iCs/>
        </w:rPr>
        <w:t>}</w:t>
      </w:r>
    </w:p>
    <w:p w14:paraId="084616DD" w14:textId="77777777" w:rsidR="00A20DEF" w:rsidRPr="00A20DEF" w:rsidRDefault="00A20DEF" w:rsidP="00A20DEF">
      <w:pPr>
        <w:numPr>
          <w:ilvl w:val="2"/>
          <w:numId w:val="39"/>
        </w:numPr>
        <w:autoSpaceDE/>
        <w:autoSpaceDN/>
        <w:adjustRightInd/>
        <w:snapToGrid/>
        <w:spacing w:after="0"/>
        <w:rPr>
          <w:i/>
          <w:iCs/>
        </w:rPr>
      </w:pPr>
      <w:r w:rsidRPr="00A20DEF">
        <w:rPr>
          <w:i/>
          <w:iCs/>
        </w:rPr>
        <w:t>For 60kHz SCS, {</w:t>
      </w:r>
      <w:r w:rsidRPr="00A20DEF">
        <w:rPr>
          <w:i/>
          <w:iCs/>
          <w:lang w:eastAsia="zh-CN"/>
        </w:rPr>
        <w:t xml:space="preserve">1, </w:t>
      </w:r>
      <w:r w:rsidRPr="00A20DEF">
        <w:rPr>
          <w:i/>
          <w:iCs/>
        </w:rPr>
        <w:t xml:space="preserve">2, 4, </w:t>
      </w:r>
      <w:r w:rsidRPr="00A20DEF">
        <w:rPr>
          <w:rFonts w:eastAsia="DengXian" w:hint="eastAsia"/>
          <w:i/>
          <w:iCs/>
          <w:lang w:eastAsia="zh-CN"/>
        </w:rPr>
        <w:t>[</w:t>
      </w:r>
      <w:r w:rsidRPr="00A20DEF">
        <w:rPr>
          <w:i/>
          <w:iCs/>
        </w:rPr>
        <w:t>8</w:t>
      </w:r>
      <w:r w:rsidRPr="00A20DEF">
        <w:rPr>
          <w:rFonts w:eastAsia="DengXian" w:hint="eastAsia"/>
          <w:i/>
          <w:iCs/>
          <w:lang w:eastAsia="zh-CN"/>
        </w:rPr>
        <w:t>]</w:t>
      </w:r>
      <w:r w:rsidRPr="00A20DEF">
        <w:rPr>
          <w:i/>
          <w:iCs/>
        </w:rPr>
        <w:t>}</w:t>
      </w:r>
    </w:p>
    <w:p w14:paraId="03E7C7D3" w14:textId="77777777" w:rsidR="00A20DEF" w:rsidRPr="00A20DEF" w:rsidRDefault="00A20DEF" w:rsidP="00A20DEF">
      <w:pPr>
        <w:ind w:leftChars="320" w:left="704" w:firstLine="400"/>
        <w:rPr>
          <w:i/>
          <w:iCs/>
          <w:lang w:eastAsia="zh-CN"/>
        </w:rPr>
      </w:pPr>
      <w:r w:rsidRPr="00A20DEF">
        <w:rPr>
          <w:i/>
          <w:iCs/>
          <w:lang w:eastAsia="zh-CN"/>
        </w:rPr>
        <w:t>For FR2:</w:t>
      </w:r>
    </w:p>
    <w:p w14:paraId="6DE98B38" w14:textId="77777777" w:rsidR="00A20DEF" w:rsidRPr="00A20DEF" w:rsidRDefault="00A20DEF" w:rsidP="00A20DEF">
      <w:pPr>
        <w:numPr>
          <w:ilvl w:val="2"/>
          <w:numId w:val="39"/>
        </w:numPr>
        <w:autoSpaceDE/>
        <w:autoSpaceDN/>
        <w:adjustRightInd/>
        <w:snapToGrid/>
        <w:spacing w:after="0"/>
        <w:rPr>
          <w:i/>
          <w:iCs/>
          <w:lang w:eastAsia="ko-KR"/>
        </w:rPr>
      </w:pPr>
      <w:r w:rsidRPr="00A20DEF">
        <w:rPr>
          <w:i/>
          <w:iCs/>
        </w:rPr>
        <w:t>For 60kHz SCS, {</w:t>
      </w:r>
      <w:r w:rsidRPr="00A20DEF">
        <w:rPr>
          <w:i/>
          <w:iCs/>
          <w:lang w:eastAsia="zh-CN"/>
        </w:rPr>
        <w:t xml:space="preserve">1, </w:t>
      </w:r>
      <w:r w:rsidRPr="00A20DEF">
        <w:rPr>
          <w:i/>
          <w:iCs/>
        </w:rPr>
        <w:t>2, 4, 8</w:t>
      </w:r>
      <w:r w:rsidRPr="00A20DEF">
        <w:rPr>
          <w:i/>
          <w:iCs/>
          <w:lang w:eastAsia="zh-CN"/>
        </w:rPr>
        <w:t>, 16, 32</w:t>
      </w:r>
      <w:r w:rsidRPr="00A20DEF">
        <w:rPr>
          <w:i/>
          <w:iCs/>
        </w:rPr>
        <w:t>}</w:t>
      </w:r>
    </w:p>
    <w:p w14:paraId="338ECB92" w14:textId="77777777" w:rsidR="00A20DEF" w:rsidRPr="00A20DEF" w:rsidRDefault="00A20DEF" w:rsidP="00A20DEF">
      <w:pPr>
        <w:numPr>
          <w:ilvl w:val="2"/>
          <w:numId w:val="39"/>
        </w:numPr>
        <w:tabs>
          <w:tab w:val="num" w:pos="640"/>
        </w:tabs>
        <w:autoSpaceDE/>
        <w:autoSpaceDN/>
        <w:adjustRightInd/>
        <w:snapToGrid/>
        <w:spacing w:after="0"/>
        <w:rPr>
          <w:i/>
          <w:iCs/>
        </w:rPr>
      </w:pPr>
      <w:r w:rsidRPr="00A20DEF">
        <w:rPr>
          <w:i/>
          <w:iCs/>
        </w:rPr>
        <w:t>For 120kHz SCS, {</w:t>
      </w:r>
      <w:r w:rsidRPr="00A20DEF">
        <w:rPr>
          <w:rFonts w:eastAsia="DengXian" w:hint="eastAsia"/>
          <w:i/>
          <w:iCs/>
          <w:lang w:eastAsia="zh-CN"/>
        </w:rPr>
        <w:t xml:space="preserve">1, 2, 4, </w:t>
      </w:r>
      <w:r w:rsidRPr="00A20DEF">
        <w:rPr>
          <w:i/>
          <w:iCs/>
        </w:rPr>
        <w:t>8, 16, 32</w:t>
      </w:r>
      <w:r w:rsidRPr="00A20DEF">
        <w:rPr>
          <w:i/>
          <w:iCs/>
          <w:lang w:eastAsia="zh-CN"/>
        </w:rPr>
        <w:t>, 64</w:t>
      </w:r>
      <w:r w:rsidRPr="00A20DEF">
        <w:rPr>
          <w:i/>
          <w:iCs/>
        </w:rPr>
        <w:t>}</w:t>
      </w:r>
    </w:p>
    <w:p w14:paraId="08246CFF" w14:textId="77777777" w:rsidR="00A20DEF" w:rsidRPr="00A20DEF" w:rsidRDefault="00A20DEF" w:rsidP="00A20DEF">
      <w:pPr>
        <w:numPr>
          <w:ilvl w:val="2"/>
          <w:numId w:val="38"/>
        </w:numPr>
        <w:autoSpaceDE/>
        <w:autoSpaceDN/>
        <w:adjustRightInd/>
        <w:snapToGrid/>
        <w:spacing w:after="0"/>
        <w:jc w:val="left"/>
        <w:rPr>
          <w:i/>
          <w:iCs/>
        </w:rPr>
      </w:pPr>
      <w:r w:rsidRPr="00A20DEF">
        <w:rPr>
          <w:i/>
          <w:iCs/>
        </w:rPr>
        <w:t xml:space="preserve">FFS details for the multiple S-SSB transmissions within one S-SSB period (the set of slots, </w:t>
      </w:r>
      <w:proofErr w:type="gramStart"/>
      <w:r w:rsidRPr="00A20DEF">
        <w:rPr>
          <w:i/>
          <w:iCs/>
        </w:rPr>
        <w:t>repetition?,</w:t>
      </w:r>
      <w:proofErr w:type="gramEnd"/>
      <w:r w:rsidRPr="00A20DEF">
        <w:rPr>
          <w:i/>
          <w:iCs/>
        </w:rPr>
        <w:t xml:space="preserve"> etc.)</w:t>
      </w:r>
    </w:p>
    <w:p w14:paraId="71D8376A" w14:textId="5823449B" w:rsidR="00A20DEF" w:rsidRDefault="00A20DEF" w:rsidP="004B7CC1"/>
    <w:p w14:paraId="73A69B85" w14:textId="74A05174" w:rsidR="00546612" w:rsidRDefault="00A20DEF" w:rsidP="004B7CC1">
      <w:r>
        <w:t xml:space="preserve">Given that for Rel-16 no optimization for FR2 </w:t>
      </w:r>
      <w:r w:rsidR="00546612">
        <w:t>was</w:t>
      </w:r>
      <w:r>
        <w:t xml:space="preserve"> considered, </w:t>
      </w:r>
      <w:r w:rsidR="00546612">
        <w:t>the Rel-16 specifications have not fully addressed support of beam sweeping nor repetition. Furthermore, one can consider combination of beam sweeping and repetition within a S-SSB period. All these would require extensive discussions in RAN1.</w:t>
      </w:r>
    </w:p>
    <w:p w14:paraId="3CCB408C" w14:textId="35646836" w:rsidR="009A7F39" w:rsidRDefault="00546612" w:rsidP="004B7CC1">
      <w:r>
        <w:t>The simpler and effective operation is t</w:t>
      </w:r>
      <w:r w:rsidR="009A7F39">
        <w:t xml:space="preserve">o agree on the behavior that the </w:t>
      </w:r>
      <w:r>
        <w:t xml:space="preserve">UE can’t assume whether beam </w:t>
      </w:r>
      <w:proofErr w:type="gramStart"/>
      <w:r>
        <w:t>sweeping</w:t>
      </w:r>
      <w:proofErr w:type="gramEnd"/>
      <w:r>
        <w:t xml:space="preserve"> or beam repetition are deployed within the S-SSB period. </w:t>
      </w:r>
      <w:r w:rsidR="009A7F39">
        <w:t xml:space="preserve">As in Rel-15 NR SSB, the UE can only assume that S-SSB across the 160ms period is QCL i.e. no QCL assumption within a S-SSB period. </w:t>
      </w:r>
    </w:p>
    <w:p w14:paraId="58DA67E6" w14:textId="028CD0F3" w:rsidR="001A5A4B" w:rsidRPr="00F636AC" w:rsidRDefault="00F636AC" w:rsidP="00CD05FA">
      <w:pPr>
        <w:rPr>
          <w:b/>
          <w:bCs/>
          <w:i/>
          <w:iCs/>
        </w:rPr>
      </w:pPr>
      <w:r w:rsidRPr="00F636AC">
        <w:rPr>
          <w:b/>
          <w:bCs/>
          <w:i/>
          <w:iCs/>
        </w:rPr>
        <w:t>Proposal 4: there is no need to define QCL for SSBs during one S-SSB period</w:t>
      </w:r>
    </w:p>
    <w:p w14:paraId="3518B99D" w14:textId="7345D3D4" w:rsidR="00744A23" w:rsidRDefault="00882E8B" w:rsidP="00882E8B">
      <w:pPr>
        <w:pStyle w:val="Heading1"/>
      </w:pPr>
      <w:r>
        <w:t>Conclusion</w:t>
      </w:r>
    </w:p>
    <w:p w14:paraId="1D0B0E37" w14:textId="05346414" w:rsidR="00882E8B" w:rsidRDefault="00532870" w:rsidP="00882E8B">
      <w:r>
        <w:t xml:space="preserve">The remaining details for </w:t>
      </w:r>
      <w:r w:rsidR="00EB46BC">
        <w:t>synchronization</w:t>
      </w:r>
      <w:r w:rsidR="007A5594">
        <w:t xml:space="preserve"> </w:t>
      </w:r>
      <w:r>
        <w:t xml:space="preserve"> were discussed. We propose the following:</w:t>
      </w:r>
    </w:p>
    <w:p w14:paraId="00037CB0" w14:textId="772A0425" w:rsidR="00E7756E" w:rsidRDefault="00F636AC" w:rsidP="00E7756E">
      <w:pPr>
        <w:rPr>
          <w:b/>
          <w:bCs/>
          <w:i/>
          <w:iCs/>
        </w:rPr>
      </w:pPr>
      <w:r w:rsidRPr="00A2117F">
        <w:rPr>
          <w:b/>
          <w:bCs/>
          <w:i/>
          <w:iCs/>
        </w:rPr>
        <w:t>Proposal 1: there is no power difference for P-SSS and S-SSS transmission.</w:t>
      </w:r>
    </w:p>
    <w:p w14:paraId="7AAA8FDB" w14:textId="77777777" w:rsidR="00F636AC" w:rsidRPr="00AE0347" w:rsidRDefault="00F636AC" w:rsidP="00F636AC">
      <w:pPr>
        <w:spacing w:after="0"/>
        <w:rPr>
          <w:b/>
          <w:bCs/>
          <w:i/>
          <w:iCs/>
        </w:rPr>
      </w:pPr>
      <w:r w:rsidRPr="00AE0347">
        <w:rPr>
          <w:b/>
          <w:bCs/>
          <w:i/>
          <w:iCs/>
        </w:rPr>
        <w:t>Proposal 2: The TDD configuration is indicated as follows:</w:t>
      </w:r>
    </w:p>
    <w:p w14:paraId="7C5DAF2E" w14:textId="77777777" w:rsidR="00F636AC" w:rsidRPr="003C4A72" w:rsidRDefault="00F636AC" w:rsidP="00F636AC">
      <w:pPr>
        <w:pStyle w:val="ListParagraph"/>
        <w:numPr>
          <w:ilvl w:val="0"/>
          <w:numId w:val="37"/>
        </w:numPr>
        <w:spacing w:after="0"/>
        <w:rPr>
          <w:b/>
          <w:bCs/>
          <w:i/>
          <w:iCs/>
        </w:rPr>
      </w:pPr>
      <w:r w:rsidRPr="003C4A72">
        <w:rPr>
          <w:b/>
          <w:bCs/>
          <w:i/>
          <w:iCs/>
        </w:rPr>
        <w:t>4 bits to indicate the periodicity</w:t>
      </w:r>
    </w:p>
    <w:p w14:paraId="311663D5" w14:textId="77777777" w:rsidR="00F636AC" w:rsidRPr="00AE0347" w:rsidRDefault="00F636AC" w:rsidP="00F636AC">
      <w:pPr>
        <w:pStyle w:val="ListParagraph"/>
        <w:numPr>
          <w:ilvl w:val="0"/>
          <w:numId w:val="37"/>
        </w:numPr>
        <w:spacing w:after="0"/>
        <w:rPr>
          <w:b/>
          <w:bCs/>
        </w:rPr>
      </w:pPr>
      <w:r w:rsidRPr="003C4A72">
        <w:rPr>
          <w:b/>
          <w:bCs/>
          <w:i/>
          <w:iCs/>
        </w:rPr>
        <w:t>8 bits to indicate the number of consecutive UL slots</w:t>
      </w:r>
    </w:p>
    <w:p w14:paraId="3BFBF0B4" w14:textId="77777777" w:rsidR="00F636AC" w:rsidRPr="00F636AC" w:rsidRDefault="00F636AC" w:rsidP="00F636AC">
      <w:pPr>
        <w:rPr>
          <w:b/>
          <w:bCs/>
          <w:i/>
          <w:iCs/>
        </w:rPr>
      </w:pPr>
      <w:r w:rsidRPr="00F636AC">
        <w:rPr>
          <w:b/>
          <w:bCs/>
          <w:i/>
          <w:iCs/>
        </w:rPr>
        <w:t>Proposal 3: the PBCH DMRS sequence is initialized by the same seed as for the PBCH with:</w:t>
      </w:r>
    </w:p>
    <w:p w14:paraId="4B4E0195" w14:textId="77777777" w:rsidR="00F636AC" w:rsidRPr="00F636AC" w:rsidRDefault="006B0B0D" w:rsidP="00F636AC">
      <w:pPr>
        <w:pStyle w:val="ListParagraph"/>
        <w:numPr>
          <w:ilvl w:val="0"/>
          <w:numId w:val="0"/>
        </w:numPr>
        <w:ind w:left="720"/>
        <w:jc w:val="center"/>
        <w:rPr>
          <w:b/>
          <w:bCs/>
        </w:rPr>
      </w:pPr>
      <m:oMathPara>
        <m:oMath>
          <m:sSubSup>
            <m:sSubSupPr>
              <m:ctrlPr>
                <w:rPr>
                  <w:rFonts w:ascii="Cambria Math" w:eastAsia="SimSun" w:hAnsi="Cambria Math"/>
                  <w:b/>
                  <w:bCs/>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SL</m:t>
              </m:r>
            </m:sup>
          </m:sSubSup>
        </m:oMath>
      </m:oMathPara>
    </w:p>
    <w:p w14:paraId="21EDF95A" w14:textId="5B07279B" w:rsidR="00F636AC" w:rsidRPr="00882E8B" w:rsidRDefault="00F636AC" w:rsidP="00E7756E">
      <w:r w:rsidRPr="00F636AC">
        <w:rPr>
          <w:b/>
          <w:bCs/>
          <w:i/>
          <w:iCs/>
        </w:rPr>
        <w:t>Proposal 4: there is no need to define QCL for SSBs during one S-SSB period</w:t>
      </w:r>
    </w:p>
    <w:p w14:paraId="20D32928" w14:textId="36420F98" w:rsidR="00E7756E" w:rsidRDefault="00E7756E" w:rsidP="00E7756E">
      <w:pPr>
        <w:pStyle w:val="Heading1"/>
        <w:numPr>
          <w:ilvl w:val="0"/>
          <w:numId w:val="0"/>
        </w:numPr>
        <w:ind w:left="432" w:hanging="432"/>
      </w:pPr>
      <w:r>
        <w:t>References</w:t>
      </w:r>
    </w:p>
    <w:p w14:paraId="367CF0F0" w14:textId="328EF667" w:rsidR="00F62478" w:rsidRDefault="00E0752D" w:rsidP="00AD72DA">
      <w:r>
        <w:t xml:space="preserve">[1] </w:t>
      </w:r>
      <w:r w:rsidR="00B64059" w:rsidRPr="00B64059">
        <w:t>R</w:t>
      </w:r>
      <w:r w:rsidR="00BE45B7">
        <w:t>P-193198</w:t>
      </w:r>
      <w:r>
        <w:t xml:space="preserve">, </w:t>
      </w:r>
      <w:r w:rsidR="00BE45B7" w:rsidRPr="00BE45B7">
        <w:t>Task list for 5G V2X in RAN1#100</w:t>
      </w:r>
      <w:r>
        <w:t xml:space="preserve">, </w:t>
      </w:r>
      <w:r w:rsidR="00BE45B7">
        <w:t>LGE</w:t>
      </w:r>
      <w:r>
        <w:t>, RAN#</w:t>
      </w:r>
      <w:r w:rsidR="00BE45B7">
        <w:t>86</w:t>
      </w:r>
      <w:r>
        <w:t xml:space="preserve">, </w:t>
      </w:r>
      <w:proofErr w:type="spellStart"/>
      <w:r w:rsidR="00BE45B7">
        <w:t>Sitges</w:t>
      </w:r>
      <w:proofErr w:type="spellEnd"/>
      <w:r>
        <w:t xml:space="preserve">, </w:t>
      </w:r>
      <w:r w:rsidR="00BE45B7">
        <w:t>Spain</w:t>
      </w:r>
      <w:r>
        <w:t xml:space="preserve">, </w:t>
      </w:r>
      <w:r w:rsidR="00BE45B7">
        <w:t>Dec</w:t>
      </w:r>
      <w:r>
        <w:t xml:space="preserve"> </w:t>
      </w:r>
      <w:r w:rsidR="00BE45B7">
        <w:t>9</w:t>
      </w:r>
      <w:r>
        <w:t>-</w:t>
      </w:r>
      <w:r w:rsidR="00BE45B7">
        <w:t>1</w:t>
      </w:r>
      <w:r>
        <w:t>2, 2019</w:t>
      </w:r>
    </w:p>
    <w:p w14:paraId="2174F2C0" w14:textId="45EFF6A2" w:rsidR="009E5EA4" w:rsidRPr="00E7756E" w:rsidRDefault="009E5EA4" w:rsidP="00AD72DA"/>
    <w:sectPr w:rsidR="009E5EA4"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3ED59" w14:textId="77777777" w:rsidR="006B0B0D" w:rsidRDefault="006B0B0D">
      <w:r>
        <w:separator/>
      </w:r>
    </w:p>
  </w:endnote>
  <w:endnote w:type="continuationSeparator" w:id="0">
    <w:p w14:paraId="232629A2" w14:textId="77777777" w:rsidR="006B0B0D" w:rsidRDefault="006B0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79EFC" w14:textId="77777777" w:rsidR="006B0B0D" w:rsidRDefault="006B0B0D">
      <w:r>
        <w:separator/>
      </w:r>
    </w:p>
  </w:footnote>
  <w:footnote w:type="continuationSeparator" w:id="0">
    <w:p w14:paraId="3849B63F" w14:textId="77777777" w:rsidR="006B0B0D" w:rsidRDefault="006B0B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D0657BF"/>
    <w:multiLevelType w:val="hybridMultilevel"/>
    <w:tmpl w:val="2AFA0A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379EF"/>
    <w:multiLevelType w:val="hybridMultilevel"/>
    <w:tmpl w:val="25FE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B0B4E"/>
    <w:multiLevelType w:val="hybridMultilevel"/>
    <w:tmpl w:val="BEFC529E"/>
    <w:lvl w:ilvl="0" w:tplc="6AAE185C">
      <w:start w:val="3"/>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3079AE"/>
    <w:multiLevelType w:val="hybridMultilevel"/>
    <w:tmpl w:val="9E10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D769BA"/>
    <w:multiLevelType w:val="hybridMultilevel"/>
    <w:tmpl w:val="29262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27C7F"/>
    <w:multiLevelType w:val="hybridMultilevel"/>
    <w:tmpl w:val="E348D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068D5"/>
    <w:multiLevelType w:val="hybridMultilevel"/>
    <w:tmpl w:val="E4B8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D447945"/>
    <w:multiLevelType w:val="hybridMultilevel"/>
    <w:tmpl w:val="D1ECF424"/>
    <w:lvl w:ilvl="0" w:tplc="6AAE185C">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DB069D"/>
    <w:multiLevelType w:val="hybridMultilevel"/>
    <w:tmpl w:val="1026FAFA"/>
    <w:lvl w:ilvl="0" w:tplc="BC7C87C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649625BE"/>
    <w:multiLevelType w:val="hybridMultilevel"/>
    <w:tmpl w:val="7FDA4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327FB4"/>
    <w:multiLevelType w:val="hybridMultilevel"/>
    <w:tmpl w:val="D89A2F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F573E47"/>
    <w:multiLevelType w:val="hybridMultilevel"/>
    <w:tmpl w:val="60DC6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DE7182"/>
    <w:multiLevelType w:val="hybridMultilevel"/>
    <w:tmpl w:val="8B5AA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30"/>
  </w:num>
  <w:num w:numId="4">
    <w:abstractNumId w:val="22"/>
  </w:num>
  <w:num w:numId="5">
    <w:abstractNumId w:val="11"/>
  </w:num>
  <w:num w:numId="6">
    <w:abstractNumId w:val="6"/>
  </w:num>
  <w:num w:numId="7">
    <w:abstractNumId w:val="20"/>
  </w:num>
  <w:num w:numId="8">
    <w:abstractNumId w:val="30"/>
  </w:num>
  <w:num w:numId="9">
    <w:abstractNumId w:val="8"/>
  </w:num>
  <w:num w:numId="10">
    <w:abstractNumId w:val="5"/>
  </w:num>
  <w:num w:numId="11">
    <w:abstractNumId w:val="16"/>
  </w:num>
  <w:num w:numId="12">
    <w:abstractNumId w:val="27"/>
  </w:num>
  <w:num w:numId="13">
    <w:abstractNumId w:val="0"/>
  </w:num>
  <w:num w:numId="14">
    <w:abstractNumId w:val="12"/>
  </w:num>
  <w:num w:numId="15">
    <w:abstractNumId w:val="37"/>
  </w:num>
  <w:num w:numId="16">
    <w:abstractNumId w:val="29"/>
  </w:num>
  <w:num w:numId="17">
    <w:abstractNumId w:val="29"/>
  </w:num>
  <w:num w:numId="18">
    <w:abstractNumId w:val="34"/>
  </w:num>
  <w:num w:numId="19">
    <w:abstractNumId w:val="24"/>
  </w:num>
  <w:num w:numId="20">
    <w:abstractNumId w:val="10"/>
  </w:num>
  <w:num w:numId="21">
    <w:abstractNumId w:val="2"/>
  </w:num>
  <w:num w:numId="22">
    <w:abstractNumId w:val="33"/>
  </w:num>
  <w:num w:numId="23">
    <w:abstractNumId w:val="17"/>
  </w:num>
  <w:num w:numId="24">
    <w:abstractNumId w:val="31"/>
  </w:num>
  <w:num w:numId="25">
    <w:abstractNumId w:val="36"/>
  </w:num>
  <w:num w:numId="26">
    <w:abstractNumId w:val="18"/>
  </w:num>
  <w:num w:numId="27">
    <w:abstractNumId w:val="38"/>
  </w:num>
  <w:num w:numId="28">
    <w:abstractNumId w:val="1"/>
  </w:num>
  <w:num w:numId="29">
    <w:abstractNumId w:val="21"/>
  </w:num>
  <w:num w:numId="30">
    <w:abstractNumId w:val="32"/>
  </w:num>
  <w:num w:numId="31">
    <w:abstractNumId w:val="15"/>
  </w:num>
  <w:num w:numId="32">
    <w:abstractNumId w:val="32"/>
  </w:num>
  <w:num w:numId="33">
    <w:abstractNumId w:val="23"/>
  </w:num>
  <w:num w:numId="34">
    <w:abstractNumId w:val="14"/>
  </w:num>
  <w:num w:numId="35">
    <w:abstractNumId w:val="35"/>
  </w:num>
  <w:num w:numId="36">
    <w:abstractNumId w:val="9"/>
  </w:num>
  <w:num w:numId="37">
    <w:abstractNumId w:val="3"/>
  </w:num>
  <w:num w:numId="38">
    <w:abstractNumId w:val="7"/>
  </w:num>
  <w:num w:numId="39">
    <w:abstractNumId w:val="28"/>
  </w:num>
  <w:num w:numId="40">
    <w:abstractNumId w:val="25"/>
  </w:num>
  <w:num w:numId="41">
    <w:abstractNumId w:val="4"/>
  </w:num>
  <w:num w:numId="42">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84"/>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26"/>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5F0"/>
    <w:rsid w:val="00210860"/>
    <w:rsid w:val="00210B6A"/>
    <w:rsid w:val="0021120F"/>
    <w:rsid w:val="002119C5"/>
    <w:rsid w:val="00211C40"/>
    <w:rsid w:val="00211DAC"/>
    <w:rsid w:val="00212CB6"/>
    <w:rsid w:val="00212D8D"/>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57"/>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187E"/>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43DD"/>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DF8"/>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4A72"/>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1DE0"/>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CC1"/>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D30"/>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612"/>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12"/>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653"/>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0B0D"/>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59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6CE9"/>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551"/>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07C"/>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C1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3E4"/>
    <w:rsid w:val="0095380C"/>
    <w:rsid w:val="00954345"/>
    <w:rsid w:val="00954353"/>
    <w:rsid w:val="00955C0A"/>
    <w:rsid w:val="00955C4F"/>
    <w:rsid w:val="00956109"/>
    <w:rsid w:val="009575AA"/>
    <w:rsid w:val="00960CE7"/>
    <w:rsid w:val="00961A13"/>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359F"/>
    <w:rsid w:val="00994871"/>
    <w:rsid w:val="00994A94"/>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A7F39"/>
    <w:rsid w:val="009B03F6"/>
    <w:rsid w:val="009B1EF9"/>
    <w:rsid w:val="009B24E0"/>
    <w:rsid w:val="009B26AC"/>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5EA4"/>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0DEF"/>
    <w:rsid w:val="00A2117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571"/>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2543"/>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B80"/>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758"/>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3FC"/>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5FA"/>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9B2"/>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AA5"/>
    <w:rsid w:val="00E01DAA"/>
    <w:rsid w:val="00E023E5"/>
    <w:rsid w:val="00E02432"/>
    <w:rsid w:val="00E02B20"/>
    <w:rsid w:val="00E04022"/>
    <w:rsid w:val="00E04DC9"/>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025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36AC"/>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Revision">
    <w:name w:val="Revision"/>
    <w:hidden/>
    <w:uiPriority w:val="99"/>
    <w:semiHidden/>
    <w:rsid w:val="009A7F3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D71AA1-7341-40F0-9D5A-708AC616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3</cp:revision>
  <cp:lastPrinted>2007-06-18T22:08:00Z</cp:lastPrinted>
  <dcterms:created xsi:type="dcterms:W3CDTF">2020-02-13T20:32:00Z</dcterms:created>
  <dcterms:modified xsi:type="dcterms:W3CDTF">2020-02-13T20:33:00Z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(3)2jOjPOd+S39wU+M5xMtn6fGHz00MhPQXP3Y4qVzBx/fEEOtjIpP78X2RATnKEvLFWdWWiNo1
4g75/uNlrvgKkMPkcIwve4DnNFi3+tmBW7DZhakuP9UU8XvQEwW/tn+J/L47ResEVeAc9sYY
+jcbNrp/3yeFyACPkI9R8k06zvgsKVG/5MIDFMKojdIkDiuqyZuw8Fb95NLAW429I7jlaNjw
WJG+8df64/UHKybvsW</vt:lpwstr>
  </property>
  <property fmtid="{D5CDD505-2E9C-101B-9397-08002B2CF9AE}" pid="13" name="_2015_ms_pID_725343_00">
    <vt:lpwstr>_2015_ms_pID_725343</vt:lpwstr>
  </property>
  <property fmtid="{D5CDD505-2E9C-101B-9397-08002B2CF9AE}" pid="14" name="_2015_ms_pID_7253431">
    <vt:lpwstr>GylnJSW3XtdKbOK41POdWf4NXqFMEDsO+uYBGWEal6/8l1Saf38i4+
CSSUrXd6mS5IJpAS1Ostu26rLTulHkW1/9zVnnrdwjHEb7a2BMZaxaTYCsnIbb7xoNT0ASN0
pLZJqFQvvthliCxyEzYMYDNS+exrf8nfUurBgm6netigmyWDGwxIeAj12YT5xEB1qr7R+L17
5I6TziAz9F5OEf6ns4Anh5MPNpK0MSfw9zo0</vt:lpwstr>
  </property>
  <property fmtid="{D5CDD505-2E9C-101B-9397-08002B2CF9AE}" pid="15" name="_2015_ms_pID_7253431_00">
    <vt:lpwstr>_2015_ms_pID_7253431</vt:lpwstr>
  </property>
  <property fmtid="{D5CDD505-2E9C-101B-9397-08002B2CF9AE}" pid="16" name="_2015_ms_pID_7253432">
    <vt:lpwstr>lWPk45o8jXCxYshg2nncoF6O1pgQYGoHOZ6z
MvYKH3xsN/AzU8OQIHW27d5nTG4sveWR3RxbWEjdCRKBhSW+NwA=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