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203" w:rsidRPr="00165840" w:rsidRDefault="00103203" w:rsidP="00103203">
      <w:pPr>
        <w:tabs>
          <w:tab w:val="center" w:pos="4536"/>
          <w:tab w:val="right" w:pos="9072"/>
        </w:tabs>
        <w:rPr>
          <w:rFonts w:eastAsia="宋体"/>
          <w:b/>
          <w:sz w:val="22"/>
          <w:lang w:eastAsia="zh-CN"/>
        </w:rPr>
      </w:pPr>
      <w:r w:rsidRPr="00165840">
        <w:rPr>
          <w:rFonts w:eastAsia="宋体"/>
          <w:b/>
          <w:sz w:val="22"/>
          <w:lang w:eastAsia="zh-CN"/>
        </w:rPr>
        <w:t>3GPP TSG RAN WG1 #100-E</w:t>
      </w:r>
      <w:r w:rsidRPr="00165840">
        <w:rPr>
          <w:rFonts w:eastAsia="宋体"/>
          <w:b/>
          <w:sz w:val="22"/>
          <w:lang w:eastAsia="zh-CN"/>
        </w:rPr>
        <w:tab/>
      </w:r>
      <w:r w:rsidRPr="00165840">
        <w:rPr>
          <w:rFonts w:eastAsia="宋体"/>
          <w:b/>
          <w:sz w:val="22"/>
          <w:lang w:eastAsia="zh-CN"/>
        </w:rPr>
        <w:tab/>
      </w:r>
      <w:r w:rsidR="00F1010C">
        <w:rPr>
          <w:rFonts w:eastAsia="宋体"/>
          <w:b/>
          <w:sz w:val="22"/>
          <w:lang w:eastAsia="zh-CN"/>
        </w:rPr>
        <w:t>R1-2000485</w:t>
      </w:r>
      <w:bookmarkStart w:id="0" w:name="_GoBack"/>
      <w:bookmarkEnd w:id="0"/>
    </w:p>
    <w:p w:rsidR="00103203" w:rsidRPr="00165840" w:rsidRDefault="00103203" w:rsidP="00103203">
      <w:pPr>
        <w:tabs>
          <w:tab w:val="center" w:pos="4536"/>
          <w:tab w:val="right" w:pos="9072"/>
        </w:tabs>
        <w:rPr>
          <w:rFonts w:eastAsia="宋体"/>
          <w:b/>
          <w:sz w:val="22"/>
          <w:lang w:eastAsia="zh-CN"/>
        </w:rPr>
      </w:pPr>
      <w:r w:rsidRPr="00165840">
        <w:rPr>
          <w:rFonts w:eastAsia="MS Mincho"/>
          <w:b/>
          <w:bCs/>
          <w:sz w:val="22"/>
          <w:lang w:eastAsia="ja-JP"/>
        </w:rPr>
        <w:t>Athens, Greece, February 24</w:t>
      </w:r>
      <w:r w:rsidRPr="00165840">
        <w:rPr>
          <w:rFonts w:eastAsia="MS Mincho"/>
          <w:b/>
          <w:bCs/>
          <w:sz w:val="22"/>
          <w:vertAlign w:val="superscript"/>
          <w:lang w:eastAsia="ja-JP"/>
        </w:rPr>
        <w:t>th</w:t>
      </w:r>
      <w:r w:rsidRPr="00165840">
        <w:rPr>
          <w:rFonts w:eastAsia="MS Mincho"/>
          <w:b/>
          <w:bCs/>
          <w:sz w:val="22"/>
          <w:lang w:eastAsia="ja-JP"/>
        </w:rPr>
        <w:t xml:space="preserve"> – 28</w:t>
      </w:r>
      <w:r w:rsidRPr="00165840">
        <w:rPr>
          <w:rFonts w:eastAsia="MS Mincho"/>
          <w:b/>
          <w:bCs/>
          <w:sz w:val="22"/>
          <w:vertAlign w:val="superscript"/>
          <w:lang w:eastAsia="ja-JP"/>
        </w:rPr>
        <w:t>th</w:t>
      </w:r>
      <w:r w:rsidRPr="00165840">
        <w:rPr>
          <w:rFonts w:eastAsia="MS Mincho"/>
          <w:b/>
          <w:bCs/>
          <w:sz w:val="22"/>
          <w:lang w:eastAsia="ja-JP"/>
        </w:rPr>
        <w:t>, 2020</w:t>
      </w:r>
    </w:p>
    <w:p w:rsidR="00301308" w:rsidRPr="00103203" w:rsidRDefault="00301308" w:rsidP="00301308">
      <w:pPr>
        <w:pStyle w:val="a4"/>
        <w:rPr>
          <w:rFonts w:eastAsia="宋体" w:cs="Arial"/>
          <w:sz w:val="22"/>
          <w:szCs w:val="22"/>
          <w:lang w:eastAsia="zh-CN"/>
        </w:rPr>
      </w:pPr>
    </w:p>
    <w:p w:rsidR="00301308" w:rsidRPr="00AE528C" w:rsidRDefault="00301308" w:rsidP="00301308">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rsidR="00301308" w:rsidRPr="00AA5E4F" w:rsidRDefault="00301308" w:rsidP="00301308">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108B9">
        <w:rPr>
          <w:rFonts w:eastAsia="宋体" w:cs="Arial" w:hint="eastAsia"/>
          <w:sz w:val="22"/>
          <w:szCs w:val="22"/>
          <w:lang w:eastAsia="zh-CN"/>
        </w:rPr>
        <w:t>DL SPS</w:t>
      </w:r>
      <w:r w:rsidR="00D0151E">
        <w:rPr>
          <w:rFonts w:eastAsia="宋体" w:cs="Arial"/>
          <w:sz w:val="22"/>
          <w:szCs w:val="22"/>
          <w:lang w:eastAsia="zh-CN"/>
        </w:rPr>
        <w:t xml:space="preserve"> enhancement</w:t>
      </w:r>
    </w:p>
    <w:p w:rsidR="00301308" w:rsidRPr="003949FA" w:rsidRDefault="00301308" w:rsidP="00301308">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C7771">
        <w:rPr>
          <w:rFonts w:eastAsia="宋体" w:cs="Arial" w:hint="eastAsia"/>
          <w:sz w:val="22"/>
          <w:szCs w:val="22"/>
          <w:lang w:eastAsia="zh-CN"/>
        </w:rPr>
        <w:t>2.5</w:t>
      </w:r>
      <w:r>
        <w:rPr>
          <w:rFonts w:eastAsia="宋体" w:cs="Arial" w:hint="eastAsia"/>
          <w:sz w:val="22"/>
          <w:szCs w:val="22"/>
          <w:lang w:eastAsia="zh-CN"/>
        </w:rPr>
        <w:t>.7</w:t>
      </w:r>
    </w:p>
    <w:p w:rsidR="00301308" w:rsidRPr="00AE528C" w:rsidRDefault="00301308" w:rsidP="00301308">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301308" w:rsidRPr="001F478F" w:rsidRDefault="00301308" w:rsidP="00301308">
      <w:pPr>
        <w:pBdr>
          <w:bottom w:val="single" w:sz="4" w:space="1" w:color="auto"/>
        </w:pBdr>
        <w:tabs>
          <w:tab w:val="left" w:pos="2552"/>
        </w:tabs>
        <w:rPr>
          <w:rFonts w:eastAsia="宋体"/>
          <w:lang w:eastAsia="zh-CN"/>
        </w:rPr>
      </w:pPr>
      <w:bookmarkStart w:id="1" w:name="Source"/>
      <w:bookmarkStart w:id="2" w:name="DocumentFor"/>
      <w:bookmarkEnd w:id="1"/>
      <w:bookmarkEnd w:id="2"/>
    </w:p>
    <w:p w:rsidR="00301308" w:rsidRPr="00AD3634" w:rsidRDefault="00301308" w:rsidP="00301308">
      <w:pPr>
        <w:pStyle w:val="1"/>
        <w:tabs>
          <w:tab w:val="clear" w:pos="567"/>
          <w:tab w:val="num" w:pos="612"/>
        </w:tabs>
        <w:spacing w:before="360" w:after="120"/>
        <w:ind w:left="0" w:firstLine="0"/>
        <w:rPr>
          <w:rFonts w:ascii="Times New Roman" w:eastAsia="宋体" w:hAnsi="Times New Roman" w:cs="Times New Roman" w:hint="eastAsia"/>
          <w:lang w:eastAsia="zh-CN"/>
        </w:rPr>
      </w:pPr>
      <w:r w:rsidRPr="00C03F21">
        <w:rPr>
          <w:rFonts w:ascii="Times New Roman" w:hAnsi="Times New Roman" w:cs="Times New Roman"/>
        </w:rPr>
        <w:t>Introduction</w:t>
      </w:r>
    </w:p>
    <w:p w:rsidR="009108B9" w:rsidRDefault="0076362D" w:rsidP="00AB42D0">
      <w:pPr>
        <w:overflowPunct w:val="0"/>
        <w:autoSpaceDE w:val="0"/>
        <w:autoSpaceDN w:val="0"/>
        <w:adjustRightInd w:val="0"/>
        <w:jc w:val="both"/>
        <w:textAlignment w:val="baseline"/>
        <w:rPr>
          <w:rFonts w:eastAsia="宋体"/>
          <w:lang w:eastAsia="zh-CN"/>
        </w:rPr>
      </w:pPr>
      <w:r w:rsidRPr="0076362D">
        <w:rPr>
          <w:rFonts w:hint="eastAsia"/>
          <w:bCs/>
        </w:rPr>
        <w:t>In RAN</w:t>
      </w:r>
      <w:r w:rsidR="003C7771">
        <w:rPr>
          <w:rFonts w:eastAsia="宋体" w:hint="eastAsia"/>
          <w:bCs/>
          <w:lang w:eastAsia="zh-CN"/>
        </w:rPr>
        <w:t>1 99</w:t>
      </w:r>
      <w:r w:rsidR="00AB42D0" w:rsidRPr="00086163">
        <w:rPr>
          <w:rFonts w:eastAsia="宋体" w:hint="eastAsia"/>
          <w:bCs/>
          <w:lang w:eastAsia="zh-CN"/>
        </w:rPr>
        <w:t xml:space="preserve"> meeting</w:t>
      </w:r>
      <w:r w:rsidRPr="0076362D">
        <w:rPr>
          <w:rFonts w:hint="eastAsia"/>
          <w:bCs/>
        </w:rPr>
        <w:t>,</w:t>
      </w:r>
      <w:r w:rsidR="00236371" w:rsidRPr="008A6D4F">
        <w:rPr>
          <w:rFonts w:eastAsia="宋体" w:hint="eastAsia"/>
          <w:bCs/>
          <w:lang w:eastAsia="zh-CN"/>
        </w:rPr>
        <w:t xml:space="preserve"> several</w:t>
      </w:r>
      <w:r w:rsidRPr="0076362D">
        <w:rPr>
          <w:rFonts w:hint="eastAsia"/>
          <w:bCs/>
        </w:rPr>
        <w:t xml:space="preserve"> </w:t>
      </w:r>
      <w:r w:rsidR="009108B9" w:rsidRPr="003850FE">
        <w:rPr>
          <w:rFonts w:eastAsia="宋体" w:hint="eastAsia"/>
          <w:lang w:eastAsia="zh-CN"/>
        </w:rPr>
        <w:t>agreement</w:t>
      </w:r>
      <w:r w:rsidR="00AB42D0">
        <w:rPr>
          <w:rFonts w:eastAsia="宋体" w:hint="eastAsia"/>
          <w:lang w:eastAsia="zh-CN"/>
        </w:rPr>
        <w:t>s</w:t>
      </w:r>
      <w:r w:rsidR="009108B9" w:rsidRPr="003850FE">
        <w:rPr>
          <w:rFonts w:eastAsia="宋体" w:hint="eastAsia"/>
          <w:lang w:eastAsia="zh-CN"/>
        </w:rPr>
        <w:t xml:space="preserve"> on DL SPS</w:t>
      </w:r>
      <w:r w:rsidR="00064E8A">
        <w:rPr>
          <w:rFonts w:eastAsia="宋体" w:hint="eastAsia"/>
          <w:lang w:eastAsia="zh-CN"/>
        </w:rPr>
        <w:t xml:space="preserve"> in RAN1</w:t>
      </w:r>
      <w:r w:rsidR="00236371">
        <w:rPr>
          <w:rFonts w:eastAsia="宋体" w:hint="eastAsia"/>
          <w:lang w:eastAsia="zh-CN"/>
        </w:rPr>
        <w:t xml:space="preserve"> were</w:t>
      </w:r>
      <w:r w:rsidR="00AB42D0">
        <w:rPr>
          <w:rFonts w:eastAsia="宋体" w:hint="eastAsia"/>
          <w:lang w:eastAsia="zh-CN"/>
        </w:rPr>
        <w:t xml:space="preserve"> achieved [1</w:t>
      </w:r>
      <w:r w:rsidR="009108B9" w:rsidRPr="003850FE">
        <w:rPr>
          <w:rFonts w:eastAsia="宋体" w:hint="eastAsia"/>
          <w:lang w:eastAsia="zh-CN"/>
        </w:rPr>
        <w:t>]:</w:t>
      </w:r>
    </w:p>
    <w:p w:rsidR="003C7771" w:rsidRDefault="003C7771" w:rsidP="003C7771">
      <w:pPr>
        <w:rPr>
          <w:szCs w:val="20"/>
          <w:lang w:eastAsia="x-none"/>
        </w:rPr>
      </w:pPr>
      <w:r>
        <w:rPr>
          <w:szCs w:val="20"/>
          <w:highlight w:val="green"/>
          <w:lang w:eastAsia="x-none"/>
        </w:rPr>
        <w:t>Agreement</w:t>
      </w:r>
      <w:r>
        <w:rPr>
          <w:szCs w:val="20"/>
          <w:lang w:eastAsia="x-none"/>
        </w:rPr>
        <w:t>:</w:t>
      </w:r>
    </w:p>
    <w:p w:rsidR="003C7771" w:rsidRDefault="003C7771" w:rsidP="003C7771">
      <w:pPr>
        <w:rPr>
          <w:noProof/>
          <w:lang w:eastAsia="ko-KR"/>
        </w:rPr>
      </w:pPr>
      <w:r>
        <w:rPr>
          <w:noProof/>
          <w:lang w:eastAsia="ko-KR"/>
        </w:rPr>
        <w:t>In Rel-16, multiple DL SPS configurations can be configured on different serving cells in a cell group.</w:t>
      </w:r>
    </w:p>
    <w:p w:rsidR="003C7771" w:rsidRDefault="003C7771" w:rsidP="003C7771">
      <w:pPr>
        <w:rPr>
          <w:lang w:eastAsia="x-none"/>
        </w:rPr>
      </w:pPr>
    </w:p>
    <w:p w:rsidR="003C7771" w:rsidRDefault="003C7771" w:rsidP="003C7771">
      <w:pPr>
        <w:rPr>
          <w:szCs w:val="20"/>
          <w:lang w:eastAsia="x-none"/>
        </w:rPr>
      </w:pPr>
      <w:r>
        <w:rPr>
          <w:szCs w:val="20"/>
          <w:highlight w:val="green"/>
          <w:lang w:eastAsia="x-none"/>
        </w:rPr>
        <w:t>Agreement</w:t>
      </w:r>
      <w:r>
        <w:rPr>
          <w:szCs w:val="20"/>
          <w:lang w:eastAsia="x-none"/>
        </w:rPr>
        <w:t>:</w:t>
      </w:r>
    </w:p>
    <w:p w:rsidR="003C7771" w:rsidRDefault="003C7771" w:rsidP="003C7771">
      <w:pPr>
        <w:spacing w:line="240" w:lineRule="atLeast"/>
        <w:rPr>
          <w:rFonts w:ascii="Arial" w:hAnsi="Arial"/>
          <w:b/>
          <w:kern w:val="28"/>
          <w:szCs w:val="20"/>
          <w:lang w:eastAsia="ko-KR"/>
        </w:rPr>
      </w:pPr>
      <w:r>
        <w:rPr>
          <w:szCs w:val="20"/>
        </w:rPr>
        <w:t>Support DCI format 1-0, 1-1 and 1_2 for Rel-16 SPS activation and for Rel-16 SPS release.</w:t>
      </w:r>
    </w:p>
    <w:p w:rsidR="003C7771" w:rsidRDefault="003C7771" w:rsidP="003C7771">
      <w:pPr>
        <w:rPr>
          <w:lang w:eastAsia="x-none"/>
        </w:rPr>
      </w:pPr>
    </w:p>
    <w:p w:rsidR="003C7771" w:rsidRDefault="003C7771" w:rsidP="003C7771">
      <w:pPr>
        <w:rPr>
          <w:szCs w:val="20"/>
          <w:lang w:eastAsia="x-none"/>
        </w:rPr>
      </w:pPr>
      <w:r>
        <w:rPr>
          <w:szCs w:val="20"/>
          <w:highlight w:val="green"/>
          <w:lang w:eastAsia="x-none"/>
        </w:rPr>
        <w:t>Agreements</w:t>
      </w:r>
      <w:r>
        <w:rPr>
          <w:szCs w:val="20"/>
          <w:lang w:eastAsia="x-none"/>
        </w:rPr>
        <w:t>:</w:t>
      </w:r>
    </w:p>
    <w:p w:rsidR="003C7771" w:rsidRDefault="003C7771" w:rsidP="003C7771">
      <w:pPr>
        <w:pStyle w:val="a7"/>
        <w:spacing w:line="240" w:lineRule="atLeast"/>
        <w:ind w:left="0"/>
        <w:rPr>
          <w:szCs w:val="20"/>
        </w:rPr>
      </w:pPr>
      <w:r>
        <w:t>HPN field in the applicable DL DCI formats with CRC scrambled by CS-RNTI and NDI=0 is used to indicate which SPS configuration is to be activated and which SPS configuration(s) is/are to be released</w:t>
      </w:r>
    </w:p>
    <w:p w:rsidR="003C7771" w:rsidRDefault="003C7771" w:rsidP="003C7771">
      <w:pPr>
        <w:pStyle w:val="a7"/>
        <w:numPr>
          <w:ilvl w:val="0"/>
          <w:numId w:val="33"/>
        </w:numPr>
        <w:overflowPunct w:val="0"/>
        <w:autoSpaceDE w:val="0"/>
        <w:autoSpaceDN w:val="0"/>
        <w:adjustRightInd w:val="0"/>
        <w:spacing w:after="180" w:line="240" w:lineRule="atLeast"/>
        <w:jc w:val="both"/>
      </w:pPr>
      <w:r>
        <w:t>M LSB HPN bits is used to indicate which configuration is to be activated and which configuration(s) is/are to be released.</w:t>
      </w:r>
    </w:p>
    <w:p w:rsidR="003C7771" w:rsidRDefault="003C7771" w:rsidP="003C7771">
      <w:pPr>
        <w:pStyle w:val="a7"/>
        <w:numPr>
          <w:ilvl w:val="0"/>
          <w:numId w:val="33"/>
        </w:numPr>
        <w:overflowPunct w:val="0"/>
        <w:autoSpaceDE w:val="0"/>
        <w:autoSpaceDN w:val="0"/>
        <w:adjustRightInd w:val="0"/>
        <w:spacing w:after="180" w:line="240" w:lineRule="atLeast"/>
        <w:jc w:val="both"/>
      </w:pPr>
      <w:r>
        <w:rPr>
          <w:iCs/>
        </w:rPr>
        <w:t>M is determined by the bit length for HPN field for each DCI format for activation and release of SPS configuration(s)</w:t>
      </w:r>
    </w:p>
    <w:p w:rsidR="003C7771" w:rsidRDefault="003C7771" w:rsidP="003C7771">
      <w:pPr>
        <w:rPr>
          <w:szCs w:val="20"/>
          <w:lang w:eastAsia="x-none"/>
        </w:rPr>
      </w:pPr>
      <w:r>
        <w:rPr>
          <w:szCs w:val="20"/>
          <w:highlight w:val="green"/>
          <w:lang w:eastAsia="x-none"/>
        </w:rPr>
        <w:t>Agreement</w:t>
      </w:r>
      <w:r>
        <w:rPr>
          <w:szCs w:val="20"/>
          <w:lang w:eastAsia="x-none"/>
        </w:rPr>
        <w:t>:</w:t>
      </w:r>
    </w:p>
    <w:p w:rsidR="003C7771" w:rsidRDefault="003C7771" w:rsidP="003C7771">
      <w:pPr>
        <w:spacing w:line="240" w:lineRule="atLeast"/>
        <w:rPr>
          <w:rFonts w:eastAsia="Malgun Gothic"/>
          <w:szCs w:val="20"/>
          <w:lang w:eastAsia="ko-KR"/>
        </w:rPr>
      </w:pPr>
      <w:r>
        <w:rPr>
          <w:szCs w:val="20"/>
          <w:lang w:eastAsia="zh-CN"/>
        </w:rPr>
        <w:t>For both type-1 and type-2 HARQ-ACK codebook construction,</w:t>
      </w:r>
      <w:r>
        <w:rPr>
          <w:rFonts w:eastAsia="Malgun Gothic"/>
          <w:szCs w:val="20"/>
          <w:lang w:eastAsia="ko-KR"/>
        </w:rPr>
        <w:t xml:space="preserve"> one HARQ-ACK bit is generated for SPS PDSCH release </w:t>
      </w:r>
      <w:r>
        <w:rPr>
          <w:rFonts w:eastAsia="宋体"/>
          <w:szCs w:val="20"/>
          <w:lang w:eastAsia="zh-CN"/>
        </w:rPr>
        <w:t>with a joint release DCI</w:t>
      </w:r>
    </w:p>
    <w:p w:rsidR="003C7771" w:rsidRDefault="003C7771" w:rsidP="003C7771">
      <w:pPr>
        <w:rPr>
          <w:lang w:eastAsia="x-none"/>
        </w:rPr>
      </w:pPr>
    </w:p>
    <w:p w:rsidR="003C7771" w:rsidRDefault="003C7771" w:rsidP="003C7771">
      <w:pPr>
        <w:spacing w:line="240" w:lineRule="atLeast"/>
        <w:rPr>
          <w:szCs w:val="20"/>
          <w:lang w:eastAsia="zh-CN"/>
        </w:rPr>
      </w:pPr>
      <w:r>
        <w:rPr>
          <w:szCs w:val="20"/>
          <w:highlight w:val="green"/>
          <w:lang w:eastAsia="zh-CN"/>
        </w:rPr>
        <w:t>Agreements</w:t>
      </w:r>
      <w:r>
        <w:rPr>
          <w:szCs w:val="20"/>
          <w:lang w:eastAsia="zh-CN"/>
        </w:rPr>
        <w:t>:</w:t>
      </w:r>
    </w:p>
    <w:p w:rsidR="003C7771" w:rsidRDefault="003C7771" w:rsidP="003C7771">
      <w:pPr>
        <w:spacing w:line="240" w:lineRule="atLeast"/>
        <w:rPr>
          <w:szCs w:val="20"/>
          <w:lang w:eastAsia="zh-CN"/>
        </w:rPr>
      </w:pPr>
      <w:r>
        <w:rPr>
          <w:szCs w:val="20"/>
          <w:lang w:eastAsia="zh-CN"/>
        </w:rPr>
        <w:t xml:space="preserve">If the UE is configured with more than one SPS PDSCH configurations, </w:t>
      </w:r>
      <w:r>
        <w:rPr>
          <w:rFonts w:cs="Gulim"/>
          <w:szCs w:val="20"/>
          <w:lang w:eastAsia="ko-KR"/>
        </w:rPr>
        <w:t xml:space="preserve">and for type-1 HARQ-ACK codebook construction, </w:t>
      </w:r>
    </w:p>
    <w:p w:rsidR="003C7771" w:rsidRDefault="003C7771" w:rsidP="003C7771">
      <w:pPr>
        <w:pStyle w:val="a7"/>
        <w:numPr>
          <w:ilvl w:val="0"/>
          <w:numId w:val="34"/>
        </w:numPr>
        <w:autoSpaceDN w:val="0"/>
        <w:spacing w:line="240" w:lineRule="atLeast"/>
        <w:jc w:val="both"/>
        <w:rPr>
          <w:szCs w:val="20"/>
        </w:rPr>
      </w:pPr>
      <w:r>
        <w:t>For cases where HARQ-ACK feedback for one or more SPS PDSCH receptions without a corresponding PDCCH is multiplexed with HARQ-ACK feedback for dynamic scheduled PDSCH and/or for SPS PDSCH release, or</w:t>
      </w:r>
    </w:p>
    <w:p w:rsidR="003C7771" w:rsidRDefault="003C7771" w:rsidP="003C7771">
      <w:pPr>
        <w:pStyle w:val="a7"/>
        <w:numPr>
          <w:ilvl w:val="0"/>
          <w:numId w:val="34"/>
        </w:numPr>
        <w:autoSpaceDN w:val="0"/>
        <w:spacing w:line="240" w:lineRule="atLeast"/>
        <w:jc w:val="both"/>
      </w:pPr>
      <w:r>
        <w:t>For cases where HARQ-ACK feedback for SPS PDSCH release is multiplexed with HARQ-ACK feedback for dynamic scheduled PDSCH, or</w:t>
      </w:r>
    </w:p>
    <w:p w:rsidR="003C7771" w:rsidRDefault="003C7771" w:rsidP="003C7771">
      <w:pPr>
        <w:pStyle w:val="a7"/>
        <w:numPr>
          <w:ilvl w:val="0"/>
          <w:numId w:val="34"/>
        </w:numPr>
        <w:autoSpaceDN w:val="0"/>
        <w:spacing w:line="240" w:lineRule="atLeast"/>
        <w:jc w:val="both"/>
      </w:pPr>
      <w:r>
        <w:t xml:space="preserve">For cases where only HARQ-ACK feedback for SPS PDSCH release shall be reported, </w:t>
      </w:r>
    </w:p>
    <w:p w:rsidR="003C7771" w:rsidRDefault="003C7771" w:rsidP="003C7771">
      <w:pPr>
        <w:pStyle w:val="a7"/>
        <w:numPr>
          <w:ilvl w:val="1"/>
          <w:numId w:val="34"/>
        </w:numPr>
        <w:autoSpaceDN w:val="0"/>
        <w:spacing w:after="180" w:line="240" w:lineRule="atLeast"/>
        <w:jc w:val="both"/>
        <w:rPr>
          <w:lang w:eastAsia="zh-CN"/>
        </w:rPr>
      </w:pPr>
      <w:r>
        <w:rPr>
          <w:lang w:eastAsia="zh-CN"/>
        </w:rPr>
        <w:t xml:space="preserve">HARQ-ACK bit location for SPS PDSCH reception is derived by reusing Rel-15 mechanism (i.e., based on the TDRA table row index and K1 indicated in the activation DCI)   </w:t>
      </w:r>
    </w:p>
    <w:p w:rsidR="003C7771" w:rsidRDefault="003C7771" w:rsidP="003C7771">
      <w:pPr>
        <w:pStyle w:val="a7"/>
        <w:numPr>
          <w:ilvl w:val="1"/>
          <w:numId w:val="34"/>
        </w:numPr>
        <w:autoSpaceDN w:val="0"/>
        <w:spacing w:after="180" w:line="240" w:lineRule="atLeast"/>
        <w:jc w:val="both"/>
        <w:rPr>
          <w:lang w:eastAsia="zh-CN"/>
        </w:rPr>
      </w:pPr>
      <w:r>
        <w:rPr>
          <w:lang w:eastAsia="zh-CN"/>
        </w:rPr>
        <w:t xml:space="preserve">HARQ-ACK bit location for SPS PDSCH release with a separate release DCI is derived by reusing Rel-15 mechanism (i.e., based on the TDRA table row index indicated in the activation DCI and K1 indicated in the release DCI)  </w:t>
      </w:r>
    </w:p>
    <w:p w:rsidR="003C7771" w:rsidRDefault="003C7771" w:rsidP="003C7771">
      <w:pPr>
        <w:pStyle w:val="a7"/>
        <w:numPr>
          <w:ilvl w:val="1"/>
          <w:numId w:val="34"/>
        </w:numPr>
        <w:autoSpaceDN w:val="0"/>
        <w:spacing w:after="180" w:line="240" w:lineRule="atLeast"/>
        <w:jc w:val="both"/>
        <w:rPr>
          <w:lang w:eastAsia="zh-CN"/>
        </w:rPr>
      </w:pPr>
      <w:r>
        <w:rPr>
          <w:lang w:eastAsia="zh-CN"/>
        </w:rPr>
        <w:t>HARQ-ACK bit location for SPS PDSCH release with a joint release DCI is derived based on the TDRA table row index indicated in the activation DCI for SPS PDSCH with the lowest SPS configuration index among the jointly released configurations and K1 indicated in the release DCI</w:t>
      </w:r>
    </w:p>
    <w:p w:rsidR="003C7771" w:rsidRDefault="003C7771" w:rsidP="003C7771">
      <w:pPr>
        <w:spacing w:line="240" w:lineRule="atLeast"/>
        <w:rPr>
          <w:rFonts w:eastAsia="Malgun Gothic"/>
          <w:szCs w:val="20"/>
          <w:lang w:eastAsia="ko-KR"/>
        </w:rPr>
      </w:pPr>
      <w:r>
        <w:rPr>
          <w:rFonts w:eastAsia="Malgun Gothic"/>
          <w:szCs w:val="20"/>
          <w:lang w:eastAsia="ko-KR"/>
        </w:rPr>
        <w:t>Note: There is no change on the number of HARQ-ACK bits for a PUCCH transmission regardless whether a joint release DCI is present or not.</w:t>
      </w:r>
    </w:p>
    <w:p w:rsidR="003C7771" w:rsidRDefault="003C7771" w:rsidP="003C7771">
      <w:pPr>
        <w:rPr>
          <w:szCs w:val="20"/>
          <w:lang w:eastAsia="x-none"/>
        </w:rPr>
      </w:pPr>
    </w:p>
    <w:p w:rsidR="003C7771" w:rsidRDefault="003C7771" w:rsidP="003C7771">
      <w:pPr>
        <w:spacing w:line="240" w:lineRule="atLeast"/>
        <w:rPr>
          <w:szCs w:val="20"/>
        </w:rPr>
      </w:pPr>
      <w:r>
        <w:rPr>
          <w:szCs w:val="20"/>
        </w:rPr>
        <w:t xml:space="preserve">In Rel-16, when the SPS configurations are released by a joint release DCI, </w:t>
      </w:r>
    </w:p>
    <w:p w:rsidR="003C7771" w:rsidRPr="003C7771" w:rsidRDefault="003C7771" w:rsidP="003C7771">
      <w:pPr>
        <w:pStyle w:val="a7"/>
        <w:numPr>
          <w:ilvl w:val="0"/>
          <w:numId w:val="32"/>
        </w:numPr>
        <w:overflowPunct w:val="0"/>
        <w:autoSpaceDE w:val="0"/>
        <w:autoSpaceDN w:val="0"/>
        <w:adjustRightInd w:val="0"/>
        <w:spacing w:after="180" w:line="240" w:lineRule="atLeast"/>
        <w:jc w:val="both"/>
        <w:rPr>
          <w:rFonts w:eastAsia="Malgun Gothic" w:hint="eastAsia"/>
          <w:szCs w:val="20"/>
          <w:lang w:eastAsia="ko-KR"/>
        </w:rPr>
      </w:pPr>
      <w:r>
        <w:rPr>
          <w:rFonts w:eastAsia="Malgun Gothic"/>
          <w:lang w:eastAsia="ko-KR"/>
        </w:rPr>
        <w:t>Multiple SPS configurations to be released by the joint release DCI should have the same priority</w:t>
      </w:r>
    </w:p>
    <w:p w:rsidR="003C7771" w:rsidRDefault="003C7771" w:rsidP="003C7771">
      <w:pPr>
        <w:rPr>
          <w:highlight w:val="green"/>
          <w:lang w:eastAsia="x-none"/>
        </w:rPr>
      </w:pPr>
      <w:r>
        <w:rPr>
          <w:highlight w:val="green"/>
          <w:lang w:eastAsia="x-none"/>
        </w:rPr>
        <w:t>Agreement</w:t>
      </w:r>
    </w:p>
    <w:p w:rsidR="003C7771" w:rsidRDefault="003C7771" w:rsidP="003C7771">
      <w:pPr>
        <w:spacing w:line="240" w:lineRule="atLeast"/>
        <w:rPr>
          <w:rFonts w:eastAsia="宋体"/>
          <w:szCs w:val="22"/>
          <w:lang w:eastAsia="zh-CN"/>
        </w:rPr>
      </w:pPr>
      <w:r>
        <w:rPr>
          <w:rFonts w:eastAsia="宋体"/>
          <w:szCs w:val="22"/>
          <w:lang w:eastAsia="zh-CN"/>
        </w:rPr>
        <w:t xml:space="preserve">For a rel-16 UE provided by </w:t>
      </w:r>
      <w:r>
        <w:rPr>
          <w:rFonts w:eastAsia="宋体"/>
          <w:i/>
          <w:szCs w:val="22"/>
          <w:lang w:eastAsia="zh-CN"/>
        </w:rPr>
        <w:t>SPS-PUCCH-AN-List</w:t>
      </w:r>
      <w:r>
        <w:rPr>
          <w:rFonts w:eastAsia="宋体"/>
          <w:szCs w:val="22"/>
          <w:lang w:eastAsia="zh-CN"/>
        </w:rPr>
        <w:t xml:space="preserve"> a set of PUCCH resources, in case of collision between HARQ-ACK for SPS PDSCH without a corresponding PDCCH and SR for the same priority, reuse Rel-15 rule </w:t>
      </w:r>
      <w:r>
        <w:rPr>
          <w:rFonts w:eastAsia="宋体"/>
          <w:szCs w:val="22"/>
          <w:lang w:eastAsia="zh-CN"/>
        </w:rPr>
        <w:lastRenderedPageBreak/>
        <w:t xml:space="preserve">for collision between HARQ-ACK for dynamic scheduled PDSCH and SR in order to determine the PUCCH resource </w:t>
      </w:r>
    </w:p>
    <w:p w:rsidR="003C7771" w:rsidRDefault="003C7771" w:rsidP="003C7771">
      <w:pPr>
        <w:rPr>
          <w:lang w:eastAsia="x-none"/>
        </w:rPr>
      </w:pPr>
    </w:p>
    <w:p w:rsidR="003C7771" w:rsidRDefault="003C7771" w:rsidP="003C7771">
      <w:pPr>
        <w:rPr>
          <w:highlight w:val="green"/>
          <w:lang w:eastAsia="x-none"/>
        </w:rPr>
      </w:pPr>
      <w:r>
        <w:rPr>
          <w:highlight w:val="green"/>
          <w:lang w:eastAsia="x-none"/>
        </w:rPr>
        <w:t>Agreement</w:t>
      </w:r>
    </w:p>
    <w:p w:rsidR="003C7771" w:rsidRDefault="003C7771" w:rsidP="003C7771">
      <w:pPr>
        <w:spacing w:line="240" w:lineRule="atLeast"/>
        <w:rPr>
          <w:rFonts w:eastAsia="Malgun Gothic"/>
          <w:szCs w:val="22"/>
          <w:lang w:eastAsia="ko-KR"/>
        </w:rPr>
      </w:pPr>
      <w:r>
        <w:rPr>
          <w:rFonts w:eastAsia="Malgun Gothic"/>
          <w:szCs w:val="22"/>
          <w:lang w:eastAsia="ko-KR"/>
        </w:rPr>
        <w:t xml:space="preserve">For a given SPS configuration activated by DCI format 1_2, the MCS table is determined by reusing Rel-15 mechanism for a SPS configuration activated by DCI format 1_1. </w:t>
      </w:r>
    </w:p>
    <w:p w:rsidR="003C7771" w:rsidRDefault="003C7771" w:rsidP="003C7771">
      <w:pPr>
        <w:pStyle w:val="a7"/>
        <w:numPr>
          <w:ilvl w:val="0"/>
          <w:numId w:val="32"/>
        </w:numPr>
        <w:overflowPunct w:val="0"/>
        <w:autoSpaceDE w:val="0"/>
        <w:autoSpaceDN w:val="0"/>
        <w:adjustRightInd w:val="0"/>
        <w:spacing w:after="180"/>
        <w:rPr>
          <w:szCs w:val="20"/>
          <w:lang w:eastAsia="ko-KR"/>
        </w:rPr>
      </w:pPr>
      <w:r>
        <w:rPr>
          <w:lang w:eastAsia="ko-KR"/>
        </w:rPr>
        <w:t xml:space="preserve">No new RRC parameter for </w:t>
      </w:r>
      <w:proofErr w:type="spellStart"/>
      <w:r>
        <w:rPr>
          <w:i/>
          <w:lang w:eastAsia="ko-KR"/>
        </w:rPr>
        <w:t>mcs</w:t>
      </w:r>
      <w:proofErr w:type="spellEnd"/>
      <w:r>
        <w:rPr>
          <w:i/>
          <w:lang w:eastAsia="ko-KR"/>
        </w:rPr>
        <w:t>-Table</w:t>
      </w:r>
      <w:r>
        <w:rPr>
          <w:lang w:eastAsia="ko-KR"/>
        </w:rPr>
        <w:t xml:space="preserve"> is introduced for DCI format 1_2</w:t>
      </w:r>
    </w:p>
    <w:p w:rsidR="003C7771" w:rsidRDefault="003C7771" w:rsidP="003C7771">
      <w:pPr>
        <w:rPr>
          <w:highlight w:val="green"/>
          <w:lang w:eastAsia="x-none"/>
        </w:rPr>
      </w:pPr>
      <w:r>
        <w:rPr>
          <w:highlight w:val="green"/>
          <w:lang w:eastAsia="x-none"/>
        </w:rPr>
        <w:t>Agreement</w:t>
      </w:r>
    </w:p>
    <w:p w:rsidR="003C7771" w:rsidRDefault="003C7771" w:rsidP="003C7771">
      <w:pPr>
        <w:rPr>
          <w:rFonts w:eastAsia="Malgun Gothic"/>
          <w:lang w:eastAsia="ko-KR"/>
        </w:rPr>
      </w:pPr>
      <w:r>
        <w:rPr>
          <w:szCs w:val="22"/>
          <w:lang w:eastAsia="zh-CN"/>
        </w:rPr>
        <w:t xml:space="preserve">If the UE is configured with more than one SPS PDSCH configurations, for cases where </w:t>
      </w:r>
      <w:r>
        <w:rPr>
          <w:rFonts w:eastAsia="Malgun Gothic"/>
          <w:lang w:eastAsia="ko-KR"/>
        </w:rPr>
        <w:t xml:space="preserve">only HARQ-ACK feedback for </w:t>
      </w:r>
      <w:r>
        <w:rPr>
          <w:szCs w:val="22"/>
          <w:lang w:eastAsia="zh-CN"/>
        </w:rPr>
        <w:t xml:space="preserve">one or more SPS PDSCH receptions without a corresponding PDCCH </w:t>
      </w:r>
      <w:r>
        <w:rPr>
          <w:rFonts w:eastAsia="Malgun Gothic"/>
          <w:lang w:eastAsia="ko-KR"/>
        </w:rPr>
        <w:t>shall be reported (i.e. no HARQ-ACK feedback for dynamic scheduled PDSCH and/or for SPS PDSCH release</w:t>
      </w:r>
    </w:p>
    <w:p w:rsidR="003C7771" w:rsidRDefault="003C7771" w:rsidP="003C7771">
      <w:pPr>
        <w:pStyle w:val="a7"/>
        <w:numPr>
          <w:ilvl w:val="0"/>
          <w:numId w:val="32"/>
        </w:numPr>
        <w:overflowPunct w:val="0"/>
        <w:autoSpaceDE w:val="0"/>
        <w:autoSpaceDN w:val="0"/>
        <w:adjustRightInd w:val="0"/>
        <w:spacing w:after="180"/>
        <w:rPr>
          <w:rFonts w:eastAsia="Malgun Gothic"/>
          <w:lang w:eastAsia="ko-KR"/>
        </w:rPr>
      </w:pPr>
      <w:r>
        <w:rPr>
          <w:lang w:eastAsia="zh-CN"/>
        </w:rPr>
        <w:t xml:space="preserve">HARQ-ACK bit order for SPS PDSCH reception without a corresponding PDCCH </w:t>
      </w:r>
      <w:r>
        <w:rPr>
          <w:rFonts w:eastAsia="Malgun Gothic"/>
          <w:lang w:eastAsia="ko-KR"/>
        </w:rPr>
        <w:t xml:space="preserve">is determined </w:t>
      </w:r>
    </w:p>
    <w:p w:rsidR="003C7771" w:rsidRDefault="003C7771" w:rsidP="003C7771">
      <w:pPr>
        <w:pStyle w:val="a7"/>
        <w:numPr>
          <w:ilvl w:val="1"/>
          <w:numId w:val="32"/>
        </w:numPr>
        <w:overflowPunct w:val="0"/>
        <w:autoSpaceDE w:val="0"/>
        <w:autoSpaceDN w:val="0"/>
        <w:adjustRightInd w:val="0"/>
        <w:spacing w:after="180"/>
        <w:rPr>
          <w:rFonts w:eastAsia="Batang"/>
          <w:lang w:eastAsia="ko-KR"/>
        </w:rPr>
      </w:pPr>
      <w:r>
        <w:rPr>
          <w:lang w:eastAsia="ko-KR"/>
        </w:rPr>
        <w:t>In ascending order of DL slot per {SPS configuration index, serving cell index}, and then in ascending order of SPS configuration index per {serving cell index}, and then in ascending order of serving cell index</w:t>
      </w:r>
    </w:p>
    <w:p w:rsidR="003C7771" w:rsidRDefault="003C7771" w:rsidP="003C7771">
      <w:pPr>
        <w:rPr>
          <w:highlight w:val="green"/>
          <w:lang w:eastAsia="x-none"/>
        </w:rPr>
      </w:pPr>
      <w:r>
        <w:rPr>
          <w:highlight w:val="green"/>
          <w:lang w:eastAsia="x-none"/>
        </w:rPr>
        <w:t>Agreement</w:t>
      </w:r>
    </w:p>
    <w:p w:rsidR="003C7771" w:rsidRDefault="003C7771" w:rsidP="003C7771">
      <w:pPr>
        <w:spacing w:line="240" w:lineRule="atLeast"/>
        <w:rPr>
          <w:lang w:eastAsia="zh-CN"/>
        </w:rPr>
      </w:pPr>
      <w:r>
        <w:rPr>
          <w:lang w:eastAsia="zh-CN"/>
        </w:rPr>
        <w:t xml:space="preserve">If the UE is configured with more than one SPS PDSCH configurations, </w:t>
      </w:r>
      <w:r>
        <w:rPr>
          <w:rFonts w:cs="Gulim"/>
          <w:lang w:eastAsia="ko-KR"/>
        </w:rPr>
        <w:t xml:space="preserve">and for type-2 HARQ-ACK codebook construction, </w:t>
      </w:r>
    </w:p>
    <w:p w:rsidR="003C7771" w:rsidRDefault="003C7771" w:rsidP="003C7771">
      <w:pPr>
        <w:pStyle w:val="a7"/>
        <w:numPr>
          <w:ilvl w:val="0"/>
          <w:numId w:val="32"/>
        </w:numPr>
        <w:overflowPunct w:val="0"/>
        <w:autoSpaceDE w:val="0"/>
        <w:autoSpaceDN w:val="0"/>
        <w:adjustRightInd w:val="0"/>
        <w:spacing w:after="180"/>
        <w:rPr>
          <w:lang w:eastAsia="zh-CN"/>
        </w:rPr>
      </w:pPr>
      <w:r>
        <w:rPr>
          <w:lang w:eastAsia="zh-CN"/>
        </w:rPr>
        <w:t xml:space="preserve">HARQ-ACK bit order for SPS PDSCH release with a separate/joint release DCI is derived by reusing rel-15 mechanism (i.e., based on DAI and K1 indicated in the release DCI)  </w:t>
      </w:r>
    </w:p>
    <w:p w:rsidR="003C7771" w:rsidRDefault="003C7771" w:rsidP="003C7771">
      <w:pPr>
        <w:pStyle w:val="a7"/>
        <w:numPr>
          <w:ilvl w:val="0"/>
          <w:numId w:val="32"/>
        </w:numPr>
        <w:overflowPunct w:val="0"/>
        <w:autoSpaceDE w:val="0"/>
        <w:autoSpaceDN w:val="0"/>
        <w:adjustRightInd w:val="0"/>
        <w:spacing w:after="180"/>
        <w:rPr>
          <w:lang w:eastAsia="zh-CN"/>
        </w:rPr>
      </w:pPr>
      <w:r>
        <w:rPr>
          <w:lang w:eastAsia="zh-CN"/>
        </w:rPr>
        <w:t>HARQ-ACK bit order for SPS PDSCH with associated PDCCH is derived by reusing rel-15 mechanism (i.e., based on DAI and K1 indicated in the activation DCI)</w:t>
      </w:r>
    </w:p>
    <w:p w:rsidR="003C7771" w:rsidRDefault="003C7771" w:rsidP="003C7771">
      <w:pPr>
        <w:pStyle w:val="a7"/>
        <w:numPr>
          <w:ilvl w:val="0"/>
          <w:numId w:val="32"/>
        </w:numPr>
        <w:overflowPunct w:val="0"/>
        <w:autoSpaceDE w:val="0"/>
        <w:autoSpaceDN w:val="0"/>
        <w:adjustRightInd w:val="0"/>
        <w:spacing w:after="180"/>
        <w:rPr>
          <w:rFonts w:eastAsia="Batang"/>
        </w:rPr>
      </w:pPr>
      <w:r>
        <w:t xml:space="preserve">For cases where HARQ-ACK feedback for one or more SPS PDSCH receptions without a corresponding PDCCH is multiplexed with HARQ-ACK feedback for dynamic scheduled PDSCH and/or for SPS PDSCH release, </w:t>
      </w:r>
    </w:p>
    <w:p w:rsidR="003C7771" w:rsidRDefault="003C7771" w:rsidP="003C7771">
      <w:pPr>
        <w:pStyle w:val="a7"/>
        <w:numPr>
          <w:ilvl w:val="1"/>
          <w:numId w:val="32"/>
        </w:numPr>
        <w:overflowPunct w:val="0"/>
        <w:autoSpaceDE w:val="0"/>
        <w:autoSpaceDN w:val="0"/>
        <w:adjustRightInd w:val="0"/>
        <w:spacing w:after="180"/>
        <w:rPr>
          <w:szCs w:val="20"/>
        </w:rPr>
      </w:pPr>
      <w:r>
        <w:rPr>
          <w:lang w:eastAsia="zh-CN"/>
        </w:rPr>
        <w:t>HARQ-ACK for one or more SPS PDSCH receptions without a corresponding PDCCH is appended after HARQ-ACK bits for dynamic scheduled PDSCHs</w:t>
      </w:r>
      <w:r>
        <w:t xml:space="preserve"> </w:t>
      </w:r>
      <w:r>
        <w:rPr>
          <w:lang w:eastAsia="zh-CN"/>
        </w:rPr>
        <w:t xml:space="preserve">and/or for SPS PDSCH release </w:t>
      </w:r>
    </w:p>
    <w:p w:rsidR="003C7771" w:rsidRPr="003C7771" w:rsidRDefault="003C7771" w:rsidP="003C7771">
      <w:pPr>
        <w:pStyle w:val="a7"/>
        <w:numPr>
          <w:ilvl w:val="2"/>
          <w:numId w:val="32"/>
        </w:numPr>
        <w:overflowPunct w:val="0"/>
        <w:autoSpaceDE w:val="0"/>
        <w:autoSpaceDN w:val="0"/>
        <w:adjustRightInd w:val="0"/>
        <w:spacing w:after="180"/>
        <w:rPr>
          <w:rFonts w:hint="eastAsia"/>
          <w:lang w:eastAsia="ko-KR"/>
        </w:rPr>
      </w:pPr>
      <w:r>
        <w:rPr>
          <w:lang w:eastAsia="ko-KR"/>
        </w:rPr>
        <w:t>In ascending order of DL slot per {SPS configuration index, serving cell index}, and then in ascending order of SPS configuration index per {serving cell index}, and then in ascending order of serving cell index</w:t>
      </w:r>
    </w:p>
    <w:p w:rsidR="00D0151E" w:rsidRPr="003F6C87" w:rsidRDefault="00D0151E" w:rsidP="00D0151E">
      <w:pPr>
        <w:spacing w:line="240" w:lineRule="atLeast"/>
        <w:rPr>
          <w:rFonts w:eastAsia="Malgun Gothic"/>
          <w:szCs w:val="20"/>
          <w:lang w:eastAsia="ko-KR"/>
        </w:rPr>
      </w:pPr>
      <w:r w:rsidRPr="003F6C87">
        <w:rPr>
          <w:rFonts w:eastAsia="Malgun Gothic" w:hint="eastAsia"/>
          <w:szCs w:val="20"/>
          <w:lang w:eastAsia="ko-KR"/>
        </w:rPr>
        <w:t xml:space="preserve">Note: The above mechanism is </w:t>
      </w:r>
      <w:r w:rsidRPr="003F6C87">
        <w:rPr>
          <w:rFonts w:eastAsia="Malgun Gothic"/>
          <w:szCs w:val="20"/>
          <w:lang w:eastAsia="ko-KR"/>
        </w:rPr>
        <w:t>equivalent</w:t>
      </w:r>
      <w:r w:rsidRPr="003F6C87">
        <w:rPr>
          <w:rFonts w:eastAsia="Malgun Gothic" w:hint="eastAsia"/>
          <w:szCs w:val="20"/>
          <w:lang w:eastAsia="ko-KR"/>
        </w:rPr>
        <w:t xml:space="preserve"> </w:t>
      </w:r>
      <w:r w:rsidRPr="003F6C87">
        <w:rPr>
          <w:rFonts w:eastAsia="Malgun Gothic"/>
          <w:szCs w:val="20"/>
          <w:lang w:eastAsia="ko-KR"/>
        </w:rPr>
        <w:t>to rel-15 procedure when a single PUCCH resource is configured per PUCCH resource set.</w:t>
      </w:r>
    </w:p>
    <w:p w:rsidR="00236371" w:rsidRPr="00D0151E" w:rsidRDefault="00236371" w:rsidP="0076362D">
      <w:pPr>
        <w:pStyle w:val="a0"/>
        <w:rPr>
          <w:rFonts w:eastAsia="宋体" w:hint="eastAsia"/>
          <w:color w:val="000000"/>
          <w:lang w:eastAsia="zh-CN"/>
        </w:rPr>
      </w:pPr>
    </w:p>
    <w:p w:rsidR="0076362D" w:rsidRPr="0076362D" w:rsidRDefault="00A5487E" w:rsidP="0076362D">
      <w:pPr>
        <w:pStyle w:val="a0"/>
        <w:rPr>
          <w:rFonts w:eastAsia="宋体"/>
          <w:color w:val="000000"/>
          <w:lang w:eastAsia="zh-CN"/>
        </w:rPr>
      </w:pPr>
      <w:r>
        <w:rPr>
          <w:rFonts w:eastAsia="宋体"/>
          <w:color w:val="000000"/>
          <w:lang w:eastAsia="zh-CN"/>
        </w:rPr>
        <w:t xml:space="preserve">PUCCH resource and HARQ-ACK codebook for </w:t>
      </w:r>
      <w:r w:rsidR="009108B9">
        <w:rPr>
          <w:rFonts w:eastAsia="宋体" w:hint="eastAsia"/>
          <w:color w:val="000000"/>
          <w:lang w:eastAsia="zh-CN"/>
        </w:rPr>
        <w:t xml:space="preserve">DL SPS </w:t>
      </w:r>
      <w:r>
        <w:rPr>
          <w:rFonts w:eastAsia="宋体"/>
          <w:color w:val="000000"/>
          <w:lang w:eastAsia="zh-CN"/>
        </w:rPr>
        <w:t>were discussed, ho</w:t>
      </w:r>
      <w:r>
        <w:rPr>
          <w:rFonts w:eastAsia="宋体" w:hint="eastAsia"/>
          <w:color w:val="000000"/>
          <w:lang w:eastAsia="zh-CN"/>
        </w:rPr>
        <w:t>wever interaction with SFI is still open.</w:t>
      </w:r>
      <w:r>
        <w:rPr>
          <w:rFonts w:eastAsia="宋体"/>
          <w:color w:val="000000"/>
          <w:lang w:eastAsia="zh-CN"/>
        </w:rPr>
        <w:t xml:space="preserve"> This document discuss the remaining issue.</w:t>
      </w:r>
    </w:p>
    <w:p w:rsidR="00AB42D0" w:rsidRDefault="00D0151E" w:rsidP="00AB42D0">
      <w:pPr>
        <w:pStyle w:val="1"/>
        <w:rPr>
          <w:rFonts w:eastAsia="宋体" w:hint="eastAsia"/>
          <w:color w:val="000000"/>
          <w:lang w:eastAsia="zh-CN"/>
        </w:rPr>
      </w:pPr>
      <w:r>
        <w:rPr>
          <w:rFonts w:eastAsia="宋体"/>
          <w:color w:val="000000"/>
          <w:lang w:eastAsia="zh-CN"/>
        </w:rPr>
        <w:t xml:space="preserve">HARQ-ACK feedback for </w:t>
      </w:r>
      <w:r w:rsidR="00AB42D0">
        <w:rPr>
          <w:rFonts w:eastAsia="宋体" w:hint="eastAsia"/>
          <w:color w:val="000000"/>
          <w:lang w:eastAsia="zh-CN"/>
        </w:rPr>
        <w:t>DL SPS</w:t>
      </w:r>
    </w:p>
    <w:p w:rsidR="00C371FC" w:rsidRDefault="00C76C42" w:rsidP="00DB3876">
      <w:pPr>
        <w:pStyle w:val="a7"/>
        <w:spacing w:after="180"/>
        <w:ind w:left="0"/>
        <w:rPr>
          <w:rFonts w:eastAsia="宋体"/>
          <w:szCs w:val="20"/>
          <w:lang w:eastAsia="zh-CN"/>
        </w:rPr>
      </w:pPr>
      <w:r>
        <w:rPr>
          <w:rFonts w:eastAsia="宋体"/>
          <w:szCs w:val="20"/>
          <w:lang w:eastAsia="zh-CN"/>
        </w:rPr>
        <w:t>For</w:t>
      </w:r>
      <w:r w:rsidR="006D68DC" w:rsidRPr="008A6D4F">
        <w:rPr>
          <w:rFonts w:eastAsia="宋体" w:hint="eastAsia"/>
          <w:szCs w:val="20"/>
          <w:lang w:eastAsia="zh-CN"/>
        </w:rPr>
        <w:t xml:space="preserve"> shorter periodicity SPS, SPS </w:t>
      </w:r>
      <w:r w:rsidR="006D68DC" w:rsidRPr="008A6D4F">
        <w:rPr>
          <w:rFonts w:eastAsia="宋体"/>
          <w:szCs w:val="20"/>
          <w:lang w:eastAsia="zh-CN"/>
        </w:rPr>
        <w:t>resource</w:t>
      </w:r>
      <w:r w:rsidR="006D68DC" w:rsidRPr="008A6D4F">
        <w:rPr>
          <w:rFonts w:eastAsia="宋体" w:hint="eastAsia"/>
          <w:szCs w:val="20"/>
          <w:lang w:eastAsia="zh-CN"/>
        </w:rPr>
        <w:t xml:space="preserve"> and HARQ-ACK </w:t>
      </w:r>
      <w:r w:rsidR="006D68DC" w:rsidRPr="008A6D4F">
        <w:rPr>
          <w:rFonts w:eastAsia="宋体"/>
          <w:szCs w:val="20"/>
          <w:lang w:eastAsia="zh-CN"/>
        </w:rPr>
        <w:t>resource</w:t>
      </w:r>
      <w:r w:rsidR="006D68DC" w:rsidRPr="008A6D4F">
        <w:rPr>
          <w:rFonts w:eastAsia="宋体" w:hint="eastAsia"/>
          <w:szCs w:val="20"/>
          <w:lang w:eastAsia="zh-CN"/>
        </w:rPr>
        <w:t xml:space="preserve"> may be</w:t>
      </w:r>
      <w:r w:rsidR="003B43CB" w:rsidRPr="008A6D4F">
        <w:rPr>
          <w:rFonts w:eastAsia="宋体" w:hint="eastAsia"/>
          <w:szCs w:val="20"/>
          <w:lang w:eastAsia="zh-CN"/>
        </w:rPr>
        <w:t xml:space="preserve"> multiple-to-one mapping</w:t>
      </w:r>
      <w:r>
        <w:rPr>
          <w:rFonts w:eastAsia="宋体"/>
          <w:szCs w:val="20"/>
          <w:lang w:eastAsia="zh-CN"/>
        </w:rPr>
        <w:t xml:space="preserve">. To solve this issue, </w:t>
      </w:r>
      <w:r>
        <w:rPr>
          <w:rFonts w:eastAsia="宋体" w:hint="eastAsia"/>
          <w:szCs w:val="20"/>
          <w:lang w:eastAsia="zh-CN"/>
        </w:rPr>
        <w:t>m</w:t>
      </w:r>
      <w:r w:rsidRPr="0091267B">
        <w:rPr>
          <w:rFonts w:eastAsia="宋体" w:hint="eastAsia"/>
          <w:szCs w:val="20"/>
          <w:lang w:eastAsia="zh-CN"/>
        </w:rPr>
        <w:t xml:space="preserve">ultiple PUCCH resources are configured </w:t>
      </w:r>
      <w:r w:rsidRPr="0091267B">
        <w:rPr>
          <w:rFonts w:eastAsia="宋体"/>
          <w:szCs w:val="20"/>
          <w:lang w:eastAsia="zh-CN"/>
        </w:rPr>
        <w:t>common for all</w:t>
      </w:r>
      <w:r w:rsidRPr="0091267B">
        <w:rPr>
          <w:rFonts w:eastAsia="宋体" w:hint="eastAsia"/>
          <w:szCs w:val="20"/>
          <w:lang w:eastAsia="zh-CN"/>
        </w:rPr>
        <w:t xml:space="preserve"> SPS configuration</w:t>
      </w:r>
      <w:r w:rsidRPr="0091267B">
        <w:rPr>
          <w:rFonts w:eastAsia="宋体"/>
          <w:szCs w:val="20"/>
          <w:lang w:eastAsia="zh-CN"/>
        </w:rPr>
        <w:t>s</w:t>
      </w:r>
      <w:r w:rsidRPr="0091267B" w:rsidDel="00722E6D">
        <w:rPr>
          <w:rFonts w:eastAsia="宋体" w:hint="eastAsia"/>
          <w:szCs w:val="20"/>
          <w:lang w:eastAsia="zh-CN"/>
        </w:rPr>
        <w:t xml:space="preserve"> </w:t>
      </w:r>
      <w:r>
        <w:rPr>
          <w:rFonts w:eastAsia="宋体"/>
          <w:szCs w:val="20"/>
          <w:lang w:eastAsia="zh-CN"/>
        </w:rPr>
        <w:t xml:space="preserve">per HARQ-ACK codebook and </w:t>
      </w:r>
      <w:r w:rsidR="002C3DDC">
        <w:rPr>
          <w:rFonts w:eastAsia="宋体"/>
          <w:szCs w:val="20"/>
          <w:lang w:eastAsia="zh-CN"/>
        </w:rPr>
        <w:t xml:space="preserve">one of </w:t>
      </w:r>
      <w:r>
        <w:rPr>
          <w:rFonts w:eastAsia="宋体"/>
          <w:szCs w:val="20"/>
          <w:lang w:eastAsia="zh-CN"/>
        </w:rPr>
        <w:t>PUCCH resource</w:t>
      </w:r>
      <w:r w:rsidR="002C3DDC">
        <w:rPr>
          <w:rFonts w:eastAsia="宋体"/>
          <w:szCs w:val="20"/>
          <w:lang w:eastAsia="zh-CN"/>
        </w:rPr>
        <w:t>s</w:t>
      </w:r>
      <w:r>
        <w:rPr>
          <w:rFonts w:eastAsia="宋体"/>
          <w:szCs w:val="20"/>
          <w:lang w:eastAsia="zh-CN"/>
        </w:rPr>
        <w:t xml:space="preserve"> is </w:t>
      </w:r>
      <w:r w:rsidR="002C3DDC">
        <w:rPr>
          <w:rFonts w:eastAsia="宋体"/>
          <w:szCs w:val="20"/>
          <w:lang w:eastAsia="zh-CN"/>
        </w:rPr>
        <w:t>selected</w:t>
      </w:r>
      <w:r>
        <w:rPr>
          <w:rFonts w:eastAsia="宋体"/>
          <w:szCs w:val="20"/>
          <w:lang w:eastAsia="zh-CN"/>
        </w:rPr>
        <w:t xml:space="preserve"> by HARQ-</w:t>
      </w:r>
      <w:r w:rsidR="002C3DDC">
        <w:rPr>
          <w:rFonts w:eastAsia="宋体"/>
          <w:szCs w:val="20"/>
          <w:lang w:eastAsia="zh-CN"/>
        </w:rPr>
        <w:t>ACK payload. However, PDSCH-to-HARQ-ACK timing configuration is</w:t>
      </w:r>
      <w:r>
        <w:rPr>
          <w:rFonts w:eastAsia="宋体"/>
          <w:szCs w:val="20"/>
          <w:lang w:eastAsia="zh-CN"/>
        </w:rPr>
        <w:t xml:space="preserve"> an</w:t>
      </w:r>
      <w:r w:rsidR="003B43CB" w:rsidRPr="008A6D4F">
        <w:rPr>
          <w:rFonts w:eastAsia="宋体" w:hint="eastAsia"/>
          <w:szCs w:val="20"/>
          <w:lang w:eastAsia="zh-CN"/>
        </w:rPr>
        <w:t xml:space="preserve"> open issue</w:t>
      </w:r>
      <w:r w:rsidR="002C3DDC">
        <w:rPr>
          <w:rFonts w:eastAsia="宋体"/>
          <w:szCs w:val="20"/>
          <w:lang w:eastAsia="zh-CN"/>
        </w:rPr>
        <w:t>. There are several solutions to be discussed:</w:t>
      </w:r>
    </w:p>
    <w:p w:rsidR="00FE1354" w:rsidRPr="00FE1354" w:rsidRDefault="00FE1354" w:rsidP="002A4637">
      <w:pPr>
        <w:pStyle w:val="a7"/>
        <w:numPr>
          <w:ilvl w:val="0"/>
          <w:numId w:val="29"/>
        </w:numPr>
        <w:spacing w:after="180"/>
        <w:rPr>
          <w:rFonts w:eastAsia="宋体"/>
          <w:szCs w:val="20"/>
          <w:lang w:eastAsia="zh-CN"/>
        </w:rPr>
      </w:pPr>
      <w:r>
        <w:rPr>
          <w:rFonts w:eastAsia="宋体"/>
          <w:szCs w:val="20"/>
          <w:lang w:eastAsia="zh-CN"/>
        </w:rPr>
        <w:t>Option 1</w:t>
      </w:r>
      <w:r w:rsidRPr="00FE1354">
        <w:rPr>
          <w:rFonts w:eastAsia="宋体"/>
          <w:szCs w:val="20"/>
          <w:lang w:eastAsia="zh-CN"/>
        </w:rPr>
        <w:t>: Deferring HARQ-ACK until the first available valid UL slot</w:t>
      </w:r>
    </w:p>
    <w:p w:rsidR="00FE1354" w:rsidRPr="00FE1354" w:rsidRDefault="00FE1354" w:rsidP="002A4637">
      <w:pPr>
        <w:pStyle w:val="a7"/>
        <w:numPr>
          <w:ilvl w:val="0"/>
          <w:numId w:val="29"/>
        </w:numPr>
        <w:spacing w:after="180"/>
        <w:rPr>
          <w:rFonts w:eastAsia="宋体" w:hint="eastAsia"/>
          <w:szCs w:val="20"/>
          <w:lang w:eastAsia="zh-CN"/>
        </w:rPr>
      </w:pPr>
      <w:r>
        <w:rPr>
          <w:rFonts w:eastAsia="宋体"/>
          <w:szCs w:val="20"/>
          <w:lang w:eastAsia="zh-CN"/>
        </w:rPr>
        <w:t>Option 2</w:t>
      </w:r>
      <w:r w:rsidRPr="00FE1354">
        <w:rPr>
          <w:rFonts w:eastAsia="宋体"/>
          <w:szCs w:val="20"/>
          <w:lang w:eastAsia="zh-CN"/>
        </w:rPr>
        <w:t>: Deferring HARQ-ACK until the first available valid PUCCH resource</w:t>
      </w:r>
    </w:p>
    <w:p w:rsidR="00FE1354" w:rsidRPr="00FE1354" w:rsidRDefault="00FE1354" w:rsidP="002A4637">
      <w:pPr>
        <w:pStyle w:val="a7"/>
        <w:numPr>
          <w:ilvl w:val="0"/>
          <w:numId w:val="29"/>
        </w:numPr>
        <w:spacing w:after="180"/>
        <w:rPr>
          <w:rFonts w:eastAsia="宋体" w:hint="eastAsia"/>
          <w:szCs w:val="20"/>
          <w:lang w:eastAsia="zh-CN"/>
        </w:rPr>
      </w:pPr>
      <w:r>
        <w:rPr>
          <w:rFonts w:eastAsia="宋体"/>
          <w:szCs w:val="20"/>
          <w:lang w:eastAsia="zh-CN"/>
        </w:rPr>
        <w:t>Option 3</w:t>
      </w:r>
      <w:r w:rsidRPr="00FE1354">
        <w:rPr>
          <w:rFonts w:eastAsia="宋体"/>
          <w:szCs w:val="20"/>
          <w:lang w:eastAsia="zh-CN"/>
        </w:rPr>
        <w:t>: Indicating K1 value for each SPS transmission in a time window configured by RRC.</w:t>
      </w:r>
    </w:p>
    <w:p w:rsidR="002A4637" w:rsidRPr="00FE1354" w:rsidRDefault="00FE1354" w:rsidP="002A4637">
      <w:pPr>
        <w:pStyle w:val="a7"/>
        <w:numPr>
          <w:ilvl w:val="0"/>
          <w:numId w:val="29"/>
        </w:numPr>
        <w:spacing w:after="180"/>
        <w:rPr>
          <w:rFonts w:eastAsia="宋体" w:hint="eastAsia"/>
          <w:szCs w:val="20"/>
          <w:lang w:eastAsia="zh-CN"/>
        </w:rPr>
      </w:pPr>
      <w:r w:rsidRPr="00FE1354">
        <w:rPr>
          <w:rFonts w:eastAsia="宋体"/>
          <w:szCs w:val="20"/>
          <w:lang w:eastAsia="zh-CN"/>
        </w:rPr>
        <w:t xml:space="preserve">Option </w:t>
      </w:r>
      <w:r>
        <w:rPr>
          <w:rFonts w:eastAsia="宋体"/>
          <w:szCs w:val="20"/>
          <w:lang w:eastAsia="zh-CN"/>
        </w:rPr>
        <w:t>4</w:t>
      </w:r>
      <w:r w:rsidRPr="00FE1354">
        <w:rPr>
          <w:rFonts w:eastAsia="宋体"/>
          <w:szCs w:val="20"/>
          <w:lang w:eastAsia="zh-CN"/>
        </w:rPr>
        <w:t>: Reusing rel-15 rule (i.e., if the PUCCH resource determined by HARQ-ACK timing in the activation DCI collides with DL symbols given by semi-static TDD configuration, the PUCCH transmission is cancelled)</w:t>
      </w:r>
    </w:p>
    <w:p w:rsidR="00FE1354" w:rsidRDefault="002A4637" w:rsidP="00DB3876">
      <w:pPr>
        <w:pStyle w:val="a7"/>
        <w:spacing w:after="180"/>
        <w:ind w:left="0"/>
        <w:rPr>
          <w:rFonts w:eastAsia="宋体"/>
          <w:szCs w:val="20"/>
          <w:lang w:eastAsia="zh-CN"/>
        </w:rPr>
      </w:pPr>
      <w:r>
        <w:rPr>
          <w:rFonts w:eastAsia="宋体" w:hint="eastAsia"/>
          <w:szCs w:val="20"/>
          <w:lang w:eastAsia="zh-CN"/>
        </w:rPr>
        <w:t>F</w:t>
      </w:r>
      <w:r>
        <w:rPr>
          <w:rFonts w:eastAsia="宋体"/>
          <w:szCs w:val="20"/>
          <w:lang w:eastAsia="zh-CN"/>
        </w:rPr>
        <w:t>or option 4, HARQ-ACK dropping leads redundant SPS retransmission. In case of shorter periodicity SPS, the number of redundant SPS retransmission is significant. So, option 4 should not be supported.</w:t>
      </w:r>
    </w:p>
    <w:p w:rsidR="002A4637" w:rsidRDefault="00FC068D" w:rsidP="00DB3876">
      <w:pPr>
        <w:pStyle w:val="a7"/>
        <w:spacing w:after="180"/>
        <w:ind w:left="0"/>
        <w:rPr>
          <w:rFonts w:eastAsia="宋体"/>
          <w:szCs w:val="20"/>
          <w:lang w:eastAsia="zh-CN"/>
        </w:rPr>
      </w:pPr>
      <w:r>
        <w:rPr>
          <w:rFonts w:eastAsia="宋体"/>
          <w:szCs w:val="20"/>
          <w:lang w:eastAsia="zh-CN"/>
        </w:rPr>
        <w:t xml:space="preserve">For option 1-3, HARQ-ACK dropping can be avoided and it improves downlink system efficiency significantly, especially for </w:t>
      </w:r>
      <w:proofErr w:type="spellStart"/>
      <w:r>
        <w:rPr>
          <w:rFonts w:eastAsia="宋体"/>
          <w:szCs w:val="20"/>
          <w:lang w:eastAsia="zh-CN"/>
        </w:rPr>
        <w:t>IIoT</w:t>
      </w:r>
      <w:proofErr w:type="spellEnd"/>
      <w:r>
        <w:rPr>
          <w:rFonts w:eastAsia="宋体"/>
          <w:szCs w:val="20"/>
          <w:lang w:eastAsia="zh-CN"/>
        </w:rPr>
        <w:t xml:space="preserve"> scenario, in which SPS transmission is more applicable for periodical and short packet transmission. </w:t>
      </w:r>
    </w:p>
    <w:p w:rsidR="00FC068D" w:rsidRDefault="00FC068D" w:rsidP="00FC068D">
      <w:pPr>
        <w:pStyle w:val="a7"/>
        <w:numPr>
          <w:ilvl w:val="0"/>
          <w:numId w:val="29"/>
        </w:numPr>
        <w:spacing w:after="180"/>
        <w:rPr>
          <w:rFonts w:eastAsia="宋体"/>
          <w:szCs w:val="20"/>
          <w:lang w:eastAsia="zh-CN"/>
        </w:rPr>
      </w:pPr>
      <w:r>
        <w:rPr>
          <w:rFonts w:eastAsia="宋体"/>
          <w:szCs w:val="20"/>
          <w:lang w:eastAsia="zh-CN"/>
        </w:rPr>
        <w:t xml:space="preserve">For option1, the first available means that the gap between valid UL slot and SPS PDSCH is not smaller than T1. However, the </w:t>
      </w:r>
      <w:r w:rsidR="00154B17">
        <w:rPr>
          <w:rFonts w:eastAsia="宋体"/>
          <w:szCs w:val="20"/>
          <w:lang w:eastAsia="zh-CN"/>
        </w:rPr>
        <w:t>definition of valid UL slot is not clear. In term of SFI configuration, valid UL slot is semi-static UL slot only or both semi-static UL slot and UL slot indicated by dynamic SFI. Semi-</w:t>
      </w:r>
      <w:r w:rsidR="00154B17">
        <w:rPr>
          <w:rFonts w:eastAsia="宋体"/>
          <w:szCs w:val="20"/>
          <w:lang w:eastAsia="zh-CN"/>
        </w:rPr>
        <w:lastRenderedPageBreak/>
        <w:t>static UL slot is preferred due to it is reliable and simple. In term of resource configuration, valid UL slot is the slot in which all symbols are uplink or the slot in which uplink part is enough for PUCCH transmission. The slot in which uplink part is enough for PUCCH transmission is preferred due to more PUCCH transmission occasion is benefit for low latency.</w:t>
      </w:r>
    </w:p>
    <w:p w:rsidR="00154B17" w:rsidRDefault="00154B17" w:rsidP="00FC068D">
      <w:pPr>
        <w:pStyle w:val="a7"/>
        <w:numPr>
          <w:ilvl w:val="0"/>
          <w:numId w:val="29"/>
        </w:numPr>
        <w:spacing w:after="180"/>
        <w:rPr>
          <w:rFonts w:eastAsia="宋体"/>
          <w:szCs w:val="20"/>
          <w:lang w:eastAsia="zh-CN"/>
        </w:rPr>
      </w:pPr>
      <w:r>
        <w:rPr>
          <w:rFonts w:eastAsia="宋体"/>
          <w:szCs w:val="20"/>
          <w:lang w:eastAsia="zh-CN"/>
        </w:rPr>
        <w:t>For option 2, the first availabl</w:t>
      </w:r>
      <w:r w:rsidR="009E550A">
        <w:rPr>
          <w:rFonts w:eastAsia="宋体"/>
          <w:szCs w:val="20"/>
          <w:lang w:eastAsia="zh-CN"/>
        </w:rPr>
        <w:t>e is the same meaning as option1</w:t>
      </w:r>
      <w:r>
        <w:rPr>
          <w:rFonts w:eastAsia="宋体"/>
          <w:szCs w:val="20"/>
          <w:lang w:eastAsia="zh-CN"/>
        </w:rPr>
        <w:t>.</w:t>
      </w:r>
      <w:r w:rsidR="00A54CD2">
        <w:rPr>
          <w:rFonts w:eastAsia="宋体"/>
          <w:szCs w:val="20"/>
          <w:lang w:eastAsia="zh-CN"/>
        </w:rPr>
        <w:t xml:space="preserve"> PUCCH resource can be guaranteed to be valid by reasonable configuration. </w:t>
      </w:r>
      <w:r w:rsidR="009E550A">
        <w:rPr>
          <w:rFonts w:eastAsia="宋体"/>
          <w:szCs w:val="20"/>
          <w:lang w:eastAsia="zh-CN"/>
        </w:rPr>
        <w:t>For option 2, s</w:t>
      </w:r>
      <w:r w:rsidR="00A54CD2">
        <w:rPr>
          <w:rFonts w:eastAsia="宋体"/>
          <w:szCs w:val="20"/>
          <w:lang w:eastAsia="zh-CN"/>
        </w:rPr>
        <w:t>lot index for PUCCH resource is configured by high layer parameter and typically, semi-stat</w:t>
      </w:r>
      <w:r w:rsidR="00F108C1">
        <w:rPr>
          <w:rFonts w:eastAsia="宋体"/>
          <w:szCs w:val="20"/>
          <w:lang w:eastAsia="zh-CN"/>
        </w:rPr>
        <w:t xml:space="preserve">ic uplink slot or the slot with semi-static </w:t>
      </w:r>
      <w:r w:rsidR="00A54CD2">
        <w:rPr>
          <w:rFonts w:eastAsia="宋体"/>
          <w:szCs w:val="20"/>
          <w:lang w:eastAsia="zh-CN"/>
        </w:rPr>
        <w:t xml:space="preserve">uplink part </w:t>
      </w:r>
      <w:r w:rsidR="00F108C1">
        <w:rPr>
          <w:rFonts w:eastAsia="宋体"/>
          <w:szCs w:val="20"/>
          <w:lang w:eastAsia="zh-CN"/>
        </w:rPr>
        <w:t>can be</w:t>
      </w:r>
      <w:r w:rsidR="00A54CD2">
        <w:rPr>
          <w:rFonts w:eastAsia="宋体"/>
          <w:szCs w:val="20"/>
          <w:lang w:eastAsia="zh-CN"/>
        </w:rPr>
        <w:t xml:space="preserve"> </w:t>
      </w:r>
      <w:r w:rsidR="00F108C1">
        <w:rPr>
          <w:rFonts w:eastAsia="宋体"/>
          <w:szCs w:val="20"/>
          <w:lang w:eastAsia="zh-CN"/>
        </w:rPr>
        <w:t>used</w:t>
      </w:r>
      <w:r w:rsidR="00A54CD2">
        <w:rPr>
          <w:rFonts w:eastAsia="宋体"/>
          <w:szCs w:val="20"/>
          <w:lang w:eastAsia="zh-CN"/>
        </w:rPr>
        <w:t xml:space="preserve"> for PUCCH resource. For example, in TDD, slot 4 and slot 9 is semi-static UL slot and then slot index for PUCCH resource is configured as 4 and 9. </w:t>
      </w:r>
      <w:r w:rsidR="00F108C1">
        <w:rPr>
          <w:rFonts w:eastAsia="宋体"/>
          <w:szCs w:val="20"/>
          <w:lang w:eastAsia="zh-CN"/>
        </w:rPr>
        <w:t>Comparing with option 1, option 2 restricts PUCCH resource in limited uplink slots and improves uplink control transmission efficiency.</w:t>
      </w:r>
    </w:p>
    <w:p w:rsidR="009E550A" w:rsidRDefault="009E550A" w:rsidP="00FC068D">
      <w:pPr>
        <w:pStyle w:val="a7"/>
        <w:numPr>
          <w:ilvl w:val="0"/>
          <w:numId w:val="29"/>
        </w:numPr>
        <w:spacing w:after="180"/>
        <w:rPr>
          <w:rFonts w:eastAsia="宋体"/>
          <w:szCs w:val="20"/>
          <w:lang w:eastAsia="zh-CN"/>
        </w:rPr>
      </w:pPr>
      <w:r>
        <w:rPr>
          <w:rFonts w:eastAsia="宋体" w:hint="eastAsia"/>
          <w:szCs w:val="20"/>
          <w:lang w:eastAsia="zh-CN"/>
        </w:rPr>
        <w:t xml:space="preserve">For option 3, it is open issue to determine time window. </w:t>
      </w:r>
      <w:r>
        <w:rPr>
          <w:rFonts w:eastAsia="宋体"/>
          <w:szCs w:val="20"/>
          <w:lang w:eastAsia="zh-CN"/>
        </w:rPr>
        <w:t xml:space="preserve">One solution is that time window is determined by </w:t>
      </w:r>
      <w:hyperlink r:id="rId8" w:history="1">
        <w:r w:rsidRPr="009E550A">
          <w:rPr>
            <w:rFonts w:eastAsia="宋体"/>
            <w:lang w:eastAsia="zh-CN"/>
          </w:rPr>
          <w:t>lowest</w:t>
        </w:r>
      </w:hyperlink>
      <w:r w:rsidRPr="009E550A">
        <w:rPr>
          <w:rFonts w:eastAsia="宋体"/>
          <w:szCs w:val="20"/>
          <w:lang w:eastAsia="zh-CN"/>
        </w:rPr>
        <w:t xml:space="preserve"> </w:t>
      </w:r>
      <w:hyperlink r:id="rId9" w:history="1">
        <w:r w:rsidRPr="009E550A">
          <w:rPr>
            <w:rFonts w:eastAsia="宋体"/>
            <w:lang w:eastAsia="zh-CN"/>
          </w:rPr>
          <w:t>common</w:t>
        </w:r>
      </w:hyperlink>
      <w:r w:rsidRPr="009E550A">
        <w:rPr>
          <w:rFonts w:eastAsia="宋体"/>
          <w:szCs w:val="20"/>
          <w:lang w:eastAsia="zh-CN"/>
        </w:rPr>
        <w:t xml:space="preserve"> </w:t>
      </w:r>
      <w:hyperlink r:id="rId10" w:history="1">
        <w:r w:rsidRPr="009E550A">
          <w:rPr>
            <w:rFonts w:eastAsia="宋体"/>
            <w:lang w:eastAsia="zh-CN"/>
          </w:rPr>
          <w:t>multiple</w:t>
        </w:r>
      </w:hyperlink>
      <w:r>
        <w:rPr>
          <w:rFonts w:eastAsia="宋体"/>
          <w:szCs w:val="20"/>
          <w:lang w:eastAsia="zh-CN"/>
        </w:rPr>
        <w:t xml:space="preserve"> of SPS periodicity and SFI window range.</w:t>
      </w:r>
    </w:p>
    <w:p w:rsidR="002A4637" w:rsidRDefault="002A4637" w:rsidP="00DB3876">
      <w:pPr>
        <w:pStyle w:val="a7"/>
        <w:spacing w:after="180"/>
        <w:ind w:left="0"/>
        <w:rPr>
          <w:rFonts w:eastAsia="宋体"/>
          <w:szCs w:val="20"/>
          <w:lang w:eastAsia="zh-CN"/>
        </w:rPr>
      </w:pPr>
    </w:p>
    <w:p w:rsidR="009E550A" w:rsidRPr="009E550A" w:rsidRDefault="009E550A" w:rsidP="00DB3876">
      <w:pPr>
        <w:pStyle w:val="a7"/>
        <w:spacing w:after="180"/>
        <w:ind w:left="0"/>
        <w:rPr>
          <w:rFonts w:eastAsia="宋体"/>
          <w:szCs w:val="20"/>
          <w:lang w:eastAsia="zh-CN"/>
        </w:rPr>
      </w:pPr>
      <w:r>
        <w:rPr>
          <w:rFonts w:eastAsia="宋体"/>
          <w:szCs w:val="20"/>
          <w:lang w:eastAsia="zh-CN"/>
        </w:rPr>
        <w:t>Option 2 is</w:t>
      </w:r>
      <w:r w:rsidR="00F108C1">
        <w:rPr>
          <w:rFonts w:eastAsia="宋体"/>
          <w:szCs w:val="20"/>
          <w:lang w:eastAsia="zh-CN"/>
        </w:rPr>
        <w:t xml:space="preserve"> preferred due to it is simpler</w:t>
      </w:r>
      <w:r>
        <w:rPr>
          <w:rFonts w:eastAsia="宋体"/>
          <w:szCs w:val="20"/>
          <w:lang w:eastAsia="zh-CN"/>
        </w:rPr>
        <w:t xml:space="preserve"> </w:t>
      </w:r>
      <w:r w:rsidR="00F108C1">
        <w:rPr>
          <w:rFonts w:eastAsia="宋体"/>
          <w:szCs w:val="20"/>
          <w:lang w:eastAsia="zh-CN"/>
        </w:rPr>
        <w:t>and most efficient for uplink control transmission.</w:t>
      </w:r>
    </w:p>
    <w:p w:rsidR="002C3DDC" w:rsidRDefault="000563D3" w:rsidP="000563D3">
      <w:pPr>
        <w:spacing w:afterLines="50" w:after="120" w:line="259" w:lineRule="auto"/>
        <w:rPr>
          <w:rFonts w:eastAsia="宋体"/>
          <w:b/>
          <w:i/>
          <w:szCs w:val="20"/>
          <w:lang w:eastAsia="zh-CN"/>
        </w:rPr>
      </w:pPr>
      <w:r w:rsidRPr="000563D3">
        <w:rPr>
          <w:rFonts w:eastAsia="宋体"/>
          <w:b/>
          <w:i/>
          <w:szCs w:val="20"/>
          <w:lang w:eastAsia="zh-CN"/>
        </w:rPr>
        <w:t>P</w:t>
      </w:r>
      <w:r w:rsidR="009E550A">
        <w:rPr>
          <w:rFonts w:eastAsia="宋体" w:hint="eastAsia"/>
          <w:b/>
          <w:i/>
          <w:szCs w:val="20"/>
          <w:lang w:eastAsia="zh-CN"/>
        </w:rPr>
        <w:t>roposal 1</w:t>
      </w:r>
      <w:r w:rsidRPr="000563D3">
        <w:rPr>
          <w:rFonts w:eastAsia="宋体" w:hint="eastAsia"/>
          <w:b/>
          <w:i/>
          <w:szCs w:val="20"/>
          <w:lang w:eastAsia="zh-CN"/>
        </w:rPr>
        <w:t xml:space="preserve">: </w:t>
      </w:r>
      <w:r w:rsidR="009E550A">
        <w:rPr>
          <w:rFonts w:eastAsia="宋体"/>
          <w:b/>
          <w:i/>
          <w:szCs w:val="20"/>
          <w:lang w:eastAsia="zh-CN"/>
        </w:rPr>
        <w:t>Option 2 is good tradeoff between system efficiency and complexity.</w:t>
      </w:r>
    </w:p>
    <w:p w:rsidR="000F7450" w:rsidRPr="007B7303" w:rsidRDefault="000F7450" w:rsidP="007B7303">
      <w:pPr>
        <w:pStyle w:val="1"/>
        <w:rPr>
          <w:rFonts w:eastAsia="宋体"/>
          <w:color w:val="000000"/>
          <w:lang w:eastAsia="zh-CN"/>
        </w:rPr>
      </w:pPr>
      <w:r w:rsidRPr="007B7303">
        <w:rPr>
          <w:rFonts w:eastAsia="宋体"/>
          <w:color w:val="000000"/>
          <w:lang w:eastAsia="zh-CN"/>
        </w:rPr>
        <w:t>Conclusion</w:t>
      </w:r>
      <w:r w:rsidRPr="00C825AD">
        <w:rPr>
          <w:rFonts w:eastAsia="宋体" w:hint="eastAsia"/>
          <w:color w:val="000000"/>
          <w:lang w:eastAsia="zh-CN"/>
        </w:rPr>
        <w:t>s</w:t>
      </w:r>
    </w:p>
    <w:p w:rsidR="00DA19C6" w:rsidRDefault="002A7DDA" w:rsidP="006B115B">
      <w:pPr>
        <w:pStyle w:val="a0"/>
        <w:rPr>
          <w:rFonts w:eastAsia="宋体" w:hint="eastAsia"/>
          <w:lang w:eastAsia="zh-CN"/>
        </w:rPr>
      </w:pPr>
      <w:r>
        <w:rPr>
          <w:rFonts w:eastAsia="宋体" w:hint="eastAsia"/>
          <w:lang w:eastAsia="zh-CN"/>
        </w:rPr>
        <w:t>DL</w:t>
      </w:r>
      <w:r w:rsidR="0092245B">
        <w:rPr>
          <w:rFonts w:eastAsia="宋体" w:hint="eastAsia"/>
          <w:lang w:eastAsia="zh-CN"/>
        </w:rPr>
        <w:t xml:space="preserve"> SPS </w:t>
      </w:r>
      <w:r w:rsidR="007B7303">
        <w:rPr>
          <w:rFonts w:eastAsia="宋体" w:hint="eastAsia"/>
          <w:lang w:eastAsia="zh-CN"/>
        </w:rPr>
        <w:t xml:space="preserve">enhancement </w:t>
      </w:r>
      <w:r w:rsidR="006B115B" w:rsidRPr="006B115B">
        <w:rPr>
          <w:rFonts w:eastAsia="宋体" w:hint="eastAsia"/>
          <w:lang w:eastAsia="zh-CN"/>
        </w:rPr>
        <w:t xml:space="preserve">are </w:t>
      </w:r>
      <w:r w:rsidR="006B115B" w:rsidRPr="006B115B">
        <w:rPr>
          <w:rFonts w:eastAsia="宋体"/>
          <w:lang w:eastAsia="zh-CN"/>
        </w:rPr>
        <w:t>analyzed</w:t>
      </w:r>
      <w:r w:rsidR="006B115B" w:rsidRPr="006B115B">
        <w:rPr>
          <w:rFonts w:eastAsia="宋体" w:hint="eastAsia"/>
          <w:lang w:eastAsia="zh-CN"/>
        </w:rPr>
        <w:t xml:space="preserve"> and </w:t>
      </w:r>
      <w:r w:rsidR="00DA19C6" w:rsidRPr="006B115B">
        <w:rPr>
          <w:rFonts w:eastAsia="宋体" w:hint="eastAsia"/>
          <w:lang w:eastAsia="zh-CN"/>
        </w:rPr>
        <w:t>followings are proposed:</w:t>
      </w:r>
    </w:p>
    <w:p w:rsidR="007B7303" w:rsidRDefault="007B7303" w:rsidP="007B7303">
      <w:pPr>
        <w:spacing w:afterLines="50" w:after="120" w:line="259" w:lineRule="auto"/>
        <w:rPr>
          <w:rFonts w:eastAsia="宋体"/>
          <w:b/>
          <w:i/>
          <w:szCs w:val="20"/>
          <w:lang w:eastAsia="zh-CN"/>
        </w:rPr>
      </w:pPr>
      <w:r w:rsidRPr="000563D3">
        <w:rPr>
          <w:rFonts w:eastAsia="宋体"/>
          <w:b/>
          <w:i/>
          <w:szCs w:val="20"/>
          <w:lang w:eastAsia="zh-CN"/>
        </w:rPr>
        <w:t>P</w:t>
      </w:r>
      <w:r>
        <w:rPr>
          <w:rFonts w:eastAsia="宋体" w:hint="eastAsia"/>
          <w:b/>
          <w:i/>
          <w:szCs w:val="20"/>
          <w:lang w:eastAsia="zh-CN"/>
        </w:rPr>
        <w:t>roposal 1</w:t>
      </w:r>
      <w:r w:rsidRPr="000563D3">
        <w:rPr>
          <w:rFonts w:eastAsia="宋体" w:hint="eastAsia"/>
          <w:b/>
          <w:i/>
          <w:szCs w:val="20"/>
          <w:lang w:eastAsia="zh-CN"/>
        </w:rPr>
        <w:t xml:space="preserve">: </w:t>
      </w:r>
      <w:r>
        <w:rPr>
          <w:rFonts w:eastAsia="宋体"/>
          <w:b/>
          <w:i/>
          <w:szCs w:val="20"/>
          <w:lang w:eastAsia="zh-CN"/>
        </w:rPr>
        <w:t>Option 2 is good tradeoff between system efficiency and complexity.</w:t>
      </w:r>
    </w:p>
    <w:p w:rsidR="00FE5799" w:rsidRPr="00C825AD" w:rsidRDefault="00FE5799" w:rsidP="00FE5799">
      <w:pPr>
        <w:pStyle w:val="1"/>
        <w:rPr>
          <w:color w:val="000000"/>
        </w:rPr>
      </w:pPr>
      <w:r w:rsidRPr="00C825AD">
        <w:rPr>
          <w:color w:val="000000"/>
        </w:rPr>
        <w:t>References</w:t>
      </w:r>
    </w:p>
    <w:p w:rsidR="00654154" w:rsidRPr="0092245B" w:rsidRDefault="00EC2978" w:rsidP="00AF2F43">
      <w:pPr>
        <w:numPr>
          <w:ilvl w:val="0"/>
          <w:numId w:val="15"/>
        </w:numPr>
        <w:spacing w:after="120"/>
        <w:ind w:hangingChars="210"/>
        <w:rPr>
          <w:rFonts w:eastAsia="宋体"/>
          <w:color w:val="000000"/>
          <w:lang w:eastAsia="zh-CN"/>
        </w:rPr>
      </w:pPr>
      <w:r>
        <w:rPr>
          <w:rFonts w:eastAsia="宋体" w:hint="eastAsia"/>
          <w:color w:val="000000"/>
          <w:lang w:eastAsia="zh-CN"/>
        </w:rPr>
        <w:t>RAN1 9</w:t>
      </w:r>
      <w:r w:rsidR="00A5487E">
        <w:rPr>
          <w:rFonts w:eastAsia="宋体" w:hint="eastAsia"/>
          <w:color w:val="000000"/>
          <w:lang w:eastAsia="zh-CN"/>
        </w:rPr>
        <w:t>9</w:t>
      </w:r>
      <w:r>
        <w:rPr>
          <w:rFonts w:eastAsia="宋体" w:hint="eastAsia"/>
          <w:color w:val="000000"/>
          <w:lang w:eastAsia="zh-CN"/>
        </w:rPr>
        <w:t xml:space="preserve"> </w:t>
      </w:r>
      <w:r w:rsidR="00064E8A">
        <w:rPr>
          <w:rFonts w:eastAsia="宋体" w:hint="eastAsia"/>
          <w:color w:val="000000"/>
          <w:lang w:eastAsia="zh-CN"/>
        </w:rPr>
        <w:t xml:space="preserve">Chairman notes </w:t>
      </w:r>
    </w:p>
    <w:sectPr w:rsidR="00654154" w:rsidRPr="0092245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082" w:rsidRDefault="00497082" w:rsidP="001B3EB1">
      <w:r>
        <w:separator/>
      </w:r>
    </w:p>
  </w:endnote>
  <w:endnote w:type="continuationSeparator" w:id="0">
    <w:p w:rsidR="00497082" w:rsidRDefault="0049708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082" w:rsidRDefault="00497082" w:rsidP="001B3EB1">
      <w:r>
        <w:separator/>
      </w:r>
    </w:p>
  </w:footnote>
  <w:footnote w:type="continuationSeparator" w:id="0">
    <w:p w:rsidR="00497082" w:rsidRDefault="0049708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854" w:rsidRDefault="00BC3854"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021C6"/>
    <w:multiLevelType w:val="hybridMultilevel"/>
    <w:tmpl w:val="A394F4B2"/>
    <w:lvl w:ilvl="0" w:tplc="D6C856DA">
      <w:start w:val="2"/>
      <w:numFmt w:val="bullet"/>
      <w:lvlText w:val=""/>
      <w:lvlJc w:val="left"/>
      <w:pPr>
        <w:ind w:left="420" w:hanging="420"/>
      </w:pPr>
      <w:rPr>
        <w:rFonts w:ascii="Symbol" w:eastAsia="Times New Roman" w:hAnsi="Symbol" w:cs="Arial" w:hint="default"/>
        <w:b/>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52E8A"/>
    <w:multiLevelType w:val="hybridMultilevel"/>
    <w:tmpl w:val="1EF863E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324BE"/>
    <w:multiLevelType w:val="hybridMultilevel"/>
    <w:tmpl w:val="370671C4"/>
    <w:lvl w:ilvl="0" w:tplc="04090011">
      <w:start w:val="1"/>
      <w:numFmt w:val="decimal"/>
      <w:lvlText w:val="%1)"/>
      <w:lvlJc w:val="left"/>
      <w:pPr>
        <w:ind w:left="473" w:hanging="420"/>
      </w:pPr>
      <w:rPr>
        <w:rFont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A716E"/>
    <w:multiLevelType w:val="hybridMultilevel"/>
    <w:tmpl w:val="F5929E68"/>
    <w:lvl w:ilvl="0" w:tplc="AB5424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C3CA6"/>
    <w:multiLevelType w:val="hybridMultilevel"/>
    <w:tmpl w:val="A1ACDB7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F1B4AFF"/>
    <w:multiLevelType w:val="hybridMultilevel"/>
    <w:tmpl w:val="A0DED306"/>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FB2E8E"/>
    <w:multiLevelType w:val="hybridMultilevel"/>
    <w:tmpl w:val="7AE05F04"/>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B6786"/>
    <w:multiLevelType w:val="hybridMultilevel"/>
    <w:tmpl w:val="7834D376"/>
    <w:lvl w:ilvl="0" w:tplc="2A80CF1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2192D02"/>
    <w:multiLevelType w:val="hybridMultilevel"/>
    <w:tmpl w:val="D598B32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C535D9"/>
    <w:multiLevelType w:val="hybridMultilevel"/>
    <w:tmpl w:val="09BA8246"/>
    <w:lvl w:ilvl="0" w:tplc="2A80CF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709"/>
        </w:tabs>
        <w:ind w:left="70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30"/>
  </w:num>
  <w:num w:numId="4">
    <w:abstractNumId w:val="3"/>
  </w:num>
  <w:num w:numId="5">
    <w:abstractNumId w:val="5"/>
  </w:num>
  <w:num w:numId="6">
    <w:abstractNumId w:val="0"/>
  </w:num>
  <w:num w:numId="7">
    <w:abstractNumId w:val="25"/>
  </w:num>
  <w:num w:numId="8">
    <w:abstractNumId w:val="22"/>
  </w:num>
  <w:num w:numId="9">
    <w:abstractNumId w:val="7"/>
  </w:num>
  <w:num w:numId="10">
    <w:abstractNumId w:val="11"/>
  </w:num>
  <w:num w:numId="11">
    <w:abstractNumId w:val="4"/>
  </w:num>
  <w:num w:numId="12">
    <w:abstractNumId w:val="26"/>
  </w:num>
  <w:num w:numId="13">
    <w:abstractNumId w:val="10"/>
  </w:num>
  <w:num w:numId="14">
    <w:abstractNumId w:val="21"/>
  </w:num>
  <w:num w:numId="15">
    <w:abstractNumId w:val="20"/>
  </w:num>
  <w:num w:numId="16">
    <w:abstractNumId w:val="28"/>
  </w:num>
  <w:num w:numId="17">
    <w:abstractNumId w:val="29"/>
  </w:num>
  <w:num w:numId="18">
    <w:abstractNumId w:val="29"/>
  </w:num>
  <w:num w:numId="19">
    <w:abstractNumId w:val="27"/>
  </w:num>
  <w:num w:numId="20">
    <w:abstractNumId w:val="6"/>
  </w:num>
  <w:num w:numId="21">
    <w:abstractNumId w:val="16"/>
  </w:num>
  <w:num w:numId="22">
    <w:abstractNumId w:val="1"/>
  </w:num>
  <w:num w:numId="23">
    <w:abstractNumId w:val="15"/>
  </w:num>
  <w:num w:numId="24">
    <w:abstractNumId w:val="19"/>
  </w:num>
  <w:num w:numId="25">
    <w:abstractNumId w:val="17"/>
  </w:num>
  <w:num w:numId="26">
    <w:abstractNumId w:val="2"/>
  </w:num>
  <w:num w:numId="27">
    <w:abstractNumId w:val="18"/>
  </w:num>
  <w:num w:numId="28">
    <w:abstractNumId w:val="8"/>
  </w:num>
  <w:num w:numId="29">
    <w:abstractNumId w:val="24"/>
  </w:num>
  <w:num w:numId="30">
    <w:abstractNumId w:val="23"/>
  </w:num>
  <w:num w:numId="31">
    <w:abstractNumId w:val="29"/>
  </w:num>
  <w:num w:numId="32">
    <w:abstractNumId w:val="14"/>
  </w:num>
  <w:num w:numId="33">
    <w:abstractNumId w:val="13"/>
  </w:num>
  <w:num w:numId="3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321"/>
    <w:rsid w:val="000021F7"/>
    <w:rsid w:val="00002F49"/>
    <w:rsid w:val="00003CCB"/>
    <w:rsid w:val="00003F79"/>
    <w:rsid w:val="000060CB"/>
    <w:rsid w:val="00007DA3"/>
    <w:rsid w:val="00021CAF"/>
    <w:rsid w:val="00022F80"/>
    <w:rsid w:val="0003005B"/>
    <w:rsid w:val="000503DB"/>
    <w:rsid w:val="00052B52"/>
    <w:rsid w:val="000563D3"/>
    <w:rsid w:val="00060585"/>
    <w:rsid w:val="00061096"/>
    <w:rsid w:val="00064E8A"/>
    <w:rsid w:val="000679E8"/>
    <w:rsid w:val="00085512"/>
    <w:rsid w:val="00085EC6"/>
    <w:rsid w:val="00086163"/>
    <w:rsid w:val="0009350F"/>
    <w:rsid w:val="000950B0"/>
    <w:rsid w:val="000966BA"/>
    <w:rsid w:val="00096FF1"/>
    <w:rsid w:val="000A17C0"/>
    <w:rsid w:val="000B2826"/>
    <w:rsid w:val="000B4169"/>
    <w:rsid w:val="000B4745"/>
    <w:rsid w:val="000B51C1"/>
    <w:rsid w:val="000C4E9D"/>
    <w:rsid w:val="000C647B"/>
    <w:rsid w:val="000C711F"/>
    <w:rsid w:val="000D3E60"/>
    <w:rsid w:val="000D6647"/>
    <w:rsid w:val="000E0744"/>
    <w:rsid w:val="000E35EF"/>
    <w:rsid w:val="000E4DBB"/>
    <w:rsid w:val="000E6A06"/>
    <w:rsid w:val="000F0146"/>
    <w:rsid w:val="000F447B"/>
    <w:rsid w:val="000F6087"/>
    <w:rsid w:val="000F7450"/>
    <w:rsid w:val="00100FE1"/>
    <w:rsid w:val="00103049"/>
    <w:rsid w:val="00103203"/>
    <w:rsid w:val="00104515"/>
    <w:rsid w:val="00107F41"/>
    <w:rsid w:val="00113192"/>
    <w:rsid w:val="00113F78"/>
    <w:rsid w:val="0011626F"/>
    <w:rsid w:val="00124544"/>
    <w:rsid w:val="00131637"/>
    <w:rsid w:val="00133F11"/>
    <w:rsid w:val="001351A8"/>
    <w:rsid w:val="00140EAF"/>
    <w:rsid w:val="0014405F"/>
    <w:rsid w:val="001441FE"/>
    <w:rsid w:val="00154B17"/>
    <w:rsid w:val="001558E0"/>
    <w:rsid w:val="00160CEC"/>
    <w:rsid w:val="00161920"/>
    <w:rsid w:val="00165AD7"/>
    <w:rsid w:val="00171176"/>
    <w:rsid w:val="00182617"/>
    <w:rsid w:val="00192384"/>
    <w:rsid w:val="00193D1D"/>
    <w:rsid w:val="0019799F"/>
    <w:rsid w:val="001A1130"/>
    <w:rsid w:val="001A15D9"/>
    <w:rsid w:val="001A2DB9"/>
    <w:rsid w:val="001B040D"/>
    <w:rsid w:val="001B35DD"/>
    <w:rsid w:val="001B3EB1"/>
    <w:rsid w:val="001B4BFC"/>
    <w:rsid w:val="001B7713"/>
    <w:rsid w:val="001C19C2"/>
    <w:rsid w:val="001C1E34"/>
    <w:rsid w:val="001C661B"/>
    <w:rsid w:val="001C6AA0"/>
    <w:rsid w:val="001C6BA8"/>
    <w:rsid w:val="001D295E"/>
    <w:rsid w:val="001D2DAB"/>
    <w:rsid w:val="001D3D0F"/>
    <w:rsid w:val="001E3832"/>
    <w:rsid w:val="001E3892"/>
    <w:rsid w:val="001E52FF"/>
    <w:rsid w:val="001E5A32"/>
    <w:rsid w:val="001E70ED"/>
    <w:rsid w:val="001F17BB"/>
    <w:rsid w:val="001F2507"/>
    <w:rsid w:val="001F5516"/>
    <w:rsid w:val="001F5C4C"/>
    <w:rsid w:val="0020318E"/>
    <w:rsid w:val="0021547B"/>
    <w:rsid w:val="00220E6F"/>
    <w:rsid w:val="00223FEC"/>
    <w:rsid w:val="00224772"/>
    <w:rsid w:val="002270BA"/>
    <w:rsid w:val="00234C6D"/>
    <w:rsid w:val="00236371"/>
    <w:rsid w:val="00243740"/>
    <w:rsid w:val="0024509F"/>
    <w:rsid w:val="00245B3C"/>
    <w:rsid w:val="00247123"/>
    <w:rsid w:val="002505D4"/>
    <w:rsid w:val="0025388C"/>
    <w:rsid w:val="00257331"/>
    <w:rsid w:val="002605E3"/>
    <w:rsid w:val="00264706"/>
    <w:rsid w:val="0026753B"/>
    <w:rsid w:val="002713ED"/>
    <w:rsid w:val="00275F17"/>
    <w:rsid w:val="002774B3"/>
    <w:rsid w:val="00284589"/>
    <w:rsid w:val="00290249"/>
    <w:rsid w:val="002907CA"/>
    <w:rsid w:val="00290B68"/>
    <w:rsid w:val="002913C2"/>
    <w:rsid w:val="00291491"/>
    <w:rsid w:val="002932F1"/>
    <w:rsid w:val="002A0912"/>
    <w:rsid w:val="002A276B"/>
    <w:rsid w:val="002A4637"/>
    <w:rsid w:val="002A7DDA"/>
    <w:rsid w:val="002B007A"/>
    <w:rsid w:val="002B2582"/>
    <w:rsid w:val="002B2B25"/>
    <w:rsid w:val="002B4BE7"/>
    <w:rsid w:val="002B75B4"/>
    <w:rsid w:val="002C1072"/>
    <w:rsid w:val="002C3DDC"/>
    <w:rsid w:val="002C517B"/>
    <w:rsid w:val="002D2F5A"/>
    <w:rsid w:val="002D3578"/>
    <w:rsid w:val="002D4CB7"/>
    <w:rsid w:val="002E0168"/>
    <w:rsid w:val="002E10E1"/>
    <w:rsid w:val="002E1247"/>
    <w:rsid w:val="002E584F"/>
    <w:rsid w:val="002E7D51"/>
    <w:rsid w:val="002F09BF"/>
    <w:rsid w:val="002F2A1E"/>
    <w:rsid w:val="0030012C"/>
    <w:rsid w:val="00301308"/>
    <w:rsid w:val="00302229"/>
    <w:rsid w:val="00305CE9"/>
    <w:rsid w:val="0031148A"/>
    <w:rsid w:val="00311B78"/>
    <w:rsid w:val="00312DA6"/>
    <w:rsid w:val="003150CD"/>
    <w:rsid w:val="00322831"/>
    <w:rsid w:val="00324D18"/>
    <w:rsid w:val="0032550D"/>
    <w:rsid w:val="00325CD9"/>
    <w:rsid w:val="00326FF0"/>
    <w:rsid w:val="00334282"/>
    <w:rsid w:val="0033688C"/>
    <w:rsid w:val="0034135F"/>
    <w:rsid w:val="00351B9B"/>
    <w:rsid w:val="0035327E"/>
    <w:rsid w:val="003701FA"/>
    <w:rsid w:val="003729C0"/>
    <w:rsid w:val="00373832"/>
    <w:rsid w:val="00375494"/>
    <w:rsid w:val="00375CC0"/>
    <w:rsid w:val="003776DB"/>
    <w:rsid w:val="003800CD"/>
    <w:rsid w:val="00380A1C"/>
    <w:rsid w:val="003850FE"/>
    <w:rsid w:val="00385A54"/>
    <w:rsid w:val="00387C50"/>
    <w:rsid w:val="003902AB"/>
    <w:rsid w:val="00392880"/>
    <w:rsid w:val="00396942"/>
    <w:rsid w:val="003A5650"/>
    <w:rsid w:val="003B3E3E"/>
    <w:rsid w:val="003B43CB"/>
    <w:rsid w:val="003B4A98"/>
    <w:rsid w:val="003B7470"/>
    <w:rsid w:val="003C0772"/>
    <w:rsid w:val="003C65E8"/>
    <w:rsid w:val="003C7771"/>
    <w:rsid w:val="003D1F27"/>
    <w:rsid w:val="003D34F5"/>
    <w:rsid w:val="003F3CA1"/>
    <w:rsid w:val="003F41F6"/>
    <w:rsid w:val="003F794B"/>
    <w:rsid w:val="004061E0"/>
    <w:rsid w:val="004200D8"/>
    <w:rsid w:val="004320CD"/>
    <w:rsid w:val="00433743"/>
    <w:rsid w:val="00434FE2"/>
    <w:rsid w:val="00446BD2"/>
    <w:rsid w:val="00450575"/>
    <w:rsid w:val="00451625"/>
    <w:rsid w:val="0046097F"/>
    <w:rsid w:val="00462F06"/>
    <w:rsid w:val="00470B06"/>
    <w:rsid w:val="00472134"/>
    <w:rsid w:val="004726E8"/>
    <w:rsid w:val="00473B1A"/>
    <w:rsid w:val="004759EB"/>
    <w:rsid w:val="00483A9A"/>
    <w:rsid w:val="00485C15"/>
    <w:rsid w:val="00486EA7"/>
    <w:rsid w:val="00496F01"/>
    <w:rsid w:val="00497082"/>
    <w:rsid w:val="004A3649"/>
    <w:rsid w:val="004A4386"/>
    <w:rsid w:val="004A4A9E"/>
    <w:rsid w:val="004A7141"/>
    <w:rsid w:val="004A799E"/>
    <w:rsid w:val="004B096D"/>
    <w:rsid w:val="004B0BF5"/>
    <w:rsid w:val="004B35A0"/>
    <w:rsid w:val="004C21AC"/>
    <w:rsid w:val="004D04F5"/>
    <w:rsid w:val="004D19B5"/>
    <w:rsid w:val="004D232B"/>
    <w:rsid w:val="004D7BA9"/>
    <w:rsid w:val="004E15C4"/>
    <w:rsid w:val="004E32C4"/>
    <w:rsid w:val="004E46BA"/>
    <w:rsid w:val="004E6152"/>
    <w:rsid w:val="004E721C"/>
    <w:rsid w:val="004E75CC"/>
    <w:rsid w:val="004F78B2"/>
    <w:rsid w:val="0050079E"/>
    <w:rsid w:val="005020A1"/>
    <w:rsid w:val="005021BD"/>
    <w:rsid w:val="00502488"/>
    <w:rsid w:val="005049A1"/>
    <w:rsid w:val="0050628D"/>
    <w:rsid w:val="005119BE"/>
    <w:rsid w:val="005134CE"/>
    <w:rsid w:val="00516578"/>
    <w:rsid w:val="0052105F"/>
    <w:rsid w:val="005270C5"/>
    <w:rsid w:val="00532B25"/>
    <w:rsid w:val="005404D4"/>
    <w:rsid w:val="005417FF"/>
    <w:rsid w:val="005444BB"/>
    <w:rsid w:val="00544ADF"/>
    <w:rsid w:val="00547AF3"/>
    <w:rsid w:val="00547E29"/>
    <w:rsid w:val="00562481"/>
    <w:rsid w:val="0056650D"/>
    <w:rsid w:val="00570C5A"/>
    <w:rsid w:val="0057295A"/>
    <w:rsid w:val="00572C6A"/>
    <w:rsid w:val="00577469"/>
    <w:rsid w:val="00577474"/>
    <w:rsid w:val="00577C97"/>
    <w:rsid w:val="00586093"/>
    <w:rsid w:val="005970FB"/>
    <w:rsid w:val="005A55E0"/>
    <w:rsid w:val="005B00D4"/>
    <w:rsid w:val="005B109E"/>
    <w:rsid w:val="005B70BB"/>
    <w:rsid w:val="005C0686"/>
    <w:rsid w:val="005C2CCB"/>
    <w:rsid w:val="005C3F1F"/>
    <w:rsid w:val="005D1A2D"/>
    <w:rsid w:val="005D6BDB"/>
    <w:rsid w:val="005D75B6"/>
    <w:rsid w:val="005E2253"/>
    <w:rsid w:val="005E686A"/>
    <w:rsid w:val="005E7E69"/>
    <w:rsid w:val="005F18E4"/>
    <w:rsid w:val="005F22DD"/>
    <w:rsid w:val="005F43CE"/>
    <w:rsid w:val="006009BC"/>
    <w:rsid w:val="00600E1F"/>
    <w:rsid w:val="00601344"/>
    <w:rsid w:val="00603EE5"/>
    <w:rsid w:val="0060746A"/>
    <w:rsid w:val="006154AE"/>
    <w:rsid w:val="006248C8"/>
    <w:rsid w:val="00631051"/>
    <w:rsid w:val="006310F8"/>
    <w:rsid w:val="00631C13"/>
    <w:rsid w:val="006337DA"/>
    <w:rsid w:val="006360B1"/>
    <w:rsid w:val="00654154"/>
    <w:rsid w:val="00655A75"/>
    <w:rsid w:val="00663A49"/>
    <w:rsid w:val="00672942"/>
    <w:rsid w:val="0067723A"/>
    <w:rsid w:val="006773AD"/>
    <w:rsid w:val="00680E67"/>
    <w:rsid w:val="00683C03"/>
    <w:rsid w:val="00686EBF"/>
    <w:rsid w:val="00687C4D"/>
    <w:rsid w:val="00693BAE"/>
    <w:rsid w:val="006952A0"/>
    <w:rsid w:val="006A140A"/>
    <w:rsid w:val="006A2512"/>
    <w:rsid w:val="006A286A"/>
    <w:rsid w:val="006A6FB4"/>
    <w:rsid w:val="006A7F93"/>
    <w:rsid w:val="006B115B"/>
    <w:rsid w:val="006B2062"/>
    <w:rsid w:val="006B3844"/>
    <w:rsid w:val="006B6320"/>
    <w:rsid w:val="006C065A"/>
    <w:rsid w:val="006C26F1"/>
    <w:rsid w:val="006C49D9"/>
    <w:rsid w:val="006C6E4F"/>
    <w:rsid w:val="006D189A"/>
    <w:rsid w:val="006D18AC"/>
    <w:rsid w:val="006D2225"/>
    <w:rsid w:val="006D3A0B"/>
    <w:rsid w:val="006D68DC"/>
    <w:rsid w:val="006D69FE"/>
    <w:rsid w:val="006D6C2F"/>
    <w:rsid w:val="006D76D6"/>
    <w:rsid w:val="006E0134"/>
    <w:rsid w:val="006E0C5E"/>
    <w:rsid w:val="006E11FF"/>
    <w:rsid w:val="006E2A83"/>
    <w:rsid w:val="006E3DED"/>
    <w:rsid w:val="006E7A9E"/>
    <w:rsid w:val="006F31BD"/>
    <w:rsid w:val="006F6401"/>
    <w:rsid w:val="00700880"/>
    <w:rsid w:val="0071049F"/>
    <w:rsid w:val="0071446C"/>
    <w:rsid w:val="0071525E"/>
    <w:rsid w:val="00722408"/>
    <w:rsid w:val="007252D4"/>
    <w:rsid w:val="00727E49"/>
    <w:rsid w:val="00735AE9"/>
    <w:rsid w:val="00737AD1"/>
    <w:rsid w:val="007404FD"/>
    <w:rsid w:val="00740835"/>
    <w:rsid w:val="007411E7"/>
    <w:rsid w:val="007539EF"/>
    <w:rsid w:val="00753F72"/>
    <w:rsid w:val="00753FD4"/>
    <w:rsid w:val="00755BDC"/>
    <w:rsid w:val="007602E6"/>
    <w:rsid w:val="00760921"/>
    <w:rsid w:val="0076317A"/>
    <w:rsid w:val="0076362D"/>
    <w:rsid w:val="0078128F"/>
    <w:rsid w:val="00783573"/>
    <w:rsid w:val="00784A79"/>
    <w:rsid w:val="00790A50"/>
    <w:rsid w:val="00790BDA"/>
    <w:rsid w:val="00792283"/>
    <w:rsid w:val="0079270A"/>
    <w:rsid w:val="007957A1"/>
    <w:rsid w:val="00797653"/>
    <w:rsid w:val="007A0DD9"/>
    <w:rsid w:val="007A2407"/>
    <w:rsid w:val="007A3F59"/>
    <w:rsid w:val="007A56B6"/>
    <w:rsid w:val="007A5E27"/>
    <w:rsid w:val="007A6539"/>
    <w:rsid w:val="007A65F6"/>
    <w:rsid w:val="007A7A91"/>
    <w:rsid w:val="007B092B"/>
    <w:rsid w:val="007B2566"/>
    <w:rsid w:val="007B6F5D"/>
    <w:rsid w:val="007B7303"/>
    <w:rsid w:val="007C240E"/>
    <w:rsid w:val="007D3584"/>
    <w:rsid w:val="007D3919"/>
    <w:rsid w:val="007D5112"/>
    <w:rsid w:val="007E24C7"/>
    <w:rsid w:val="007E75F8"/>
    <w:rsid w:val="007E7E83"/>
    <w:rsid w:val="007F0671"/>
    <w:rsid w:val="007F748B"/>
    <w:rsid w:val="008010AD"/>
    <w:rsid w:val="00802110"/>
    <w:rsid w:val="00803D35"/>
    <w:rsid w:val="008047EE"/>
    <w:rsid w:val="008126EE"/>
    <w:rsid w:val="00812A2D"/>
    <w:rsid w:val="008258C9"/>
    <w:rsid w:val="00826338"/>
    <w:rsid w:val="00845611"/>
    <w:rsid w:val="0085432E"/>
    <w:rsid w:val="00861A9C"/>
    <w:rsid w:val="00862264"/>
    <w:rsid w:val="00864F4F"/>
    <w:rsid w:val="008778F1"/>
    <w:rsid w:val="00896CFA"/>
    <w:rsid w:val="008A19CE"/>
    <w:rsid w:val="008A2B7F"/>
    <w:rsid w:val="008A6D4F"/>
    <w:rsid w:val="008B34D9"/>
    <w:rsid w:val="008B41A2"/>
    <w:rsid w:val="008B43F1"/>
    <w:rsid w:val="008D17AB"/>
    <w:rsid w:val="008D7063"/>
    <w:rsid w:val="008E508C"/>
    <w:rsid w:val="008F25FE"/>
    <w:rsid w:val="008F33D2"/>
    <w:rsid w:val="00901AED"/>
    <w:rsid w:val="009021F7"/>
    <w:rsid w:val="00902EF3"/>
    <w:rsid w:val="009108B9"/>
    <w:rsid w:val="00910E36"/>
    <w:rsid w:val="009132BA"/>
    <w:rsid w:val="00916662"/>
    <w:rsid w:val="00921A83"/>
    <w:rsid w:val="0092245B"/>
    <w:rsid w:val="0092274C"/>
    <w:rsid w:val="009352F3"/>
    <w:rsid w:val="00936B5C"/>
    <w:rsid w:val="0093791E"/>
    <w:rsid w:val="009437CC"/>
    <w:rsid w:val="00943B1C"/>
    <w:rsid w:val="0095244A"/>
    <w:rsid w:val="0095304C"/>
    <w:rsid w:val="0095713B"/>
    <w:rsid w:val="00957904"/>
    <w:rsid w:val="00957F74"/>
    <w:rsid w:val="00961196"/>
    <w:rsid w:val="00964FF7"/>
    <w:rsid w:val="0096755A"/>
    <w:rsid w:val="00971D9A"/>
    <w:rsid w:val="0098530E"/>
    <w:rsid w:val="00992F40"/>
    <w:rsid w:val="009952B4"/>
    <w:rsid w:val="00996C0B"/>
    <w:rsid w:val="00997B91"/>
    <w:rsid w:val="009A250B"/>
    <w:rsid w:val="009A3C98"/>
    <w:rsid w:val="009A43C7"/>
    <w:rsid w:val="009B0D51"/>
    <w:rsid w:val="009B2E48"/>
    <w:rsid w:val="009B52BC"/>
    <w:rsid w:val="009B65E1"/>
    <w:rsid w:val="009C0494"/>
    <w:rsid w:val="009C4F2B"/>
    <w:rsid w:val="009C5022"/>
    <w:rsid w:val="009D098A"/>
    <w:rsid w:val="009D0A6E"/>
    <w:rsid w:val="009D4714"/>
    <w:rsid w:val="009E419D"/>
    <w:rsid w:val="009E550A"/>
    <w:rsid w:val="009E577E"/>
    <w:rsid w:val="009E7BFA"/>
    <w:rsid w:val="009F4608"/>
    <w:rsid w:val="009F520D"/>
    <w:rsid w:val="00A066E1"/>
    <w:rsid w:val="00A15840"/>
    <w:rsid w:val="00A16993"/>
    <w:rsid w:val="00A20855"/>
    <w:rsid w:val="00A215D9"/>
    <w:rsid w:val="00A25EAF"/>
    <w:rsid w:val="00A31454"/>
    <w:rsid w:val="00A44624"/>
    <w:rsid w:val="00A463CF"/>
    <w:rsid w:val="00A53462"/>
    <w:rsid w:val="00A5487E"/>
    <w:rsid w:val="00A54CD2"/>
    <w:rsid w:val="00A603B2"/>
    <w:rsid w:val="00A610F1"/>
    <w:rsid w:val="00A62EF8"/>
    <w:rsid w:val="00A71327"/>
    <w:rsid w:val="00A728EC"/>
    <w:rsid w:val="00A74DEB"/>
    <w:rsid w:val="00A76A07"/>
    <w:rsid w:val="00A77782"/>
    <w:rsid w:val="00A854BE"/>
    <w:rsid w:val="00A85DAB"/>
    <w:rsid w:val="00A909F7"/>
    <w:rsid w:val="00A958BD"/>
    <w:rsid w:val="00A960A2"/>
    <w:rsid w:val="00AA02A4"/>
    <w:rsid w:val="00AB42D0"/>
    <w:rsid w:val="00AC01FC"/>
    <w:rsid w:val="00AC54A9"/>
    <w:rsid w:val="00AD3634"/>
    <w:rsid w:val="00AD535E"/>
    <w:rsid w:val="00AE50A6"/>
    <w:rsid w:val="00AE5E87"/>
    <w:rsid w:val="00AE6732"/>
    <w:rsid w:val="00AF093B"/>
    <w:rsid w:val="00AF2F43"/>
    <w:rsid w:val="00B10A90"/>
    <w:rsid w:val="00B17431"/>
    <w:rsid w:val="00B22AA2"/>
    <w:rsid w:val="00B2603F"/>
    <w:rsid w:val="00B30492"/>
    <w:rsid w:val="00B30E43"/>
    <w:rsid w:val="00B368D9"/>
    <w:rsid w:val="00B548A8"/>
    <w:rsid w:val="00B56F62"/>
    <w:rsid w:val="00B56F77"/>
    <w:rsid w:val="00B61D2D"/>
    <w:rsid w:val="00B625A8"/>
    <w:rsid w:val="00B628AE"/>
    <w:rsid w:val="00B66E8A"/>
    <w:rsid w:val="00B70CC4"/>
    <w:rsid w:val="00B72311"/>
    <w:rsid w:val="00B761D3"/>
    <w:rsid w:val="00B8283C"/>
    <w:rsid w:val="00B8457D"/>
    <w:rsid w:val="00B85AF7"/>
    <w:rsid w:val="00B87702"/>
    <w:rsid w:val="00B8786A"/>
    <w:rsid w:val="00B90FDA"/>
    <w:rsid w:val="00B91ED5"/>
    <w:rsid w:val="00B950C3"/>
    <w:rsid w:val="00B9732B"/>
    <w:rsid w:val="00BA4154"/>
    <w:rsid w:val="00BA603A"/>
    <w:rsid w:val="00BB499E"/>
    <w:rsid w:val="00BB6422"/>
    <w:rsid w:val="00BB6CDE"/>
    <w:rsid w:val="00BC1420"/>
    <w:rsid w:val="00BC3854"/>
    <w:rsid w:val="00BC406C"/>
    <w:rsid w:val="00BC6A2E"/>
    <w:rsid w:val="00BE1343"/>
    <w:rsid w:val="00BE29AA"/>
    <w:rsid w:val="00BE680F"/>
    <w:rsid w:val="00BE6EFA"/>
    <w:rsid w:val="00BF2091"/>
    <w:rsid w:val="00BF323D"/>
    <w:rsid w:val="00BF4C53"/>
    <w:rsid w:val="00BF5DE0"/>
    <w:rsid w:val="00C004E6"/>
    <w:rsid w:val="00C01809"/>
    <w:rsid w:val="00C02ED2"/>
    <w:rsid w:val="00C073ED"/>
    <w:rsid w:val="00C126FB"/>
    <w:rsid w:val="00C1560A"/>
    <w:rsid w:val="00C20B18"/>
    <w:rsid w:val="00C21494"/>
    <w:rsid w:val="00C22B5F"/>
    <w:rsid w:val="00C32B8D"/>
    <w:rsid w:val="00C34254"/>
    <w:rsid w:val="00C371FC"/>
    <w:rsid w:val="00C41DE0"/>
    <w:rsid w:val="00C42969"/>
    <w:rsid w:val="00C457B2"/>
    <w:rsid w:val="00C47C70"/>
    <w:rsid w:val="00C515FD"/>
    <w:rsid w:val="00C5167E"/>
    <w:rsid w:val="00C51784"/>
    <w:rsid w:val="00C54D2A"/>
    <w:rsid w:val="00C55F60"/>
    <w:rsid w:val="00C61C1E"/>
    <w:rsid w:val="00C634AE"/>
    <w:rsid w:val="00C67A49"/>
    <w:rsid w:val="00C737C5"/>
    <w:rsid w:val="00C76C42"/>
    <w:rsid w:val="00C81315"/>
    <w:rsid w:val="00C81A10"/>
    <w:rsid w:val="00C825AD"/>
    <w:rsid w:val="00C84168"/>
    <w:rsid w:val="00C842CB"/>
    <w:rsid w:val="00C843F0"/>
    <w:rsid w:val="00C85E69"/>
    <w:rsid w:val="00C9610A"/>
    <w:rsid w:val="00CA201C"/>
    <w:rsid w:val="00CA5B3D"/>
    <w:rsid w:val="00CA796A"/>
    <w:rsid w:val="00CA7B14"/>
    <w:rsid w:val="00CB12DD"/>
    <w:rsid w:val="00CC1459"/>
    <w:rsid w:val="00CC450C"/>
    <w:rsid w:val="00CC50BE"/>
    <w:rsid w:val="00CD25F1"/>
    <w:rsid w:val="00CD2868"/>
    <w:rsid w:val="00CD3C7F"/>
    <w:rsid w:val="00CD44C7"/>
    <w:rsid w:val="00CD6FAC"/>
    <w:rsid w:val="00CD7D3C"/>
    <w:rsid w:val="00CE28A8"/>
    <w:rsid w:val="00CE6E61"/>
    <w:rsid w:val="00CF03C6"/>
    <w:rsid w:val="00CF52A4"/>
    <w:rsid w:val="00CF67BE"/>
    <w:rsid w:val="00CF7BB6"/>
    <w:rsid w:val="00D00419"/>
    <w:rsid w:val="00D0151E"/>
    <w:rsid w:val="00D02A20"/>
    <w:rsid w:val="00D03119"/>
    <w:rsid w:val="00D13B30"/>
    <w:rsid w:val="00D1544D"/>
    <w:rsid w:val="00D1750C"/>
    <w:rsid w:val="00D303BC"/>
    <w:rsid w:val="00D336B5"/>
    <w:rsid w:val="00D35FBB"/>
    <w:rsid w:val="00D40467"/>
    <w:rsid w:val="00D413BA"/>
    <w:rsid w:val="00D43934"/>
    <w:rsid w:val="00D51321"/>
    <w:rsid w:val="00D51CF1"/>
    <w:rsid w:val="00D53B00"/>
    <w:rsid w:val="00D62A2E"/>
    <w:rsid w:val="00D63967"/>
    <w:rsid w:val="00D63EB5"/>
    <w:rsid w:val="00D6433B"/>
    <w:rsid w:val="00D65253"/>
    <w:rsid w:val="00D7524D"/>
    <w:rsid w:val="00D756F2"/>
    <w:rsid w:val="00D82C5A"/>
    <w:rsid w:val="00D844E2"/>
    <w:rsid w:val="00D960A8"/>
    <w:rsid w:val="00D962A0"/>
    <w:rsid w:val="00D96425"/>
    <w:rsid w:val="00DA19C6"/>
    <w:rsid w:val="00DA2737"/>
    <w:rsid w:val="00DA3DC6"/>
    <w:rsid w:val="00DB248D"/>
    <w:rsid w:val="00DB3876"/>
    <w:rsid w:val="00DB470B"/>
    <w:rsid w:val="00DB4B58"/>
    <w:rsid w:val="00DB5311"/>
    <w:rsid w:val="00DB53B5"/>
    <w:rsid w:val="00DB5B02"/>
    <w:rsid w:val="00DC13A3"/>
    <w:rsid w:val="00DC185F"/>
    <w:rsid w:val="00DC3798"/>
    <w:rsid w:val="00DC480C"/>
    <w:rsid w:val="00DC5FE5"/>
    <w:rsid w:val="00DC7BC7"/>
    <w:rsid w:val="00DD1210"/>
    <w:rsid w:val="00DD36E3"/>
    <w:rsid w:val="00DD5CFB"/>
    <w:rsid w:val="00DE1199"/>
    <w:rsid w:val="00DF0A6A"/>
    <w:rsid w:val="00DF1B1B"/>
    <w:rsid w:val="00DF5686"/>
    <w:rsid w:val="00E01FE8"/>
    <w:rsid w:val="00E048D9"/>
    <w:rsid w:val="00E070F6"/>
    <w:rsid w:val="00E1128C"/>
    <w:rsid w:val="00E160EF"/>
    <w:rsid w:val="00E26B61"/>
    <w:rsid w:val="00E26F38"/>
    <w:rsid w:val="00E26FA4"/>
    <w:rsid w:val="00E333F0"/>
    <w:rsid w:val="00E3343C"/>
    <w:rsid w:val="00E35A81"/>
    <w:rsid w:val="00E4154D"/>
    <w:rsid w:val="00E47DF8"/>
    <w:rsid w:val="00E51AFD"/>
    <w:rsid w:val="00E51F43"/>
    <w:rsid w:val="00E52912"/>
    <w:rsid w:val="00E5490B"/>
    <w:rsid w:val="00E67975"/>
    <w:rsid w:val="00E70732"/>
    <w:rsid w:val="00E71A38"/>
    <w:rsid w:val="00E7296B"/>
    <w:rsid w:val="00E779BB"/>
    <w:rsid w:val="00E8089D"/>
    <w:rsid w:val="00E91CA0"/>
    <w:rsid w:val="00E91E54"/>
    <w:rsid w:val="00E924CF"/>
    <w:rsid w:val="00E92D46"/>
    <w:rsid w:val="00E95443"/>
    <w:rsid w:val="00E97EBC"/>
    <w:rsid w:val="00EA17CB"/>
    <w:rsid w:val="00EA20FF"/>
    <w:rsid w:val="00EA3D46"/>
    <w:rsid w:val="00EA5D20"/>
    <w:rsid w:val="00EB125E"/>
    <w:rsid w:val="00EC2978"/>
    <w:rsid w:val="00EC3C35"/>
    <w:rsid w:val="00ED0C93"/>
    <w:rsid w:val="00ED2A81"/>
    <w:rsid w:val="00ED5721"/>
    <w:rsid w:val="00ED5EC2"/>
    <w:rsid w:val="00EE40F8"/>
    <w:rsid w:val="00EF0550"/>
    <w:rsid w:val="00EF3F35"/>
    <w:rsid w:val="00F00C01"/>
    <w:rsid w:val="00F0239E"/>
    <w:rsid w:val="00F05EFD"/>
    <w:rsid w:val="00F1010C"/>
    <w:rsid w:val="00F10167"/>
    <w:rsid w:val="00F108C1"/>
    <w:rsid w:val="00F12751"/>
    <w:rsid w:val="00F1569D"/>
    <w:rsid w:val="00F234C1"/>
    <w:rsid w:val="00F247FE"/>
    <w:rsid w:val="00F24997"/>
    <w:rsid w:val="00F35685"/>
    <w:rsid w:val="00F37F15"/>
    <w:rsid w:val="00F4089A"/>
    <w:rsid w:val="00F4231F"/>
    <w:rsid w:val="00F45322"/>
    <w:rsid w:val="00F4614B"/>
    <w:rsid w:val="00F53442"/>
    <w:rsid w:val="00F53F0B"/>
    <w:rsid w:val="00F54EAC"/>
    <w:rsid w:val="00F55A46"/>
    <w:rsid w:val="00F6151A"/>
    <w:rsid w:val="00F62667"/>
    <w:rsid w:val="00F72373"/>
    <w:rsid w:val="00F74952"/>
    <w:rsid w:val="00F766CB"/>
    <w:rsid w:val="00F774EF"/>
    <w:rsid w:val="00F81F96"/>
    <w:rsid w:val="00F828AE"/>
    <w:rsid w:val="00F87A69"/>
    <w:rsid w:val="00F94776"/>
    <w:rsid w:val="00F960BA"/>
    <w:rsid w:val="00FA1509"/>
    <w:rsid w:val="00FA5228"/>
    <w:rsid w:val="00FA560A"/>
    <w:rsid w:val="00FA7942"/>
    <w:rsid w:val="00FB6652"/>
    <w:rsid w:val="00FC068D"/>
    <w:rsid w:val="00FC0E78"/>
    <w:rsid w:val="00FC4C35"/>
    <w:rsid w:val="00FD1FDC"/>
    <w:rsid w:val="00FD5BB1"/>
    <w:rsid w:val="00FE0E63"/>
    <w:rsid w:val="00FE1354"/>
    <w:rsid w:val="00FE3737"/>
    <w:rsid w:val="00FE5799"/>
    <w:rsid w:val="00FE5978"/>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D9113E-52A8-4732-ABF1-FB995B37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qFormat/>
    <w:rsid w:val="00301308"/>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301308"/>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301308"/>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301308"/>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3776DB"/>
    <w:pPr>
      <w:ind w:left="720"/>
      <w:contextualSpacing/>
    </w:pPr>
  </w:style>
  <w:style w:type="character" w:styleId="a8">
    <w:name w:val="annotation reference"/>
    <w:semiHidden/>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1D2DAB"/>
    <w:pPr>
      <w:spacing w:before="100" w:beforeAutospacing="1" w:after="100" w:afterAutospacing="1"/>
    </w:pPr>
    <w:rPr>
      <w:rFonts w:ascii="宋体" w:eastAsia="宋体" w:hAnsi="宋体" w:cs="宋体"/>
      <w:sz w:val="24"/>
      <w:lang w:eastAsia="zh-CN"/>
    </w:rPr>
  </w:style>
  <w:style w:type="paragraph" w:customStyle="1" w:styleId="NO">
    <w:name w:val="NO"/>
    <w:basedOn w:val="a"/>
    <w:rsid w:val="00FE3737"/>
    <w:pPr>
      <w:keepLines/>
      <w:ind w:left="1135" w:hanging="851"/>
    </w:pPr>
    <w:rPr>
      <w:rFonts w:eastAsia="Batang"/>
      <w:sz w:val="24"/>
      <w:szCs w:val="20"/>
      <w:lang w:val="en-GB"/>
    </w:rPr>
  </w:style>
  <w:style w:type="character" w:customStyle="1" w:styleId="apple-converted-space">
    <w:name w:val="apple-converted-space"/>
    <w:rsid w:val="005E686A"/>
  </w:style>
  <w:style w:type="paragraph" w:styleId="af">
    <w:name w:val="List"/>
    <w:basedOn w:val="a"/>
    <w:rsid w:val="00A958BD"/>
    <w:pPr>
      <w:ind w:left="283" w:hanging="283"/>
    </w:pPr>
  </w:style>
  <w:style w:type="paragraph" w:customStyle="1" w:styleId="Reference">
    <w:name w:val="Reference"/>
    <w:basedOn w:val="a0"/>
    <w:qFormat/>
    <w:rsid w:val="00A958BD"/>
    <w:pPr>
      <w:numPr>
        <w:numId w:val="4"/>
      </w:numPr>
      <w:ind w:left="567" w:hanging="567"/>
    </w:pPr>
    <w:rPr>
      <w:sz w:val="22"/>
    </w:rPr>
  </w:style>
  <w:style w:type="character" w:customStyle="1" w:styleId="Style2">
    <w:name w:val="Style2"/>
    <w:uiPriority w:val="1"/>
    <w:rsid w:val="00C47C70"/>
    <w:rPr>
      <w:rFonts w:ascii="Calibri" w:hAnsi="Calibri" w:cs="Calibri" w:hint="default"/>
      <w:color w:val="00B050"/>
    </w:rPr>
  </w:style>
  <w:style w:type="character" w:customStyle="1" w:styleId="6Char">
    <w:name w:val="标题 6 Char"/>
    <w:link w:val="6"/>
    <w:rsid w:val="00301308"/>
    <w:rPr>
      <w:rFonts w:ascii="Arial" w:eastAsia="黑体" w:hAnsi="Arial"/>
      <w:b/>
      <w:bCs/>
      <w:sz w:val="24"/>
      <w:szCs w:val="24"/>
      <w:lang w:eastAsia="en-US"/>
    </w:rPr>
  </w:style>
  <w:style w:type="character" w:customStyle="1" w:styleId="7Char">
    <w:name w:val="标题 7 Char"/>
    <w:link w:val="7"/>
    <w:rsid w:val="00301308"/>
    <w:rPr>
      <w:rFonts w:ascii="Times New Roman" w:eastAsia="Times New Roman" w:hAnsi="Times New Roman"/>
      <w:b/>
      <w:bCs/>
      <w:sz w:val="24"/>
      <w:szCs w:val="24"/>
      <w:lang w:eastAsia="en-US"/>
    </w:rPr>
  </w:style>
  <w:style w:type="character" w:customStyle="1" w:styleId="8Char">
    <w:name w:val="标题 8 Char"/>
    <w:link w:val="8"/>
    <w:rsid w:val="00301308"/>
    <w:rPr>
      <w:rFonts w:ascii="Arial" w:eastAsia="黑体" w:hAnsi="Arial"/>
      <w:sz w:val="24"/>
      <w:szCs w:val="24"/>
      <w:lang w:eastAsia="en-US"/>
    </w:rPr>
  </w:style>
  <w:style w:type="character" w:customStyle="1" w:styleId="9Char">
    <w:name w:val="标题 9 Char"/>
    <w:link w:val="9"/>
    <w:rsid w:val="00301308"/>
    <w:rPr>
      <w:rFonts w:ascii="Arial" w:eastAsia="黑体" w:hAnsi="Arial"/>
      <w:sz w:val="21"/>
      <w:szCs w:val="21"/>
      <w:lang w:eastAsia="en-US"/>
    </w:rPr>
  </w:style>
  <w:style w:type="paragraph" w:customStyle="1" w:styleId="Agreement">
    <w:name w:val="Agreement"/>
    <w:basedOn w:val="a"/>
    <w:next w:val="a"/>
    <w:rsid w:val="007D3584"/>
    <w:pPr>
      <w:numPr>
        <w:numId w:val="19"/>
      </w:numPr>
      <w:spacing w:before="60"/>
    </w:pPr>
    <w:rPr>
      <w:rFonts w:ascii="Arial" w:eastAsia="MS Mincho" w:hAnsi="Arial"/>
      <w:b/>
      <w:lang w:val="en-GB" w:eastAsia="en-GB"/>
    </w:rPr>
  </w:style>
  <w:style w:type="paragraph" w:customStyle="1" w:styleId="PL">
    <w:name w:val="PL"/>
    <w:link w:val="PLChar"/>
    <w:qFormat/>
    <w:rsid w:val="00922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2245B"/>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92245B"/>
    <w:pPr>
      <w:jc w:val="center"/>
    </w:pPr>
    <w:rPr>
      <w:rFonts w:eastAsia="等线"/>
      <w:lang w:eastAsia="en-US"/>
    </w:rPr>
  </w:style>
  <w:style w:type="character" w:customStyle="1" w:styleId="THChar">
    <w:name w:val="TH Char"/>
    <w:link w:val="TH"/>
    <w:qFormat/>
    <w:rsid w:val="0092245B"/>
    <w:rPr>
      <w:rFonts w:ascii="Arial" w:eastAsia="Malgun Gothic" w:hAnsi="Arial"/>
      <w:b/>
      <w:lang w:val="en-GB" w:eastAsia="en-US"/>
    </w:rPr>
  </w:style>
  <w:style w:type="character" w:customStyle="1" w:styleId="TACChar">
    <w:name w:val="TAC Char"/>
    <w:link w:val="TAC"/>
    <w:qFormat/>
    <w:locked/>
    <w:rsid w:val="0092245B"/>
    <w:rPr>
      <w:rFonts w:ascii="Arial" w:eastAsia="等线" w:hAnsi="Arial"/>
      <w:sz w:val="18"/>
      <w:lang w:val="en-GB" w:eastAsia="en-US"/>
    </w:rPr>
  </w:style>
  <w:style w:type="character" w:customStyle="1" w:styleId="TAHCar">
    <w:name w:val="TAH Car"/>
    <w:link w:val="TAH"/>
    <w:qFormat/>
    <w:rsid w:val="0092245B"/>
    <w:rPr>
      <w:rFonts w:ascii="Arial" w:eastAsia="Malgun Gothic"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724990">
      <w:bodyDiv w:val="1"/>
      <w:marLeft w:val="0"/>
      <w:marRight w:val="0"/>
      <w:marTop w:val="0"/>
      <w:marBottom w:val="0"/>
      <w:divBdr>
        <w:top w:val="none" w:sz="0" w:space="0" w:color="auto"/>
        <w:left w:val="none" w:sz="0" w:space="0" w:color="auto"/>
        <w:bottom w:val="none" w:sz="0" w:space="0" w:color="auto"/>
        <w:right w:val="none" w:sz="0" w:space="0" w:color="auto"/>
      </w:divBdr>
      <w:divsChild>
        <w:div w:id="877202677">
          <w:marLeft w:val="1800"/>
          <w:marRight w:val="0"/>
          <w:marTop w:val="86"/>
          <w:marBottom w:val="0"/>
          <w:divBdr>
            <w:top w:val="none" w:sz="0" w:space="0" w:color="auto"/>
            <w:left w:val="none" w:sz="0" w:space="0" w:color="auto"/>
            <w:bottom w:val="none" w:sz="0" w:space="0" w:color="auto"/>
            <w:right w:val="none" w:sz="0" w:space="0" w:color="auto"/>
          </w:divBdr>
        </w:div>
        <w:div w:id="1681346160">
          <w:marLeft w:val="1166"/>
          <w:marRight w:val="0"/>
          <w:marTop w:val="86"/>
          <w:marBottom w:val="0"/>
          <w:divBdr>
            <w:top w:val="none" w:sz="0" w:space="0" w:color="auto"/>
            <w:left w:val="none" w:sz="0" w:space="0" w:color="auto"/>
            <w:bottom w:val="none" w:sz="0" w:space="0" w:color="auto"/>
            <w:right w:val="none" w:sz="0" w:space="0" w:color="auto"/>
          </w:divBdr>
        </w:div>
      </w:divsChild>
    </w:div>
    <w:div w:id="362873907">
      <w:bodyDiv w:val="1"/>
      <w:marLeft w:val="0"/>
      <w:marRight w:val="0"/>
      <w:marTop w:val="0"/>
      <w:marBottom w:val="0"/>
      <w:divBdr>
        <w:top w:val="none" w:sz="0" w:space="0" w:color="auto"/>
        <w:left w:val="none" w:sz="0" w:space="0" w:color="auto"/>
        <w:bottom w:val="none" w:sz="0" w:space="0" w:color="auto"/>
        <w:right w:val="none" w:sz="0" w:space="0" w:color="auto"/>
      </w:divBdr>
      <w:divsChild>
        <w:div w:id="117994556">
          <w:marLeft w:val="1166"/>
          <w:marRight w:val="0"/>
          <w:marTop w:val="67"/>
          <w:marBottom w:val="0"/>
          <w:divBdr>
            <w:top w:val="none" w:sz="0" w:space="0" w:color="auto"/>
            <w:left w:val="none" w:sz="0" w:space="0" w:color="auto"/>
            <w:bottom w:val="none" w:sz="0" w:space="0" w:color="auto"/>
            <w:right w:val="none" w:sz="0" w:space="0" w:color="auto"/>
          </w:divBdr>
        </w:div>
        <w:div w:id="144781747">
          <w:marLeft w:val="1166"/>
          <w:marRight w:val="0"/>
          <w:marTop w:val="67"/>
          <w:marBottom w:val="0"/>
          <w:divBdr>
            <w:top w:val="none" w:sz="0" w:space="0" w:color="auto"/>
            <w:left w:val="none" w:sz="0" w:space="0" w:color="auto"/>
            <w:bottom w:val="none" w:sz="0" w:space="0" w:color="auto"/>
            <w:right w:val="none" w:sz="0" w:space="0" w:color="auto"/>
          </w:divBdr>
        </w:div>
        <w:div w:id="271940517">
          <w:marLeft w:val="547"/>
          <w:marRight w:val="0"/>
          <w:marTop w:val="67"/>
          <w:marBottom w:val="0"/>
          <w:divBdr>
            <w:top w:val="none" w:sz="0" w:space="0" w:color="auto"/>
            <w:left w:val="none" w:sz="0" w:space="0" w:color="auto"/>
            <w:bottom w:val="none" w:sz="0" w:space="0" w:color="auto"/>
            <w:right w:val="none" w:sz="0" w:space="0" w:color="auto"/>
          </w:divBdr>
        </w:div>
        <w:div w:id="429742067">
          <w:marLeft w:val="547"/>
          <w:marRight w:val="0"/>
          <w:marTop w:val="67"/>
          <w:marBottom w:val="0"/>
          <w:divBdr>
            <w:top w:val="none" w:sz="0" w:space="0" w:color="auto"/>
            <w:left w:val="none" w:sz="0" w:space="0" w:color="auto"/>
            <w:bottom w:val="none" w:sz="0" w:space="0" w:color="auto"/>
            <w:right w:val="none" w:sz="0" w:space="0" w:color="auto"/>
          </w:divBdr>
        </w:div>
        <w:div w:id="553614569">
          <w:marLeft w:val="547"/>
          <w:marRight w:val="0"/>
          <w:marTop w:val="67"/>
          <w:marBottom w:val="0"/>
          <w:divBdr>
            <w:top w:val="none" w:sz="0" w:space="0" w:color="auto"/>
            <w:left w:val="none" w:sz="0" w:space="0" w:color="auto"/>
            <w:bottom w:val="none" w:sz="0" w:space="0" w:color="auto"/>
            <w:right w:val="none" w:sz="0" w:space="0" w:color="auto"/>
          </w:divBdr>
        </w:div>
        <w:div w:id="904224139">
          <w:marLeft w:val="547"/>
          <w:marRight w:val="0"/>
          <w:marTop w:val="67"/>
          <w:marBottom w:val="0"/>
          <w:divBdr>
            <w:top w:val="none" w:sz="0" w:space="0" w:color="auto"/>
            <w:left w:val="none" w:sz="0" w:space="0" w:color="auto"/>
            <w:bottom w:val="none" w:sz="0" w:space="0" w:color="auto"/>
            <w:right w:val="none" w:sz="0" w:space="0" w:color="auto"/>
          </w:divBdr>
        </w:div>
        <w:div w:id="957106851">
          <w:marLeft w:val="547"/>
          <w:marRight w:val="0"/>
          <w:marTop w:val="67"/>
          <w:marBottom w:val="0"/>
          <w:divBdr>
            <w:top w:val="none" w:sz="0" w:space="0" w:color="auto"/>
            <w:left w:val="none" w:sz="0" w:space="0" w:color="auto"/>
            <w:bottom w:val="none" w:sz="0" w:space="0" w:color="auto"/>
            <w:right w:val="none" w:sz="0" w:space="0" w:color="auto"/>
          </w:divBdr>
        </w:div>
        <w:div w:id="1364867229">
          <w:marLeft w:val="1800"/>
          <w:marRight w:val="0"/>
          <w:marTop w:val="67"/>
          <w:marBottom w:val="0"/>
          <w:divBdr>
            <w:top w:val="none" w:sz="0" w:space="0" w:color="auto"/>
            <w:left w:val="none" w:sz="0" w:space="0" w:color="auto"/>
            <w:bottom w:val="none" w:sz="0" w:space="0" w:color="auto"/>
            <w:right w:val="none" w:sz="0" w:space="0" w:color="auto"/>
          </w:divBdr>
        </w:div>
        <w:div w:id="1403336136">
          <w:marLeft w:val="1800"/>
          <w:marRight w:val="0"/>
          <w:marTop w:val="67"/>
          <w:marBottom w:val="0"/>
          <w:divBdr>
            <w:top w:val="none" w:sz="0" w:space="0" w:color="auto"/>
            <w:left w:val="none" w:sz="0" w:space="0" w:color="auto"/>
            <w:bottom w:val="none" w:sz="0" w:space="0" w:color="auto"/>
            <w:right w:val="none" w:sz="0" w:space="0" w:color="auto"/>
          </w:divBdr>
        </w:div>
        <w:div w:id="1614286006">
          <w:marLeft w:val="1166"/>
          <w:marRight w:val="0"/>
          <w:marTop w:val="67"/>
          <w:marBottom w:val="0"/>
          <w:divBdr>
            <w:top w:val="none" w:sz="0" w:space="0" w:color="auto"/>
            <w:left w:val="none" w:sz="0" w:space="0" w:color="auto"/>
            <w:bottom w:val="none" w:sz="0" w:space="0" w:color="auto"/>
            <w:right w:val="none" w:sz="0" w:space="0" w:color="auto"/>
          </w:divBdr>
        </w:div>
        <w:div w:id="1821725534">
          <w:marLeft w:val="1800"/>
          <w:marRight w:val="0"/>
          <w:marTop w:val="67"/>
          <w:marBottom w:val="0"/>
          <w:divBdr>
            <w:top w:val="none" w:sz="0" w:space="0" w:color="auto"/>
            <w:left w:val="none" w:sz="0" w:space="0" w:color="auto"/>
            <w:bottom w:val="none" w:sz="0" w:space="0" w:color="auto"/>
            <w:right w:val="none" w:sz="0" w:space="0" w:color="auto"/>
          </w:divBdr>
        </w:div>
        <w:div w:id="1955362380">
          <w:marLeft w:val="1800"/>
          <w:marRight w:val="0"/>
          <w:marTop w:val="67"/>
          <w:marBottom w:val="0"/>
          <w:divBdr>
            <w:top w:val="none" w:sz="0" w:space="0" w:color="auto"/>
            <w:left w:val="none" w:sz="0" w:space="0" w:color="auto"/>
            <w:bottom w:val="none" w:sz="0" w:space="0" w:color="auto"/>
            <w:right w:val="none" w:sz="0" w:space="0" w:color="auto"/>
          </w:divBdr>
        </w:div>
        <w:div w:id="2021924898">
          <w:marLeft w:val="1800"/>
          <w:marRight w:val="0"/>
          <w:marTop w:val="67"/>
          <w:marBottom w:val="0"/>
          <w:divBdr>
            <w:top w:val="none" w:sz="0" w:space="0" w:color="auto"/>
            <w:left w:val="none" w:sz="0" w:space="0" w:color="auto"/>
            <w:bottom w:val="none" w:sz="0" w:space="0" w:color="auto"/>
            <w:right w:val="none" w:sz="0" w:space="0" w:color="auto"/>
          </w:divBdr>
        </w:div>
        <w:div w:id="2108230760">
          <w:marLeft w:val="1166"/>
          <w:marRight w:val="0"/>
          <w:marTop w:val="67"/>
          <w:marBottom w:val="0"/>
          <w:divBdr>
            <w:top w:val="none" w:sz="0" w:space="0" w:color="auto"/>
            <w:left w:val="none" w:sz="0" w:space="0" w:color="auto"/>
            <w:bottom w:val="none" w:sz="0" w:space="0" w:color="auto"/>
            <w:right w:val="none" w:sz="0" w:space="0" w:color="auto"/>
          </w:divBdr>
        </w:div>
      </w:divsChild>
    </w:div>
    <w:div w:id="400493345">
      <w:bodyDiv w:val="1"/>
      <w:marLeft w:val="0"/>
      <w:marRight w:val="0"/>
      <w:marTop w:val="0"/>
      <w:marBottom w:val="0"/>
      <w:divBdr>
        <w:top w:val="none" w:sz="0" w:space="0" w:color="auto"/>
        <w:left w:val="none" w:sz="0" w:space="0" w:color="auto"/>
        <w:bottom w:val="none" w:sz="0" w:space="0" w:color="auto"/>
        <w:right w:val="none" w:sz="0" w:space="0" w:color="auto"/>
      </w:divBdr>
      <w:divsChild>
        <w:div w:id="121579979">
          <w:marLeft w:val="1166"/>
          <w:marRight w:val="0"/>
          <w:marTop w:val="67"/>
          <w:marBottom w:val="0"/>
          <w:divBdr>
            <w:top w:val="none" w:sz="0" w:space="0" w:color="auto"/>
            <w:left w:val="none" w:sz="0" w:space="0" w:color="auto"/>
            <w:bottom w:val="none" w:sz="0" w:space="0" w:color="auto"/>
            <w:right w:val="none" w:sz="0" w:space="0" w:color="auto"/>
          </w:divBdr>
        </w:div>
        <w:div w:id="397434485">
          <w:marLeft w:val="1166"/>
          <w:marRight w:val="0"/>
          <w:marTop w:val="67"/>
          <w:marBottom w:val="0"/>
          <w:divBdr>
            <w:top w:val="none" w:sz="0" w:space="0" w:color="auto"/>
            <w:left w:val="none" w:sz="0" w:space="0" w:color="auto"/>
            <w:bottom w:val="none" w:sz="0" w:space="0" w:color="auto"/>
            <w:right w:val="none" w:sz="0" w:space="0" w:color="auto"/>
          </w:divBdr>
        </w:div>
        <w:div w:id="639111701">
          <w:marLeft w:val="1166"/>
          <w:marRight w:val="0"/>
          <w:marTop w:val="67"/>
          <w:marBottom w:val="0"/>
          <w:divBdr>
            <w:top w:val="none" w:sz="0" w:space="0" w:color="auto"/>
            <w:left w:val="none" w:sz="0" w:space="0" w:color="auto"/>
            <w:bottom w:val="none" w:sz="0" w:space="0" w:color="auto"/>
            <w:right w:val="none" w:sz="0" w:space="0" w:color="auto"/>
          </w:divBdr>
        </w:div>
        <w:div w:id="1135870010">
          <w:marLeft w:val="1166"/>
          <w:marRight w:val="0"/>
          <w:marTop w:val="67"/>
          <w:marBottom w:val="0"/>
          <w:divBdr>
            <w:top w:val="none" w:sz="0" w:space="0" w:color="auto"/>
            <w:left w:val="none" w:sz="0" w:space="0" w:color="auto"/>
            <w:bottom w:val="none" w:sz="0" w:space="0" w:color="auto"/>
            <w:right w:val="none" w:sz="0" w:space="0" w:color="auto"/>
          </w:divBdr>
        </w:div>
        <w:div w:id="1194688341">
          <w:marLeft w:val="1166"/>
          <w:marRight w:val="0"/>
          <w:marTop w:val="67"/>
          <w:marBottom w:val="0"/>
          <w:divBdr>
            <w:top w:val="none" w:sz="0" w:space="0" w:color="auto"/>
            <w:left w:val="none" w:sz="0" w:space="0" w:color="auto"/>
            <w:bottom w:val="none" w:sz="0" w:space="0" w:color="auto"/>
            <w:right w:val="none" w:sz="0" w:space="0" w:color="auto"/>
          </w:divBdr>
        </w:div>
        <w:div w:id="1331182043">
          <w:marLeft w:val="1166"/>
          <w:marRight w:val="0"/>
          <w:marTop w:val="67"/>
          <w:marBottom w:val="0"/>
          <w:divBdr>
            <w:top w:val="none" w:sz="0" w:space="0" w:color="auto"/>
            <w:left w:val="none" w:sz="0" w:space="0" w:color="auto"/>
            <w:bottom w:val="none" w:sz="0" w:space="0" w:color="auto"/>
            <w:right w:val="none" w:sz="0" w:space="0" w:color="auto"/>
          </w:divBdr>
        </w:div>
        <w:div w:id="1510944331">
          <w:marLeft w:val="1166"/>
          <w:marRight w:val="0"/>
          <w:marTop w:val="67"/>
          <w:marBottom w:val="0"/>
          <w:divBdr>
            <w:top w:val="none" w:sz="0" w:space="0" w:color="auto"/>
            <w:left w:val="none" w:sz="0" w:space="0" w:color="auto"/>
            <w:bottom w:val="none" w:sz="0" w:space="0" w:color="auto"/>
            <w:right w:val="none" w:sz="0" w:space="0" w:color="auto"/>
          </w:divBdr>
        </w:div>
        <w:div w:id="1781602696">
          <w:marLeft w:val="1166"/>
          <w:marRight w:val="0"/>
          <w:marTop w:val="67"/>
          <w:marBottom w:val="0"/>
          <w:divBdr>
            <w:top w:val="none" w:sz="0" w:space="0" w:color="auto"/>
            <w:left w:val="none" w:sz="0" w:space="0" w:color="auto"/>
            <w:bottom w:val="none" w:sz="0" w:space="0" w:color="auto"/>
            <w:right w:val="none" w:sz="0" w:space="0" w:color="auto"/>
          </w:divBdr>
        </w:div>
        <w:div w:id="1965235301">
          <w:marLeft w:val="547"/>
          <w:marRight w:val="0"/>
          <w:marTop w:val="67"/>
          <w:marBottom w:val="0"/>
          <w:divBdr>
            <w:top w:val="none" w:sz="0" w:space="0" w:color="auto"/>
            <w:left w:val="none" w:sz="0" w:space="0" w:color="auto"/>
            <w:bottom w:val="none" w:sz="0" w:space="0" w:color="auto"/>
            <w:right w:val="none" w:sz="0" w:space="0" w:color="auto"/>
          </w:divBdr>
        </w:div>
      </w:divsChild>
    </w:div>
    <w:div w:id="706098811">
      <w:bodyDiv w:val="1"/>
      <w:marLeft w:val="0"/>
      <w:marRight w:val="0"/>
      <w:marTop w:val="0"/>
      <w:marBottom w:val="0"/>
      <w:divBdr>
        <w:top w:val="none" w:sz="0" w:space="0" w:color="auto"/>
        <w:left w:val="none" w:sz="0" w:space="0" w:color="auto"/>
        <w:bottom w:val="none" w:sz="0" w:space="0" w:color="auto"/>
        <w:right w:val="none" w:sz="0" w:space="0" w:color="auto"/>
      </w:divBdr>
      <w:divsChild>
        <w:div w:id="25065338">
          <w:marLeft w:val="1166"/>
          <w:marRight w:val="0"/>
          <w:marTop w:val="86"/>
          <w:marBottom w:val="0"/>
          <w:divBdr>
            <w:top w:val="none" w:sz="0" w:space="0" w:color="auto"/>
            <w:left w:val="none" w:sz="0" w:space="0" w:color="auto"/>
            <w:bottom w:val="none" w:sz="0" w:space="0" w:color="auto"/>
            <w:right w:val="none" w:sz="0" w:space="0" w:color="auto"/>
          </w:divBdr>
        </w:div>
        <w:div w:id="319047268">
          <w:marLeft w:val="1166"/>
          <w:marRight w:val="0"/>
          <w:marTop w:val="86"/>
          <w:marBottom w:val="0"/>
          <w:divBdr>
            <w:top w:val="none" w:sz="0" w:space="0" w:color="auto"/>
            <w:left w:val="none" w:sz="0" w:space="0" w:color="auto"/>
            <w:bottom w:val="none" w:sz="0" w:space="0" w:color="auto"/>
            <w:right w:val="none" w:sz="0" w:space="0" w:color="auto"/>
          </w:divBdr>
        </w:div>
        <w:div w:id="1567954500">
          <w:marLeft w:val="547"/>
          <w:marRight w:val="0"/>
          <w:marTop w:val="86"/>
          <w:marBottom w:val="0"/>
          <w:divBdr>
            <w:top w:val="none" w:sz="0" w:space="0" w:color="auto"/>
            <w:left w:val="none" w:sz="0" w:space="0" w:color="auto"/>
            <w:bottom w:val="none" w:sz="0" w:space="0" w:color="auto"/>
            <w:right w:val="none" w:sz="0" w:space="0" w:color="auto"/>
          </w:divBdr>
        </w:div>
        <w:div w:id="1961111909">
          <w:marLeft w:val="1166"/>
          <w:marRight w:val="0"/>
          <w:marTop w:val="86"/>
          <w:marBottom w:val="0"/>
          <w:divBdr>
            <w:top w:val="none" w:sz="0" w:space="0" w:color="auto"/>
            <w:left w:val="none" w:sz="0" w:space="0" w:color="auto"/>
            <w:bottom w:val="none" w:sz="0" w:space="0" w:color="auto"/>
            <w:right w:val="none" w:sz="0" w:space="0" w:color="auto"/>
          </w:divBdr>
        </w:div>
      </w:divsChild>
    </w:div>
    <w:div w:id="858156600">
      <w:bodyDiv w:val="1"/>
      <w:marLeft w:val="0"/>
      <w:marRight w:val="0"/>
      <w:marTop w:val="0"/>
      <w:marBottom w:val="0"/>
      <w:divBdr>
        <w:top w:val="none" w:sz="0" w:space="0" w:color="auto"/>
        <w:left w:val="none" w:sz="0" w:space="0" w:color="auto"/>
        <w:bottom w:val="none" w:sz="0" w:space="0" w:color="auto"/>
        <w:right w:val="none" w:sz="0" w:space="0" w:color="auto"/>
      </w:divBdr>
      <w:divsChild>
        <w:div w:id="358774613">
          <w:marLeft w:val="0"/>
          <w:marRight w:val="0"/>
          <w:marTop w:val="0"/>
          <w:marBottom w:val="0"/>
          <w:divBdr>
            <w:top w:val="none" w:sz="0" w:space="0" w:color="auto"/>
            <w:left w:val="none" w:sz="0" w:space="0" w:color="auto"/>
            <w:bottom w:val="none" w:sz="0" w:space="0" w:color="auto"/>
            <w:right w:val="none" w:sz="0" w:space="0" w:color="auto"/>
          </w:divBdr>
        </w:div>
        <w:div w:id="421222227">
          <w:marLeft w:val="0"/>
          <w:marRight w:val="0"/>
          <w:marTop w:val="0"/>
          <w:marBottom w:val="0"/>
          <w:divBdr>
            <w:top w:val="none" w:sz="0" w:space="0" w:color="auto"/>
            <w:left w:val="none" w:sz="0" w:space="0" w:color="auto"/>
            <w:bottom w:val="none" w:sz="0" w:space="0" w:color="auto"/>
            <w:right w:val="none" w:sz="0" w:space="0" w:color="auto"/>
          </w:divBdr>
        </w:div>
        <w:div w:id="513689011">
          <w:marLeft w:val="0"/>
          <w:marRight w:val="0"/>
          <w:marTop w:val="0"/>
          <w:marBottom w:val="0"/>
          <w:divBdr>
            <w:top w:val="none" w:sz="0" w:space="0" w:color="auto"/>
            <w:left w:val="none" w:sz="0" w:space="0" w:color="auto"/>
            <w:bottom w:val="none" w:sz="0" w:space="0" w:color="auto"/>
            <w:right w:val="none" w:sz="0" w:space="0" w:color="auto"/>
          </w:divBdr>
        </w:div>
        <w:div w:id="1632128859">
          <w:marLeft w:val="0"/>
          <w:marRight w:val="0"/>
          <w:marTop w:val="0"/>
          <w:marBottom w:val="0"/>
          <w:divBdr>
            <w:top w:val="none" w:sz="0" w:space="0" w:color="auto"/>
            <w:left w:val="none" w:sz="0" w:space="0" w:color="auto"/>
            <w:bottom w:val="none" w:sz="0" w:space="0" w:color="auto"/>
            <w:right w:val="none" w:sz="0" w:space="0" w:color="auto"/>
          </w:divBdr>
        </w:div>
        <w:div w:id="1877549095">
          <w:marLeft w:val="0"/>
          <w:marRight w:val="0"/>
          <w:marTop w:val="0"/>
          <w:marBottom w:val="0"/>
          <w:divBdr>
            <w:top w:val="none" w:sz="0" w:space="0" w:color="auto"/>
            <w:left w:val="none" w:sz="0" w:space="0" w:color="auto"/>
            <w:bottom w:val="none" w:sz="0" w:space="0" w:color="auto"/>
            <w:right w:val="none" w:sz="0" w:space="0" w:color="auto"/>
          </w:divBdr>
        </w:div>
        <w:div w:id="1938715093">
          <w:marLeft w:val="0"/>
          <w:marRight w:val="0"/>
          <w:marTop w:val="0"/>
          <w:marBottom w:val="0"/>
          <w:divBdr>
            <w:top w:val="none" w:sz="0" w:space="0" w:color="auto"/>
            <w:left w:val="none" w:sz="0" w:space="0" w:color="auto"/>
            <w:bottom w:val="none" w:sz="0" w:space="0" w:color="auto"/>
            <w:right w:val="none" w:sz="0" w:space="0" w:color="auto"/>
          </w:divBdr>
        </w:div>
      </w:divsChild>
    </w:div>
    <w:div w:id="1496796406">
      <w:bodyDiv w:val="1"/>
      <w:marLeft w:val="0"/>
      <w:marRight w:val="0"/>
      <w:marTop w:val="0"/>
      <w:marBottom w:val="0"/>
      <w:divBdr>
        <w:top w:val="none" w:sz="0" w:space="0" w:color="auto"/>
        <w:left w:val="none" w:sz="0" w:space="0" w:color="auto"/>
        <w:bottom w:val="none" w:sz="0" w:space="0" w:color="auto"/>
        <w:right w:val="none" w:sz="0" w:space="0" w:color="auto"/>
      </w:divBdr>
      <w:divsChild>
        <w:div w:id="13653864">
          <w:marLeft w:val="1800"/>
          <w:marRight w:val="0"/>
          <w:marTop w:val="86"/>
          <w:marBottom w:val="0"/>
          <w:divBdr>
            <w:top w:val="none" w:sz="0" w:space="0" w:color="auto"/>
            <w:left w:val="none" w:sz="0" w:space="0" w:color="auto"/>
            <w:bottom w:val="none" w:sz="0" w:space="0" w:color="auto"/>
            <w:right w:val="none" w:sz="0" w:space="0" w:color="auto"/>
          </w:divBdr>
        </w:div>
        <w:div w:id="205341391">
          <w:marLeft w:val="1166"/>
          <w:marRight w:val="0"/>
          <w:marTop w:val="86"/>
          <w:marBottom w:val="0"/>
          <w:divBdr>
            <w:top w:val="none" w:sz="0" w:space="0" w:color="auto"/>
            <w:left w:val="none" w:sz="0" w:space="0" w:color="auto"/>
            <w:bottom w:val="none" w:sz="0" w:space="0" w:color="auto"/>
            <w:right w:val="none" w:sz="0" w:space="0" w:color="auto"/>
          </w:divBdr>
        </w:div>
        <w:div w:id="789781628">
          <w:marLeft w:val="1166"/>
          <w:marRight w:val="0"/>
          <w:marTop w:val="86"/>
          <w:marBottom w:val="0"/>
          <w:divBdr>
            <w:top w:val="none" w:sz="0" w:space="0" w:color="auto"/>
            <w:left w:val="none" w:sz="0" w:space="0" w:color="auto"/>
            <w:bottom w:val="none" w:sz="0" w:space="0" w:color="auto"/>
            <w:right w:val="none" w:sz="0" w:space="0" w:color="auto"/>
          </w:divBdr>
        </w:div>
        <w:div w:id="1102187088">
          <w:marLeft w:val="1166"/>
          <w:marRight w:val="0"/>
          <w:marTop w:val="86"/>
          <w:marBottom w:val="0"/>
          <w:divBdr>
            <w:top w:val="none" w:sz="0" w:space="0" w:color="auto"/>
            <w:left w:val="none" w:sz="0" w:space="0" w:color="auto"/>
            <w:bottom w:val="none" w:sz="0" w:space="0" w:color="auto"/>
            <w:right w:val="none" w:sz="0" w:space="0" w:color="auto"/>
          </w:divBdr>
        </w:div>
        <w:div w:id="1377271571">
          <w:marLeft w:val="1800"/>
          <w:marRight w:val="0"/>
          <w:marTop w:val="86"/>
          <w:marBottom w:val="0"/>
          <w:divBdr>
            <w:top w:val="none" w:sz="0" w:space="0" w:color="auto"/>
            <w:left w:val="none" w:sz="0" w:space="0" w:color="auto"/>
            <w:bottom w:val="none" w:sz="0" w:space="0" w:color="auto"/>
            <w:right w:val="none" w:sz="0" w:space="0" w:color="auto"/>
          </w:divBdr>
        </w:div>
        <w:div w:id="1539273370">
          <w:marLeft w:val="547"/>
          <w:marRight w:val="0"/>
          <w:marTop w:val="86"/>
          <w:marBottom w:val="0"/>
          <w:divBdr>
            <w:top w:val="none" w:sz="0" w:space="0" w:color="auto"/>
            <w:left w:val="none" w:sz="0" w:space="0" w:color="auto"/>
            <w:bottom w:val="none" w:sz="0" w:space="0" w:color="auto"/>
            <w:right w:val="none" w:sz="0" w:space="0" w:color="auto"/>
          </w:divBdr>
        </w:div>
        <w:div w:id="1841655076">
          <w:marLeft w:val="1166"/>
          <w:marRight w:val="0"/>
          <w:marTop w:val="86"/>
          <w:marBottom w:val="0"/>
          <w:divBdr>
            <w:top w:val="none" w:sz="0" w:space="0" w:color="auto"/>
            <w:left w:val="none" w:sz="0" w:space="0" w:color="auto"/>
            <w:bottom w:val="none" w:sz="0" w:space="0" w:color="auto"/>
            <w:right w:val="none" w:sz="0" w:space="0" w:color="auto"/>
          </w:divBdr>
        </w:div>
        <w:div w:id="1876653725">
          <w:marLeft w:val="1800"/>
          <w:marRight w:val="0"/>
          <w:marTop w:val="8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4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ink:lowe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link:multiple" TargetMode="External"/><Relationship Id="rId4" Type="http://schemas.openxmlformats.org/officeDocument/2006/relationships/settings" Target="settings.xml"/><Relationship Id="rId9" Type="http://schemas.openxmlformats.org/officeDocument/2006/relationships/hyperlink" Target="link:comm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A63F1-2F45-49E5-8206-FA05AB39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8245</CharactersWithSpaces>
  <SharedDoc>false</SharedDoc>
  <HLinks>
    <vt:vector size="18" baseType="variant">
      <vt:variant>
        <vt:i4>393289</vt:i4>
      </vt:variant>
      <vt:variant>
        <vt:i4>6</vt:i4>
      </vt:variant>
      <vt:variant>
        <vt:i4>0</vt:i4>
      </vt:variant>
      <vt:variant>
        <vt:i4>5</vt:i4>
      </vt:variant>
      <vt:variant>
        <vt:lpwstr>link:multiple</vt:lpwstr>
      </vt:variant>
      <vt:variant>
        <vt:lpwstr/>
      </vt:variant>
      <vt:variant>
        <vt:i4>6488122</vt:i4>
      </vt:variant>
      <vt:variant>
        <vt:i4>3</vt:i4>
      </vt:variant>
      <vt:variant>
        <vt:i4>0</vt:i4>
      </vt:variant>
      <vt:variant>
        <vt:i4>5</vt:i4>
      </vt:variant>
      <vt:variant>
        <vt:lpwstr>link:common</vt:lpwstr>
      </vt:variant>
      <vt:variant>
        <vt:lpwstr/>
      </vt:variant>
      <vt:variant>
        <vt:i4>6946866</vt:i4>
      </vt:variant>
      <vt:variant>
        <vt:i4>0</vt:i4>
      </vt:variant>
      <vt:variant>
        <vt:i4>0</vt:i4>
      </vt:variant>
      <vt:variant>
        <vt:i4>5</vt:i4>
      </vt:variant>
      <vt:variant>
        <vt:lpwstr>link:lowest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80205318</cp:lastModifiedBy>
  <cp:revision>2</cp:revision>
  <dcterms:created xsi:type="dcterms:W3CDTF">2020-02-13T15:33:00Z</dcterms:created>
  <dcterms:modified xsi:type="dcterms:W3CDTF">2020-02-13T15:33:00Z</dcterms:modified>
</cp:coreProperties>
</file>