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00199" w14:textId="77777777" w:rsidR="00C7742F" w:rsidRDefault="00504FF3">
      <w:pPr>
        <w:tabs>
          <w:tab w:val="right" w:pos="9216"/>
        </w:tabs>
        <w:spacing w:after="0"/>
        <w:jc w:val="left"/>
        <w:rPr>
          <w:rFonts w:asciiTheme="minorHAnsi" w:hAnsiTheme="minorHAnsi" w:cstheme="minorHAnsi"/>
          <w:b/>
          <w:kern w:val="2"/>
          <w:lang w:eastAsia="zh-CN"/>
        </w:rPr>
      </w:pPr>
      <w:r>
        <w:rPr>
          <w:noProof/>
        </w:rPr>
        <mc:AlternateContent>
          <mc:Choice Requires="wps">
            <w:drawing>
              <wp:anchor distT="0" distB="0" distL="113030" distR="114300" simplePos="0" relativeHeight="2" behindDoc="0" locked="0" layoutInCell="1" allowOverlap="1" wp14:anchorId="38DCD0CD" wp14:editId="0A432B4F">
                <wp:simplePos x="0" y="0"/>
                <wp:positionH relativeFrom="column">
                  <wp:posOffset>0</wp:posOffset>
                </wp:positionH>
                <wp:positionV relativeFrom="paragraph">
                  <wp:posOffset>635</wp:posOffset>
                </wp:positionV>
                <wp:extent cx="1905" cy="1905"/>
                <wp:effectExtent l="9525" t="9525" r="8890" b="8890"/>
                <wp:wrapNone/>
                <wp:docPr id="1" name="DtsShapeName" descr="E15342G@835955749B6E11EC749357G609;;=683@CYV41043!!!!!!BIHO@]v41043!!!!@7G01C71102E29E17G3S0,18yyyy!It`vdh!Bnoushctuhno!Udlqm`ud/enb!!!!!!!!!!!!!!!!!!!!!!!!!!!!!!!!!!!!!!!!!!!!!!!!!!!!!!!!!!!!!!!!!!!!!!!!!!!!!!!!!!!!!!!!!!!!!!!!!!!!!!!!!!!!!!!!!!!!!!!!!!!!!!!!!!!!!!!!!!!!!!!!!!!!!!!!!!!!!!!!!!!!!!!!!!!!!!!!!!!!!!!!!!!!!!!!!!!!!!!!!!!!!!!!!!!!!!!!!!!!!!!!!!!!!!!!!!!!!!!!!!!!!!!!!!!!!!!!!!!!!!!!!!!!!!!!!!!!!!!!!!!!!!!!!!!!!!!!!!!!!!!!!!!!!!!!!!!!!!!!!!!!!!!!!!!!!!!!!!!!!!!!!!!!!!!!!!!!!!!!!!!!!!!!!!!!!!!!!!!!!!!!!!!!!!!!!!!!!!!!!!!!!!!!!!!!!!!!!!!!!!!!!!!!!!!!!!!!!!!!!!!!!!!!!!!!!!!!!!!!!!!!!!!!!!!!!!!!!!!!!!!!!!!!!!!!!!!!!!!!!!!!!!!!!!!!!!!!!!!!!!!!!!!!!!!!!!!!!!!!!!!!!!!!!!!!!!!!!!!!!!!!!!!!!!!!!!!!!!!!!!!!!!!!!!!!!!!!!!!!!!!!!!!!!!!!!!!!!!!!!!!!!!!!!!!!!!!!!!!!!!!!!!!!!!!!!!!!!!!!!!!!!!!!!!!!!!!!!!!!!!!!!!!!!!!!!!!!!!!!!!!!!!!!!!!!!!!!!!!!!!!!!!!!!!!!!!!!!!!!!!!!!!!!!!!!!!!!!!!!!!!!!!!!!!!!!!!!!!!!!!!!!!!!!!!!!!!!!!!!!!!!!!!!!!!!!!!!!!!!!!!!!!!!!!!!!!!!!!!!!!!!!!!!!!!!!!!!!!!!!!!!!!!!!!!!!!!!!!!!!!!!!!!!!!!!!!!!!!!!!!!!!!!!!!!!!!!!!!!!!!!!!!!!!!!!!!!!!!!!!!!!!!!!!!!!!!!!!!!!!!!!!!!!!!!!!!!!!!!!!!!!!!!!!!!!!!!!!!!!!!!!!!!!!!!!!!!!!!!!!!!!!!!!!!!!!!!!!!!!!!!!!!!!!!!!!!!!!!!!!!!!!!!!!!!!!!!!!!!!!!!!!!!!!!!!!!!!!!!!!!!!!!!!!!!!!!!!!!!!!!!!!!!!!!!!!!!!!!!!!!!!!!!!!!!!!!!!!!!!!!!!!!!!!!!!!!!!!!!!!!!!!!!!!!!!!!!!!!!!!!!!!!!!!!!!!!!!!!!!!!!!!!!!!!!!!!!!!!!!!!!!!!!!!!!!!!!!!!!!!!!!!!!!!!!!!!!!!!!!!!!!!!!!!!!!!!!!!!!!!!!!!!!!!!!!!!!!!!!!!!!!!!!!!!!!!!!!!!!!!!!!!!!!!!!!!!!!!!!!!!!!!!!!!!!!!!!!!!!!!!!!!!!!!!!!!!!!!!!!!!!!!!!!!!!!!!!!!!!!!!!!!!!!!!!!!!!!!!!!!!!!!!!!!!!!!!!!!!!!!!!!!!!!!!!!!!!!!!!!!!!!!!!!!!!!!!!!!!!!!!!!!!!!!!!!!!!!!!!!!!!!!!!!!!!!!!!!!!!!!!!!!!!!!!!!!!!!!!!!!!!!!!!!!!!!!!!!!!!!!!!!!!!!!!!!!!!!!!!!!!!!!!!!!!!!!!!!!!!!!!!!!!!!!!!!!!!!!!!!!!!!!!!!!!!!!!!!!!!!!!!!!!!!!!!!!!!!!!!!!!!!!!!!!!!!!!!!!!!!!!!!!!!!!!!!!!!!!!!!!!!!!!!!!!!!!!!!!!!!!!!!!!!!!!!!!!!!!!!!!!!!!!!!!!!!!!!!!!!!!!!!!!!!!!!!!!!!!!!!!!!!!!!!!!!!!!!!!!!!!!!!!!!!!!!!!!!!!!!!!!!!!!!!!!!!!!!!!!!!!!!!!!!!!!!!!!!!!!!!!!!!!!!!!!!!!!!!!!!!!!!!!!!!!!!!!!!!!!!!!!!!!!!!!!!!!!!!!!!!!!!!!!!!!!!!!!!!!!!!!!!!!!!!!!!!!!!!!!!!!!!!!!!!!!!!!!!!!!!!!!!!!!!!!!!!!!!!!!!!!!!!!!!!!!!!!!!!!!!!!!!!!!!!!!!!!!!!!!!!!!!!!!!!!!!!!!!!!!!!!!!!!!!!!!!!!!!!!!!!!!!!!!!!!!!!!!!!!!!!!!!!!!!!!!!!!!!!!!!!!!!!!!!!!!!!!!!!!!!!!!!!!!!!!!!!!!!!!!!!!!!!!!!!!!!!!!!!!!!!!!!!!!!!!!!!!!!!!!!!!!!!!!!!!!!!!!!!!!!!!!!!!!!!!!!!!!!!!!!!!!!!!!!!!!!!!!!!!!!!!!!!!!!!!!!!!!!!!!!!!!!!!!!!!!!!!!!!!!!!!1!^"/>
                <wp:cNvGraphicFramePr/>
                <a:graphic xmlns:a="http://schemas.openxmlformats.org/drawingml/2006/main">
                  <a:graphicData uri="http://schemas.microsoft.com/office/word/2010/wordprocessingShape">
                    <wps:wsp>
                      <wps:cNvSpPr/>
                      <wps:spPr>
                        <a:xfrm>
                          <a:off x="0" y="0"/>
                          <a:ext cx="1440" cy="144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miter/>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rFonts w:asciiTheme="minorHAnsi" w:hAnsiTheme="minorHAnsi" w:cstheme="minorHAnsi"/>
          <w:b/>
          <w:kern w:val="2"/>
          <w:lang w:eastAsia="zh-CN"/>
        </w:rPr>
        <w:t>3GPP TSG RAN WG1 Meeting #100-e</w:t>
      </w:r>
      <w:r>
        <w:rPr>
          <w:rFonts w:asciiTheme="minorHAnsi" w:hAnsiTheme="minorHAnsi" w:cstheme="minorHAnsi"/>
          <w:b/>
          <w:kern w:val="2"/>
          <w:lang w:eastAsia="zh-CN"/>
        </w:rPr>
        <w:tab/>
        <w:t>R1-2000431</w:t>
      </w:r>
    </w:p>
    <w:p w14:paraId="23DA01E2" w14:textId="77777777" w:rsidR="00C7742F" w:rsidRDefault="00504FF3">
      <w:pPr>
        <w:jc w:val="left"/>
        <w:rPr>
          <w:rFonts w:asciiTheme="minorHAnsi" w:hAnsiTheme="minorHAnsi" w:cstheme="minorHAnsi"/>
          <w:b/>
          <w:kern w:val="2"/>
          <w:lang w:eastAsia="zh-CN"/>
        </w:rPr>
      </w:pPr>
      <w:r>
        <w:rPr>
          <w:rFonts w:asciiTheme="minorHAnsi" w:hAnsiTheme="minorHAnsi" w:cstheme="minorHAnsi"/>
          <w:b/>
          <w:kern w:val="2"/>
          <w:lang w:eastAsia="zh-CN"/>
        </w:rPr>
        <w:t>E-Meeting Feb 24 – Mar 6, 2020</w:t>
      </w:r>
    </w:p>
    <w:p w14:paraId="7D86F086" w14:textId="77777777" w:rsidR="00C7742F" w:rsidRDefault="00C7742F">
      <w:pPr>
        <w:pBdr>
          <w:top w:val="single" w:sz="4" w:space="1" w:color="000000"/>
        </w:pBdr>
        <w:spacing w:after="0"/>
        <w:jc w:val="left"/>
        <w:rPr>
          <w:rFonts w:asciiTheme="minorHAnsi" w:hAnsiTheme="minorHAnsi" w:cstheme="minorHAnsi"/>
          <w:b/>
          <w:kern w:val="2"/>
          <w:lang w:eastAsia="zh-CN"/>
        </w:rPr>
      </w:pPr>
    </w:p>
    <w:p w14:paraId="3CC64914" w14:textId="77777777" w:rsidR="00C7742F" w:rsidRDefault="00504FF3">
      <w:pPr>
        <w:spacing w:after="60"/>
        <w:ind w:left="1555" w:hanging="1555"/>
        <w:jc w:val="left"/>
        <w:rPr>
          <w:rFonts w:asciiTheme="minorHAnsi" w:hAnsiTheme="minorHAnsi" w:cstheme="minorHAnsi"/>
          <w:b/>
          <w:kern w:val="2"/>
          <w:lang w:eastAsia="zh-CN"/>
        </w:rPr>
      </w:pPr>
      <w:r>
        <w:rPr>
          <w:rFonts w:asciiTheme="minorHAnsi" w:hAnsiTheme="minorHAnsi" w:cstheme="minorHAnsi"/>
          <w:b/>
          <w:kern w:val="2"/>
          <w:lang w:eastAsia="zh-CN"/>
        </w:rPr>
        <w:t>Agenda Item:</w:t>
      </w:r>
      <w:r>
        <w:rPr>
          <w:rFonts w:asciiTheme="minorHAnsi" w:hAnsiTheme="minorHAnsi" w:cstheme="minorHAnsi"/>
          <w:b/>
          <w:kern w:val="2"/>
          <w:lang w:eastAsia="zh-CN"/>
        </w:rPr>
        <w:tab/>
        <w:t>7.2.4.5</w:t>
      </w:r>
    </w:p>
    <w:p w14:paraId="1DEE5C9C" w14:textId="77777777" w:rsidR="00C7742F" w:rsidRDefault="00504FF3">
      <w:pPr>
        <w:spacing w:after="60"/>
        <w:ind w:left="1555" w:hanging="1555"/>
        <w:jc w:val="left"/>
        <w:rPr>
          <w:rFonts w:asciiTheme="minorHAnsi" w:hAnsiTheme="minorHAnsi" w:cstheme="minorHAnsi"/>
          <w:b/>
          <w:kern w:val="2"/>
          <w:lang w:eastAsia="zh-CN"/>
        </w:rPr>
      </w:pPr>
      <w:r>
        <w:rPr>
          <w:rFonts w:asciiTheme="minorHAnsi" w:hAnsiTheme="minorHAnsi" w:cstheme="minorHAnsi"/>
          <w:b/>
          <w:kern w:val="2"/>
          <w:lang w:eastAsia="zh-CN"/>
        </w:rPr>
        <w:t>Source:</w:t>
      </w:r>
      <w:r>
        <w:rPr>
          <w:rFonts w:asciiTheme="minorHAnsi" w:hAnsiTheme="minorHAnsi" w:cstheme="minorHAnsi"/>
          <w:b/>
          <w:kern w:val="2"/>
          <w:lang w:eastAsia="zh-CN"/>
        </w:rPr>
        <w:tab/>
      </w:r>
      <w:r>
        <w:rPr>
          <w:rFonts w:asciiTheme="minorHAnsi" w:hAnsiTheme="minorHAnsi" w:cstheme="minorHAnsi"/>
          <w:b/>
        </w:rPr>
        <w:t>TCL Communication</w:t>
      </w:r>
    </w:p>
    <w:p w14:paraId="5C638611" w14:textId="77777777" w:rsidR="00C7742F" w:rsidRDefault="00504FF3">
      <w:pPr>
        <w:spacing w:after="60"/>
        <w:ind w:left="1555" w:hanging="1555"/>
        <w:jc w:val="left"/>
        <w:rPr>
          <w:rFonts w:asciiTheme="minorHAnsi" w:hAnsiTheme="minorHAnsi" w:cstheme="minorHAnsi"/>
          <w:b/>
          <w:kern w:val="2"/>
          <w:lang w:eastAsia="zh-CN"/>
        </w:rPr>
      </w:pPr>
      <w:r>
        <w:rPr>
          <w:rFonts w:asciiTheme="minorHAnsi" w:hAnsiTheme="minorHAnsi" w:cstheme="minorHAnsi"/>
          <w:b/>
          <w:kern w:val="2"/>
          <w:lang w:eastAsia="zh-CN"/>
        </w:rPr>
        <w:t>Title:</w:t>
      </w:r>
      <w:r>
        <w:rPr>
          <w:rFonts w:asciiTheme="minorHAnsi" w:hAnsiTheme="minorHAnsi" w:cstheme="minorHAnsi"/>
          <w:b/>
          <w:kern w:val="2"/>
          <w:lang w:eastAsia="zh-CN"/>
        </w:rPr>
        <w:tab/>
        <w:t>Physical Layer Procedures for Sidelink</w:t>
      </w:r>
    </w:p>
    <w:p w14:paraId="711B1942" w14:textId="77777777" w:rsidR="00C7742F" w:rsidRDefault="00504FF3">
      <w:pPr>
        <w:spacing w:after="60"/>
        <w:ind w:left="1555" w:hanging="1555"/>
        <w:jc w:val="left"/>
        <w:rPr>
          <w:rFonts w:asciiTheme="minorHAnsi" w:hAnsiTheme="minorHAnsi" w:cstheme="minorHAnsi"/>
          <w:b/>
          <w:kern w:val="2"/>
          <w:lang w:eastAsia="zh-CN"/>
        </w:rPr>
      </w:pPr>
      <w:r>
        <w:rPr>
          <w:rFonts w:asciiTheme="minorHAnsi" w:hAnsiTheme="minorHAnsi" w:cstheme="minorHAnsi"/>
          <w:b/>
          <w:kern w:val="2"/>
          <w:lang w:eastAsia="zh-CN"/>
        </w:rPr>
        <w:t>Document for:</w:t>
      </w:r>
      <w:r>
        <w:rPr>
          <w:rFonts w:asciiTheme="minorHAnsi" w:hAnsiTheme="minorHAnsi" w:cstheme="minorHAnsi"/>
          <w:b/>
          <w:kern w:val="2"/>
          <w:lang w:eastAsia="zh-CN"/>
        </w:rPr>
        <w:tab/>
        <w:t xml:space="preserve">Discussion and decision  </w:t>
      </w:r>
    </w:p>
    <w:p w14:paraId="37A4E613" w14:textId="77777777" w:rsidR="00C7742F" w:rsidRDefault="00C7742F">
      <w:pPr>
        <w:pBdr>
          <w:bottom w:val="single" w:sz="4" w:space="1" w:color="000000"/>
        </w:pBdr>
        <w:spacing w:after="0"/>
        <w:jc w:val="left"/>
        <w:rPr>
          <w:rFonts w:asciiTheme="minorHAnsi" w:hAnsiTheme="minorHAnsi" w:cstheme="minorHAnsi"/>
          <w:b/>
          <w:kern w:val="2"/>
          <w:lang w:eastAsia="zh-CN"/>
        </w:rPr>
      </w:pPr>
    </w:p>
    <w:p w14:paraId="4C1B2C5C" w14:textId="77777777" w:rsidR="00C7742F" w:rsidRDefault="00504FF3">
      <w:pPr>
        <w:pStyle w:val="Heading1"/>
        <w:numPr>
          <w:ilvl w:val="0"/>
          <w:numId w:val="3"/>
        </w:numPr>
        <w:rPr>
          <w:rFonts w:asciiTheme="minorHAnsi" w:hAnsiTheme="minorHAnsi" w:cstheme="minorHAnsi"/>
          <w:sz w:val="22"/>
          <w:szCs w:val="22"/>
        </w:rPr>
      </w:pPr>
      <w:bookmarkStart w:id="0" w:name="_Ref124589705"/>
      <w:bookmarkStart w:id="1" w:name="_Ref129681862"/>
      <w:r>
        <w:rPr>
          <w:rFonts w:asciiTheme="minorHAnsi" w:hAnsiTheme="minorHAnsi" w:cstheme="minorHAnsi"/>
          <w:sz w:val="22"/>
          <w:szCs w:val="22"/>
        </w:rPr>
        <w:t>In</w:t>
      </w:r>
      <w:bookmarkEnd w:id="0"/>
      <w:bookmarkEnd w:id="1"/>
      <w:r>
        <w:rPr>
          <w:rFonts w:asciiTheme="minorHAnsi" w:hAnsiTheme="minorHAnsi" w:cstheme="minorHAnsi"/>
          <w:sz w:val="22"/>
          <w:szCs w:val="22"/>
        </w:rPr>
        <w:t>troduction</w:t>
      </w:r>
    </w:p>
    <w:p w14:paraId="4981ADDF" w14:textId="77777777" w:rsidR="00C7742F" w:rsidRDefault="00504FF3">
      <w:pPr>
        <w:rPr>
          <w:rFonts w:asciiTheme="minorHAnsi" w:hAnsiTheme="minorHAnsi" w:cstheme="minorHAnsi"/>
        </w:rPr>
      </w:pPr>
      <w:r>
        <w:rPr>
          <w:rFonts w:asciiTheme="minorHAnsi" w:hAnsiTheme="minorHAnsi" w:cstheme="minorHAnsi"/>
        </w:rPr>
        <w:t xml:space="preserve">This document discusses </w:t>
      </w:r>
      <w:r>
        <w:rPr>
          <w:rFonts w:asciiTheme="minorHAnsi" w:hAnsiTheme="minorHAnsi" w:cstheme="minorHAnsi"/>
        </w:rPr>
        <w:t>various items in the agenda item of sidelink physical layer procedures.</w:t>
      </w:r>
    </w:p>
    <w:p w14:paraId="0EF825CC" w14:textId="77777777" w:rsidR="00C7742F" w:rsidRDefault="00504FF3">
      <w:pPr>
        <w:rPr>
          <w:rFonts w:asciiTheme="minorHAnsi" w:hAnsiTheme="minorHAnsi" w:cstheme="minorHAnsi"/>
        </w:rPr>
      </w:pPr>
      <w:r>
        <w:rPr>
          <w:rFonts w:asciiTheme="minorHAnsi" w:hAnsiTheme="minorHAnsi" w:cstheme="minorHAnsi"/>
        </w:rPr>
        <w:t>The important agreements from the previous 3GPP meeting are noted down in the relevant sub-items before presenting our views and proposals in those topics.</w:t>
      </w:r>
    </w:p>
    <w:p w14:paraId="60CEB828" w14:textId="77777777" w:rsidR="00C7742F" w:rsidRDefault="00504FF3">
      <w:pPr>
        <w:pStyle w:val="Heading1"/>
        <w:numPr>
          <w:ilvl w:val="0"/>
          <w:numId w:val="3"/>
        </w:numPr>
        <w:rPr>
          <w:rFonts w:asciiTheme="minorHAnsi" w:hAnsiTheme="minorHAnsi" w:cstheme="minorHAnsi"/>
          <w:sz w:val="22"/>
          <w:szCs w:val="22"/>
          <w:lang w:eastAsia="zh-CN"/>
        </w:rPr>
      </w:pPr>
      <w:r>
        <w:rPr>
          <w:rFonts w:asciiTheme="minorHAnsi" w:hAnsiTheme="minorHAnsi" w:cstheme="minorHAnsi"/>
          <w:sz w:val="22"/>
          <w:szCs w:val="22"/>
          <w:lang w:eastAsia="zh-CN"/>
        </w:rPr>
        <w:t>HARQ Groupcast Feedback Indi</w:t>
      </w:r>
      <w:r>
        <w:rPr>
          <w:rFonts w:asciiTheme="minorHAnsi" w:hAnsiTheme="minorHAnsi" w:cstheme="minorHAnsi"/>
          <w:sz w:val="22"/>
          <w:szCs w:val="22"/>
          <w:lang w:eastAsia="zh-CN"/>
        </w:rPr>
        <w:t>cation using 2</w:t>
      </w:r>
      <w:r>
        <w:rPr>
          <w:rFonts w:asciiTheme="minorHAnsi" w:hAnsiTheme="minorHAnsi" w:cstheme="minorHAnsi"/>
          <w:sz w:val="22"/>
          <w:szCs w:val="22"/>
          <w:vertAlign w:val="superscript"/>
          <w:lang w:eastAsia="zh-CN"/>
        </w:rPr>
        <w:t>nd</w:t>
      </w:r>
      <w:r>
        <w:rPr>
          <w:rFonts w:asciiTheme="minorHAnsi" w:hAnsiTheme="minorHAnsi" w:cstheme="minorHAnsi"/>
          <w:sz w:val="22"/>
          <w:szCs w:val="22"/>
          <w:lang w:eastAsia="zh-CN"/>
        </w:rPr>
        <w:t xml:space="preserve"> Stage SCI Format</w:t>
      </w:r>
    </w:p>
    <w:p w14:paraId="757BC772" w14:textId="77777777" w:rsidR="00C7742F" w:rsidRDefault="00504FF3">
      <w:pPr>
        <w:rPr>
          <w:rFonts w:asciiTheme="minorHAnsi" w:hAnsiTheme="minorHAnsi" w:cstheme="minorHAnsi"/>
          <w:bCs/>
          <w:lang w:eastAsia="zh-CN"/>
        </w:rPr>
      </w:pPr>
      <w:r>
        <w:rPr>
          <w:rFonts w:asciiTheme="minorHAnsi" w:hAnsiTheme="minorHAnsi" w:cstheme="minorHAnsi"/>
          <w:bCs/>
          <w:lang w:eastAsia="zh-CN"/>
        </w:rPr>
        <w:t>Following agreement shortlisted 2 options on how to indicate HARQ groupcast feedback options in 2nd stage SCI:</w:t>
      </w:r>
    </w:p>
    <w:p w14:paraId="289F565A" w14:textId="77777777" w:rsidR="00C7742F" w:rsidRDefault="00504FF3">
      <w:pPr>
        <w:rPr>
          <w:b/>
          <w:bCs/>
          <w:szCs w:val="20"/>
        </w:rPr>
      </w:pPr>
      <w:r>
        <w:rPr>
          <w:szCs w:val="20"/>
          <w:highlight w:val="green"/>
        </w:rPr>
        <w:t>Agreements R1#99</w:t>
      </w:r>
      <w:r>
        <w:rPr>
          <w:b/>
          <w:bCs/>
          <w:szCs w:val="20"/>
        </w:rPr>
        <w:t>:</w:t>
      </w:r>
    </w:p>
    <w:p w14:paraId="03C090F1" w14:textId="77777777" w:rsidR="00C7742F" w:rsidRDefault="00504FF3">
      <w:pPr>
        <w:pStyle w:val="ListParagraph"/>
        <w:numPr>
          <w:ilvl w:val="0"/>
          <w:numId w:val="6"/>
        </w:numPr>
        <w:snapToGrid/>
        <w:spacing w:after="180"/>
        <w:contextualSpacing/>
        <w:jc w:val="left"/>
        <w:textAlignment w:val="baseline"/>
      </w:pPr>
      <w:r>
        <w:t>2</w:t>
      </w:r>
      <w:r>
        <w:rPr>
          <w:vertAlign w:val="superscript"/>
        </w:rPr>
        <w:t>nd</w:t>
      </w:r>
      <w:r>
        <w:t xml:space="preserve"> stage SCI format for groupcast HARQ feedback option 1 and option 2. To down-select during the week:</w:t>
      </w:r>
    </w:p>
    <w:p w14:paraId="0D8523A7" w14:textId="77777777" w:rsidR="00C7742F" w:rsidRDefault="00504FF3">
      <w:pPr>
        <w:pStyle w:val="ListParagraph"/>
        <w:numPr>
          <w:ilvl w:val="1"/>
          <w:numId w:val="6"/>
        </w:numPr>
        <w:snapToGrid/>
        <w:spacing w:after="180"/>
        <w:contextualSpacing/>
        <w:jc w:val="left"/>
        <w:textAlignment w:val="baseline"/>
      </w:pPr>
      <w:r>
        <w:t>Option 1: The same 2</w:t>
      </w:r>
      <w:r>
        <w:rPr>
          <w:vertAlign w:val="superscript"/>
        </w:rPr>
        <w:t>nd</w:t>
      </w:r>
      <w:r>
        <w:t xml:space="preserve"> stage SCI format is used for groupcast HARQ feedback option 1 and option 2.</w:t>
      </w:r>
    </w:p>
    <w:p w14:paraId="47B576B0" w14:textId="77777777" w:rsidR="00C7742F" w:rsidRDefault="00504FF3">
      <w:pPr>
        <w:pStyle w:val="ListParagraph"/>
        <w:numPr>
          <w:ilvl w:val="2"/>
          <w:numId w:val="6"/>
        </w:numPr>
        <w:snapToGrid/>
        <w:spacing w:after="180"/>
        <w:contextualSpacing/>
        <w:jc w:val="left"/>
        <w:textAlignment w:val="baseline"/>
      </w:pPr>
      <w:r>
        <w:t xml:space="preserve">SCI indicator to indicate between groupcast Option 1 </w:t>
      </w:r>
      <w:r>
        <w:t>and groupcast Option 2 is in the 2nd-stage SCI.</w:t>
      </w:r>
    </w:p>
    <w:p w14:paraId="1797208C" w14:textId="77777777" w:rsidR="00C7742F" w:rsidRDefault="00504FF3">
      <w:pPr>
        <w:pStyle w:val="ListParagraph"/>
        <w:numPr>
          <w:ilvl w:val="1"/>
          <w:numId w:val="6"/>
        </w:numPr>
        <w:snapToGrid/>
        <w:spacing w:after="180"/>
        <w:contextualSpacing/>
        <w:jc w:val="left"/>
        <w:textAlignment w:val="baseline"/>
      </w:pPr>
      <w:r>
        <w:t>Option 2: Different 2</w:t>
      </w:r>
      <w:r>
        <w:rPr>
          <w:vertAlign w:val="superscript"/>
        </w:rPr>
        <w:t>nd</w:t>
      </w:r>
      <w:r>
        <w:t xml:space="preserve"> stage SCI formats are used in groupcast HARQ feedback option 1 and option 2.</w:t>
      </w:r>
    </w:p>
    <w:p w14:paraId="1BC84FD6" w14:textId="77777777" w:rsidR="00C7742F" w:rsidRDefault="00504FF3">
      <w:pPr>
        <w:pStyle w:val="ListParagraph"/>
        <w:numPr>
          <w:ilvl w:val="2"/>
          <w:numId w:val="6"/>
        </w:numPr>
        <w:snapToGrid/>
        <w:spacing w:after="180"/>
        <w:contextualSpacing/>
        <w:jc w:val="left"/>
        <w:textAlignment w:val="baseline"/>
      </w:pPr>
      <w:r>
        <w:t>1</w:t>
      </w:r>
      <w:r>
        <w:rPr>
          <w:vertAlign w:val="superscript"/>
        </w:rPr>
        <w:t>st</w:t>
      </w:r>
      <w:r>
        <w:t xml:space="preserve"> stage SCI indicates which format is used.</w:t>
      </w:r>
    </w:p>
    <w:p w14:paraId="6EAB8853" w14:textId="77777777" w:rsidR="00C7742F" w:rsidRDefault="00C7742F">
      <w:pPr>
        <w:rPr>
          <w:rFonts w:asciiTheme="minorHAnsi" w:hAnsiTheme="minorHAnsi" w:cstheme="minorHAnsi"/>
          <w:bCs/>
          <w:lang w:eastAsia="zh-CN"/>
        </w:rPr>
      </w:pPr>
    </w:p>
    <w:p w14:paraId="4599D236" w14:textId="77777777" w:rsidR="00C7742F" w:rsidRDefault="00504FF3">
      <w:pPr>
        <w:rPr>
          <w:rFonts w:asciiTheme="minorHAnsi" w:hAnsiTheme="minorHAnsi" w:cstheme="minorHAnsi"/>
          <w:bCs/>
          <w:lang w:eastAsia="zh-CN"/>
        </w:rPr>
      </w:pPr>
      <w:r>
        <w:rPr>
          <w:rFonts w:asciiTheme="minorHAnsi" w:hAnsiTheme="minorHAnsi" w:cstheme="minorHAnsi"/>
          <w:bCs/>
          <w:lang w:eastAsia="zh-CN"/>
        </w:rPr>
        <w:t>We believe that there should be different formats for 2</w:t>
      </w:r>
      <w:r>
        <w:rPr>
          <w:rFonts w:asciiTheme="minorHAnsi" w:hAnsiTheme="minorHAnsi" w:cstheme="minorHAnsi"/>
          <w:bCs/>
          <w:vertAlign w:val="superscript"/>
          <w:lang w:eastAsia="zh-CN"/>
        </w:rPr>
        <w:t>nd</w:t>
      </w:r>
      <w:r>
        <w:rPr>
          <w:rFonts w:asciiTheme="minorHAnsi" w:hAnsiTheme="minorHAnsi" w:cstheme="minorHAnsi"/>
          <w:bCs/>
          <w:lang w:eastAsia="zh-CN"/>
        </w:rPr>
        <w:t xml:space="preserve"> st</w:t>
      </w:r>
      <w:r>
        <w:rPr>
          <w:rFonts w:asciiTheme="minorHAnsi" w:hAnsiTheme="minorHAnsi" w:cstheme="minorHAnsi"/>
          <w:bCs/>
          <w:lang w:eastAsia="zh-CN"/>
        </w:rPr>
        <w:t>age SCI, and these formats are indicated in the 1</w:t>
      </w:r>
      <w:r>
        <w:rPr>
          <w:rFonts w:asciiTheme="minorHAnsi" w:hAnsiTheme="minorHAnsi" w:cstheme="minorHAnsi"/>
          <w:bCs/>
          <w:vertAlign w:val="superscript"/>
          <w:lang w:eastAsia="zh-CN"/>
        </w:rPr>
        <w:t>st</w:t>
      </w:r>
      <w:r>
        <w:rPr>
          <w:rFonts w:asciiTheme="minorHAnsi" w:hAnsiTheme="minorHAnsi" w:cstheme="minorHAnsi"/>
          <w:bCs/>
          <w:lang w:eastAsia="zh-CN"/>
        </w:rPr>
        <w:t xml:space="preserve"> stage SCI. Thus, the solution mentioned in Option 2 is more elegant compared to Option 1. In addition to handling the case of Groupcast feedback option 1 and option 2, this has additional advantage of for</w:t>
      </w:r>
      <w:r>
        <w:rPr>
          <w:rFonts w:asciiTheme="minorHAnsi" w:hAnsiTheme="minorHAnsi" w:cstheme="minorHAnsi"/>
          <w:bCs/>
          <w:lang w:eastAsia="zh-CN"/>
        </w:rPr>
        <w:t>ward compatibility and may be useful in many different situations where different bitfields may be required in 2</w:t>
      </w:r>
      <w:r>
        <w:rPr>
          <w:rFonts w:asciiTheme="minorHAnsi" w:hAnsiTheme="minorHAnsi" w:cstheme="minorHAnsi"/>
          <w:bCs/>
          <w:vertAlign w:val="superscript"/>
          <w:lang w:eastAsia="zh-CN"/>
        </w:rPr>
        <w:t>nd</w:t>
      </w:r>
      <w:r>
        <w:rPr>
          <w:rFonts w:asciiTheme="minorHAnsi" w:hAnsiTheme="minorHAnsi" w:cstheme="minorHAnsi"/>
          <w:bCs/>
          <w:lang w:eastAsia="zh-CN"/>
        </w:rPr>
        <w:t xml:space="preserve"> stage SCI.</w:t>
      </w:r>
    </w:p>
    <w:p w14:paraId="39223769" w14:textId="77777777" w:rsidR="00C7742F" w:rsidRDefault="00504FF3">
      <w:pPr>
        <w:jc w:val="left"/>
        <w:rPr>
          <w:rFonts w:asciiTheme="minorHAnsi" w:hAnsiTheme="minorHAnsi" w:cstheme="minorHAnsi"/>
          <w:bCs/>
          <w:lang w:eastAsia="zh-CN"/>
        </w:rPr>
      </w:pPr>
      <w:r>
        <w:rPr>
          <w:rFonts w:asciiTheme="minorHAnsi" w:hAnsiTheme="minorHAnsi" w:cstheme="minorHAnsi"/>
          <w:b/>
          <w:u w:val="single"/>
          <w:lang w:eastAsia="zh-CN"/>
        </w:rPr>
        <w:t>Proposal 1:</w:t>
      </w:r>
      <w:r>
        <w:rPr>
          <w:rFonts w:asciiTheme="minorHAnsi" w:hAnsiTheme="minorHAnsi" w:cstheme="minorHAnsi"/>
          <w:bCs/>
          <w:lang w:eastAsia="zh-CN"/>
        </w:rPr>
        <w:br/>
        <w:t>Support Option 2 in the above agreement.</w:t>
      </w:r>
      <w:bookmarkStart w:id="2" w:name="_Hlk32501833"/>
      <w:bookmarkEnd w:id="2"/>
    </w:p>
    <w:p w14:paraId="70B49028" w14:textId="77777777" w:rsidR="00C7742F" w:rsidRDefault="00C7742F">
      <w:pPr>
        <w:rPr>
          <w:rFonts w:asciiTheme="minorHAnsi" w:hAnsiTheme="minorHAnsi" w:cstheme="minorHAnsi"/>
          <w:bCs/>
          <w:lang w:eastAsia="zh-CN"/>
        </w:rPr>
      </w:pPr>
    </w:p>
    <w:p w14:paraId="5A0B46A4" w14:textId="77777777" w:rsidR="00C7742F" w:rsidRDefault="00504FF3">
      <w:pPr>
        <w:rPr>
          <w:rFonts w:asciiTheme="minorHAnsi" w:hAnsiTheme="minorHAnsi" w:cstheme="minorHAnsi"/>
          <w:bCs/>
          <w:lang w:eastAsia="zh-CN"/>
        </w:rPr>
      </w:pPr>
      <w:r>
        <w:rPr>
          <w:rFonts w:asciiTheme="minorHAnsi" w:hAnsiTheme="minorHAnsi" w:cstheme="minorHAnsi"/>
          <w:bCs/>
          <w:lang w:eastAsia="zh-CN"/>
        </w:rPr>
        <w:t>It has been agreed that at least an SCI in Mode 2 can indicate up to 3 resou</w:t>
      </w:r>
      <w:r>
        <w:rPr>
          <w:rFonts w:asciiTheme="minorHAnsi" w:hAnsiTheme="minorHAnsi" w:cstheme="minorHAnsi"/>
          <w:bCs/>
          <w:lang w:eastAsia="zh-CN"/>
        </w:rPr>
        <w:t>rces, one current resource and two reservations in future. Each 2</w:t>
      </w:r>
      <w:r>
        <w:rPr>
          <w:rFonts w:asciiTheme="minorHAnsi" w:hAnsiTheme="minorHAnsi" w:cstheme="minorHAnsi"/>
          <w:bCs/>
          <w:vertAlign w:val="superscript"/>
          <w:lang w:eastAsia="zh-CN"/>
        </w:rPr>
        <w:t>nd</w:t>
      </w:r>
      <w:r>
        <w:rPr>
          <w:rFonts w:asciiTheme="minorHAnsi" w:hAnsiTheme="minorHAnsi" w:cstheme="minorHAnsi"/>
          <w:bCs/>
          <w:lang w:eastAsia="zh-CN"/>
        </w:rPr>
        <w:t xml:space="preserve"> stage SCI in the first transmission and subsequent transmissions (reserved earlier) will have the same source ID and destination ID. As the source ID and the destination ID are at least kn</w:t>
      </w:r>
      <w:r>
        <w:rPr>
          <w:rFonts w:asciiTheme="minorHAnsi" w:hAnsiTheme="minorHAnsi" w:cstheme="minorHAnsi"/>
          <w:bCs/>
          <w:lang w:eastAsia="zh-CN"/>
        </w:rPr>
        <w:t>own to the destination, in case of HARQ enabled SL transmissions, they can be removed from the transmissions which were reserved in the prior transmissions, thus reducing the SCI overhead without impacting the sensing operation of neighboring SL devices. T</w:t>
      </w:r>
      <w:r>
        <w:rPr>
          <w:rFonts w:asciiTheme="minorHAnsi" w:hAnsiTheme="minorHAnsi" w:cstheme="minorHAnsi"/>
          <w:bCs/>
          <w:lang w:eastAsia="zh-CN"/>
        </w:rPr>
        <w:t>his significant advantage can be easily obtained by having a 2</w:t>
      </w:r>
      <w:r>
        <w:rPr>
          <w:rFonts w:asciiTheme="minorHAnsi" w:hAnsiTheme="minorHAnsi" w:cstheme="minorHAnsi"/>
          <w:bCs/>
          <w:vertAlign w:val="superscript"/>
          <w:lang w:eastAsia="zh-CN"/>
        </w:rPr>
        <w:t>nd</w:t>
      </w:r>
      <w:r>
        <w:rPr>
          <w:rFonts w:asciiTheme="minorHAnsi" w:hAnsiTheme="minorHAnsi" w:cstheme="minorHAnsi"/>
          <w:bCs/>
          <w:lang w:eastAsia="zh-CN"/>
        </w:rPr>
        <w:t xml:space="preserve"> stage SCI format without the source and destination IDs.</w:t>
      </w:r>
    </w:p>
    <w:p w14:paraId="7DA1E202" w14:textId="77777777" w:rsidR="00C7742F" w:rsidRDefault="00504FF3">
      <w:pPr>
        <w:rPr>
          <w:rFonts w:eastAsia="Times New Roman" w:cstheme="minorHAnsi"/>
          <w:b/>
          <w:bCs/>
          <w:u w:val="single"/>
        </w:rPr>
      </w:pPr>
      <w:r>
        <w:rPr>
          <w:rFonts w:eastAsia="Times New Roman" w:cstheme="minorHAnsi"/>
          <w:b/>
          <w:bCs/>
          <w:u w:val="single"/>
        </w:rPr>
        <w:t>Proposal 2:</w:t>
      </w:r>
    </w:p>
    <w:p w14:paraId="46685E2A" w14:textId="77777777" w:rsidR="00C7742F" w:rsidRDefault="00504FF3">
      <w:pPr>
        <w:rPr>
          <w:rFonts w:asciiTheme="minorHAnsi" w:hAnsiTheme="minorHAnsi" w:cstheme="minorHAnsi"/>
          <w:bCs/>
          <w:lang w:eastAsia="zh-CN"/>
        </w:rPr>
      </w:pPr>
      <w:r>
        <w:rPr>
          <w:rFonts w:asciiTheme="minorHAnsi" w:hAnsiTheme="minorHAnsi" w:cstheme="minorHAnsi"/>
          <w:bCs/>
          <w:lang w:eastAsia="zh-CN"/>
        </w:rPr>
        <w:lastRenderedPageBreak/>
        <w:t>When the sidelink control information associated to a sidelink transmission carries the indication of resource reservation</w:t>
      </w:r>
      <w:r>
        <w:rPr>
          <w:rFonts w:asciiTheme="minorHAnsi" w:hAnsiTheme="minorHAnsi" w:cstheme="minorHAnsi"/>
          <w:bCs/>
          <w:lang w:eastAsia="zh-CN"/>
        </w:rPr>
        <w:t xml:space="preserve"> for a future transmission, the source ID and the destination ID in the 2nd stage SCI of prior reserved transmission are not transmitted.</w:t>
      </w:r>
      <w:r>
        <w:rPr>
          <w:rFonts w:asciiTheme="minorHAnsi" w:hAnsiTheme="minorHAnsi" w:cstheme="minorHAnsi"/>
          <w:bCs/>
          <w:lang w:eastAsia="zh-CN"/>
        </w:rPr>
        <w:t xml:space="preserve"> </w:t>
      </w:r>
      <w:bookmarkStart w:id="3" w:name="_Hlk32501842"/>
      <w:bookmarkEnd w:id="3"/>
    </w:p>
    <w:p w14:paraId="2CF1396A" w14:textId="77777777" w:rsidR="00C7742F" w:rsidRDefault="00C7742F">
      <w:pPr>
        <w:rPr>
          <w:rFonts w:asciiTheme="minorHAnsi" w:hAnsiTheme="minorHAnsi" w:cstheme="minorHAnsi"/>
          <w:bCs/>
          <w:lang w:eastAsia="zh-CN"/>
        </w:rPr>
      </w:pPr>
    </w:p>
    <w:p w14:paraId="3D346E46" w14:textId="77777777" w:rsidR="00C7742F" w:rsidRDefault="00504FF3">
      <w:pPr>
        <w:pStyle w:val="Heading1"/>
        <w:numPr>
          <w:ilvl w:val="0"/>
          <w:numId w:val="3"/>
        </w:numPr>
        <w:rPr>
          <w:rFonts w:asciiTheme="minorHAnsi" w:hAnsiTheme="minorHAnsi" w:cstheme="minorHAnsi"/>
          <w:sz w:val="22"/>
          <w:szCs w:val="22"/>
          <w:lang w:eastAsia="zh-CN"/>
        </w:rPr>
      </w:pPr>
      <w:bookmarkStart w:id="4" w:name="_Hlk16684087"/>
      <w:bookmarkStart w:id="5" w:name="_Hlk16684033"/>
      <w:bookmarkEnd w:id="4"/>
      <w:bookmarkEnd w:id="5"/>
      <w:r>
        <w:rPr>
          <w:rFonts w:asciiTheme="minorHAnsi" w:hAnsiTheme="minorHAnsi" w:cstheme="minorHAnsi"/>
          <w:sz w:val="22"/>
          <w:szCs w:val="22"/>
          <w:lang w:eastAsia="zh-CN"/>
        </w:rPr>
        <w:t>Codeblock Group based HARQ Feedback</w:t>
      </w:r>
    </w:p>
    <w:p w14:paraId="1F775A4F" w14:textId="77777777" w:rsidR="00C7742F" w:rsidRDefault="00504FF3">
      <w:pPr>
        <w:rPr>
          <w:rFonts w:asciiTheme="minorHAnsi" w:hAnsiTheme="minorHAnsi" w:cstheme="minorHAnsi"/>
        </w:rPr>
      </w:pPr>
      <w:r>
        <w:rPr>
          <w:rFonts w:asciiTheme="minorHAnsi" w:hAnsiTheme="minorHAnsi" w:cstheme="minorHAnsi"/>
        </w:rPr>
        <w:t>Following issue was noted in the feature lead summary in R1#99 (R1-1913572):</w:t>
      </w:r>
    </w:p>
    <w:p w14:paraId="40D04B3C" w14:textId="77777777" w:rsidR="00C7742F" w:rsidRDefault="00504FF3">
      <w:pPr>
        <w:pStyle w:val="LGTdoc"/>
        <w:numPr>
          <w:ilvl w:val="0"/>
          <w:numId w:val="4"/>
        </w:numPr>
        <w:spacing w:beforeAutospacing="1" w:after="60"/>
        <w:rPr>
          <w:rFonts w:asciiTheme="minorHAnsi" w:hAnsiTheme="minorHAnsi" w:cstheme="minorHAnsi"/>
          <w:szCs w:val="22"/>
          <w:lang w:val="en-US" w:eastAsia="ko-KR"/>
        </w:rPr>
      </w:pPr>
      <w:r>
        <w:rPr>
          <w:rFonts w:asciiTheme="minorHAnsi" w:hAnsiTheme="minorHAnsi" w:cstheme="minorHAnsi"/>
          <w:b/>
          <w:szCs w:val="22"/>
          <w:u w:val="single"/>
          <w:lang w:val="en-US" w:eastAsia="ko-KR"/>
        </w:rPr>
        <w:t>Issue:</w:t>
      </w:r>
      <w:r>
        <w:rPr>
          <w:rFonts w:asciiTheme="minorHAnsi" w:hAnsiTheme="minorHAnsi" w:cstheme="minorHAnsi"/>
          <w:szCs w:val="22"/>
          <w:lang w:val="en-US" w:eastAsia="ko-KR"/>
        </w:rPr>
        <w:t xml:space="preserve"> Whether to support SL HARQ feedback per CBG? </w:t>
      </w:r>
    </w:p>
    <w:p w14:paraId="11E32207" w14:textId="77777777" w:rsidR="00C7742F" w:rsidRDefault="00C7742F">
      <w:pPr>
        <w:rPr>
          <w:rFonts w:asciiTheme="minorHAnsi" w:hAnsiTheme="minorHAnsi" w:cstheme="minorHAnsi"/>
        </w:rPr>
      </w:pPr>
    </w:p>
    <w:p w14:paraId="519D293A" w14:textId="77777777" w:rsidR="00C7742F" w:rsidRDefault="00504FF3">
      <w:pPr>
        <w:rPr>
          <w:rFonts w:asciiTheme="minorHAnsi" w:hAnsiTheme="minorHAnsi" w:cstheme="minorHAnsi"/>
        </w:rPr>
      </w:pPr>
      <w:r>
        <w:rPr>
          <w:rFonts w:asciiTheme="minorHAnsi" w:hAnsiTheme="minorHAnsi" w:cstheme="minorHAnsi"/>
        </w:rPr>
        <w:t>CBG based HARQ operation was adopted in NR Rel-15. It allows the receivers to be configured for CBG based HARQ feedback, and then enables re-transmission possibilities only for erroneous CBGs rather tha</w:t>
      </w:r>
      <w:r>
        <w:rPr>
          <w:rFonts w:asciiTheme="minorHAnsi" w:hAnsiTheme="minorHAnsi" w:cstheme="minorHAnsi"/>
        </w:rPr>
        <w:t>n the classical TB based re-transmissions. Thus, CBG based operation can be very useful for large TB sizes. It is important to note that the vehicular environment can be much more dynamic than the cellular environment, due to mobility of both Tx and Rx. Th</w:t>
      </w:r>
      <w:r>
        <w:rPr>
          <w:rFonts w:asciiTheme="minorHAnsi" w:hAnsiTheme="minorHAnsi" w:cstheme="minorHAnsi"/>
        </w:rPr>
        <w:t>us, the probability that partial code block groups are not decoded is higher in sidelink compared to traditional cellular communication involving gNB on one end of the transmission. The number of feedback bits increase for the CBG based feedback. To have a</w:t>
      </w:r>
      <w:r>
        <w:rPr>
          <w:rFonts w:asciiTheme="minorHAnsi" w:hAnsiTheme="minorHAnsi" w:cstheme="minorHAnsi"/>
        </w:rPr>
        <w:t xml:space="preserve"> uniform framework for TB or CBG based feedback, the implicit resource assignment framework of TB based feedback can be reused for CBG based feedback. Additional phase shifts, sequences or resources can be used to transmit multi-bit CBG based feedback.</w:t>
      </w:r>
    </w:p>
    <w:p w14:paraId="1543893D" w14:textId="77777777" w:rsidR="00C7742F" w:rsidRDefault="00504FF3">
      <w:pPr>
        <w:rPr>
          <w:rFonts w:asciiTheme="minorHAnsi" w:hAnsiTheme="minorHAnsi" w:cstheme="minorHAnsi"/>
          <w:b/>
          <w:u w:val="single"/>
        </w:rPr>
      </w:pPr>
      <w:r>
        <w:rPr>
          <w:rFonts w:asciiTheme="minorHAnsi" w:hAnsiTheme="minorHAnsi" w:cstheme="minorHAnsi"/>
          <w:b/>
          <w:u w:val="single"/>
        </w:rPr>
        <w:t>Pro</w:t>
      </w:r>
      <w:r>
        <w:rPr>
          <w:rFonts w:asciiTheme="minorHAnsi" w:hAnsiTheme="minorHAnsi" w:cstheme="minorHAnsi"/>
          <w:b/>
          <w:u w:val="single"/>
        </w:rPr>
        <w:t>posal 3:</w:t>
      </w:r>
    </w:p>
    <w:p w14:paraId="5AF4A39A" w14:textId="77777777" w:rsidR="00C7742F" w:rsidRDefault="00504FF3">
      <w:pPr>
        <w:rPr>
          <w:rFonts w:asciiTheme="minorHAnsi" w:hAnsiTheme="minorHAnsi" w:cstheme="minorHAnsi"/>
        </w:rPr>
      </w:pPr>
      <w:r>
        <w:rPr>
          <w:rFonts w:asciiTheme="minorHAnsi" w:hAnsiTheme="minorHAnsi" w:cstheme="minorHAnsi"/>
        </w:rPr>
        <w:t>For sidelink unicast transmissions with HARQ feedback, support CBG based feedback and re-transmissions.</w:t>
      </w:r>
      <w:bookmarkStart w:id="6" w:name="_Hlk21096326"/>
      <w:bookmarkStart w:id="7" w:name="_Hlk5009444"/>
      <w:bookmarkEnd w:id="6"/>
      <w:bookmarkEnd w:id="7"/>
    </w:p>
    <w:p w14:paraId="76353EDB" w14:textId="77777777" w:rsidR="00C7742F" w:rsidRDefault="00C7742F">
      <w:pPr>
        <w:rPr>
          <w:rFonts w:asciiTheme="minorHAnsi" w:hAnsiTheme="minorHAnsi" w:cstheme="minorHAnsi"/>
        </w:rPr>
      </w:pPr>
    </w:p>
    <w:p w14:paraId="73B957AF" w14:textId="77777777" w:rsidR="00C7742F" w:rsidRDefault="00504FF3">
      <w:pPr>
        <w:rPr>
          <w:rFonts w:asciiTheme="minorHAnsi" w:hAnsiTheme="minorHAnsi" w:cstheme="minorHAnsi"/>
        </w:rPr>
      </w:pPr>
      <w:r>
        <w:rPr>
          <w:rFonts w:asciiTheme="minorHAnsi" w:hAnsiTheme="minorHAnsi" w:cstheme="minorHAnsi"/>
        </w:rPr>
        <w:t>For the case of groupcast communication, when the same data is destined to multiple users, it has been agreed that the HARQ feedback can be co</w:t>
      </w:r>
      <w:r>
        <w:rPr>
          <w:rFonts w:asciiTheme="minorHAnsi" w:hAnsiTheme="minorHAnsi" w:cstheme="minorHAnsi"/>
        </w:rPr>
        <w:t>nfigured. Contrary to the unicast communication, where CBG based feedback and re-transmission can be very useful, the advantages of CBG based feedback and re-transmissions are not very clear for groupcast communication. First of all, CBG based feedback wou</w:t>
      </w:r>
      <w:r>
        <w:rPr>
          <w:rFonts w:asciiTheme="minorHAnsi" w:hAnsiTheme="minorHAnsi" w:cstheme="minorHAnsi"/>
        </w:rPr>
        <w:t>ld incur heavy a feedback overhead which can be difficult to accommodate in groupcast. It further makes a NACK-only scheme impossible to implement and more complicated schemes need to be designed. Secondly, in terms of re-transmission, it would bring gains</w:t>
      </w:r>
      <w:r>
        <w:rPr>
          <w:rFonts w:asciiTheme="minorHAnsi" w:hAnsiTheme="minorHAnsi" w:cstheme="minorHAnsi"/>
        </w:rPr>
        <w:t xml:space="preserve"> only if in case of multiple users having partial TB failures, the same CBGs fails in these users. This is certainly possible but given the independent channel realizations and the extremely dynamic nature of the vehicular environment, such events have ver</w:t>
      </w:r>
      <w:r>
        <w:rPr>
          <w:rFonts w:asciiTheme="minorHAnsi" w:hAnsiTheme="minorHAnsi" w:cstheme="minorHAnsi"/>
        </w:rPr>
        <w:t>y low probability of occurrence. This motivates us to support only TB based HARQ feedback and re-transmissions for groupcast transmission.</w:t>
      </w:r>
    </w:p>
    <w:p w14:paraId="2865C5CB" w14:textId="77777777" w:rsidR="00C7742F" w:rsidRDefault="00504FF3">
      <w:pPr>
        <w:rPr>
          <w:rFonts w:asciiTheme="minorHAnsi" w:hAnsiTheme="minorHAnsi" w:cstheme="minorHAnsi"/>
          <w:b/>
          <w:u w:val="single"/>
        </w:rPr>
      </w:pPr>
      <w:r>
        <w:rPr>
          <w:rFonts w:asciiTheme="minorHAnsi" w:hAnsiTheme="minorHAnsi" w:cstheme="minorHAnsi"/>
          <w:b/>
          <w:u w:val="single"/>
        </w:rPr>
        <w:t>Proposal 4:</w:t>
      </w:r>
    </w:p>
    <w:p w14:paraId="6361C1E7" w14:textId="77777777" w:rsidR="00C7742F" w:rsidRDefault="00504FF3">
      <w:pPr>
        <w:rPr>
          <w:rFonts w:asciiTheme="minorHAnsi" w:hAnsiTheme="minorHAnsi" w:cstheme="minorHAnsi"/>
        </w:rPr>
      </w:pPr>
      <w:r>
        <w:rPr>
          <w:rFonts w:asciiTheme="minorHAnsi" w:hAnsiTheme="minorHAnsi" w:cstheme="minorHAnsi"/>
        </w:rPr>
        <w:t>For sidelink groupcast transmissions with HARQ feedback, only transport block-based feedback and re-trans</w:t>
      </w:r>
      <w:r>
        <w:rPr>
          <w:rFonts w:asciiTheme="minorHAnsi" w:hAnsiTheme="minorHAnsi" w:cstheme="minorHAnsi"/>
        </w:rPr>
        <w:t xml:space="preserve">missions are supported. </w:t>
      </w:r>
      <w:bookmarkStart w:id="8" w:name="_Hlk32501862"/>
      <w:bookmarkStart w:id="9" w:name="_Hlk23948885"/>
      <w:bookmarkStart w:id="10" w:name="_Hlk5009485"/>
      <w:bookmarkEnd w:id="8"/>
      <w:bookmarkEnd w:id="9"/>
      <w:bookmarkEnd w:id="10"/>
    </w:p>
    <w:p w14:paraId="3858ADDC" w14:textId="77777777" w:rsidR="00C7742F" w:rsidRDefault="00C7742F">
      <w:bookmarkStart w:id="11" w:name="_Hlk21096335"/>
      <w:bookmarkEnd w:id="11"/>
    </w:p>
    <w:p w14:paraId="3D129CD3" w14:textId="77777777" w:rsidR="00C7742F" w:rsidRDefault="00504FF3">
      <w:pPr>
        <w:pStyle w:val="Heading1"/>
        <w:numPr>
          <w:ilvl w:val="0"/>
          <w:numId w:val="3"/>
        </w:numPr>
        <w:rPr>
          <w:rFonts w:asciiTheme="minorHAnsi" w:hAnsiTheme="minorHAnsi" w:cstheme="minorHAnsi"/>
          <w:sz w:val="22"/>
          <w:szCs w:val="22"/>
          <w:lang w:eastAsia="zh-CN"/>
        </w:rPr>
      </w:pPr>
      <w:r>
        <w:rPr>
          <w:rFonts w:asciiTheme="minorHAnsi" w:hAnsiTheme="minorHAnsi" w:cstheme="minorHAnsi"/>
          <w:sz w:val="22"/>
          <w:szCs w:val="22"/>
          <w:lang w:eastAsia="zh-CN"/>
        </w:rPr>
        <w:t>Sidelink Feedback Resource Determination</w:t>
      </w:r>
    </w:p>
    <w:p w14:paraId="0E172492" w14:textId="77777777" w:rsidR="00C7742F" w:rsidRDefault="00504FF3">
      <w:pPr>
        <w:rPr>
          <w:b/>
          <w:bCs/>
          <w:szCs w:val="20"/>
          <w:highlight w:val="darkYellow"/>
        </w:rPr>
      </w:pPr>
      <w:r>
        <w:rPr>
          <w:b/>
          <w:bCs/>
          <w:szCs w:val="20"/>
          <w:highlight w:val="darkYellow"/>
        </w:rPr>
        <w:t>Working assumption R1#99:</w:t>
      </w:r>
    </w:p>
    <w:p w14:paraId="28E2A751" w14:textId="77777777" w:rsidR="00C7742F" w:rsidRDefault="00504FF3">
      <w:pPr>
        <w:pStyle w:val="ListParagraph"/>
        <w:numPr>
          <w:ilvl w:val="0"/>
          <w:numId w:val="6"/>
        </w:numPr>
        <w:snapToGrid/>
        <w:spacing w:after="180"/>
        <w:contextualSpacing/>
        <w:jc w:val="left"/>
        <w:textAlignment w:val="baseline"/>
        <w:rPr>
          <w:kern w:val="2"/>
          <w:lang w:eastAsia="ko-KR"/>
        </w:rPr>
      </w:pPr>
      <w:r>
        <w:rPr>
          <w:kern w:val="2"/>
          <w:lang w:eastAsia="ko-KR"/>
        </w:rPr>
        <w:t>For the PSFCH candidate resource set with Z PRBs and Y cyclic shift pairs in each PRB,</w:t>
      </w:r>
    </w:p>
    <w:p w14:paraId="1A39A3B2" w14:textId="77777777" w:rsidR="00C7742F" w:rsidRDefault="00504FF3">
      <w:pPr>
        <w:pStyle w:val="ListParagraph"/>
        <w:numPr>
          <w:ilvl w:val="1"/>
          <w:numId w:val="6"/>
        </w:numPr>
        <w:snapToGrid/>
        <w:spacing w:after="180"/>
        <w:contextualSpacing/>
        <w:jc w:val="left"/>
        <w:textAlignment w:val="baseline"/>
        <w:rPr>
          <w:kern w:val="2"/>
          <w:lang w:eastAsia="ko-KR"/>
        </w:rPr>
      </w:pPr>
      <w:r>
        <w:rPr>
          <w:kern w:val="2"/>
          <w:lang w:eastAsia="ko-KR"/>
        </w:rPr>
        <w:t xml:space="preserve">Each PSFCH resource is indexed in the manner of frequency first and </w:t>
      </w:r>
      <w:r>
        <w:rPr>
          <w:kern w:val="2"/>
          <w:lang w:eastAsia="ko-KR"/>
        </w:rPr>
        <w:t>cyclic shift second.</w:t>
      </w:r>
    </w:p>
    <w:p w14:paraId="3049B244" w14:textId="77777777" w:rsidR="00C7742F" w:rsidRDefault="00504FF3">
      <w:pPr>
        <w:pStyle w:val="ListParagraph"/>
        <w:numPr>
          <w:ilvl w:val="2"/>
          <w:numId w:val="6"/>
        </w:numPr>
        <w:snapToGrid/>
        <w:spacing w:after="180"/>
        <w:contextualSpacing/>
        <w:jc w:val="left"/>
        <w:textAlignment w:val="baseline"/>
        <w:rPr>
          <w:kern w:val="2"/>
          <w:lang w:eastAsia="ko-KR"/>
        </w:rPr>
      </w:pPr>
      <w:r>
        <w:rPr>
          <w:kern w:val="2"/>
          <w:lang w:eastAsia="ko-KR"/>
        </w:rPr>
        <w:t>FFS the order of cyclic shift indexing in a PRB.</w:t>
      </w:r>
    </w:p>
    <w:p w14:paraId="1648A2F0" w14:textId="77777777" w:rsidR="00C7742F" w:rsidRDefault="00504FF3">
      <w:pPr>
        <w:pStyle w:val="ListParagraph"/>
        <w:numPr>
          <w:ilvl w:val="1"/>
          <w:numId w:val="6"/>
        </w:numPr>
        <w:snapToGrid/>
        <w:spacing w:after="180"/>
        <w:contextualSpacing/>
        <w:jc w:val="left"/>
        <w:textAlignment w:val="baseline"/>
        <w:rPr>
          <w:kern w:val="2"/>
          <w:lang w:eastAsia="ko-KR"/>
        </w:rPr>
      </w:pPr>
      <w:r>
        <w:rPr>
          <w:kern w:val="2"/>
          <w:lang w:eastAsia="ko-KR"/>
        </w:rPr>
        <w:lastRenderedPageBreak/>
        <w:t>PSFCH resource with the index ((K+M) mod (Z*Y)) is used for PSFCH transmission of a RX UE.</w:t>
      </w:r>
    </w:p>
    <w:p w14:paraId="7B9F888E" w14:textId="77777777" w:rsidR="00C7742F" w:rsidRDefault="00504FF3">
      <w:pPr>
        <w:pStyle w:val="ListParagraph"/>
        <w:numPr>
          <w:ilvl w:val="2"/>
          <w:numId w:val="6"/>
        </w:numPr>
        <w:snapToGrid/>
        <w:spacing w:after="180"/>
        <w:contextualSpacing/>
        <w:jc w:val="left"/>
        <w:textAlignment w:val="baseline"/>
        <w:rPr>
          <w:kern w:val="2"/>
          <w:lang w:eastAsia="ko-KR"/>
        </w:rPr>
      </w:pPr>
      <w:r>
        <w:rPr>
          <w:kern w:val="2"/>
          <w:lang w:eastAsia="ko-KR"/>
        </w:rPr>
        <w:t>K is the L1 source ID of the associated PSCCH/PSSCH.</w:t>
      </w:r>
    </w:p>
    <w:p w14:paraId="3246B8B5" w14:textId="77777777" w:rsidR="00C7742F" w:rsidRDefault="00504FF3">
      <w:pPr>
        <w:pStyle w:val="ListParagraph"/>
        <w:numPr>
          <w:ilvl w:val="2"/>
          <w:numId w:val="6"/>
        </w:numPr>
        <w:snapToGrid/>
        <w:spacing w:after="180"/>
        <w:contextualSpacing/>
        <w:jc w:val="left"/>
        <w:textAlignment w:val="baseline"/>
        <w:rPr>
          <w:kern w:val="2"/>
          <w:lang w:eastAsia="ko-KR"/>
        </w:rPr>
      </w:pPr>
      <w:r>
        <w:rPr>
          <w:kern w:val="2"/>
          <w:lang w:eastAsia="ko-KR"/>
        </w:rPr>
        <w:t xml:space="preserve">M is 0 for unicast and groupcast feedback </w:t>
      </w:r>
      <w:r>
        <w:rPr>
          <w:kern w:val="2"/>
          <w:lang w:eastAsia="ko-KR"/>
        </w:rPr>
        <w:t>option 1 and M is the member ID of the RX UE for groupcast feedback option 2.</w:t>
      </w:r>
    </w:p>
    <w:p w14:paraId="5E28BAD0" w14:textId="77777777" w:rsidR="00C7742F" w:rsidRDefault="00504FF3">
      <w:pPr>
        <w:pStyle w:val="ListParagraph"/>
        <w:numPr>
          <w:ilvl w:val="1"/>
          <w:numId w:val="6"/>
        </w:numPr>
        <w:snapToGrid/>
        <w:spacing w:after="180"/>
        <w:contextualSpacing/>
        <w:jc w:val="left"/>
        <w:textAlignment w:val="baseline"/>
        <w:rPr>
          <w:kern w:val="2"/>
          <w:lang w:eastAsia="ko-KR"/>
        </w:rPr>
      </w:pPr>
      <w:r>
        <w:rPr>
          <w:kern w:val="2"/>
          <w:lang w:eastAsia="ko-KR"/>
        </w:rPr>
        <w:t xml:space="preserve">FFS whether to have the following restriction. </w:t>
      </w:r>
    </w:p>
    <w:p w14:paraId="5B93AD34" w14:textId="77777777" w:rsidR="00C7742F" w:rsidRDefault="00504FF3">
      <w:pPr>
        <w:pStyle w:val="ListParagraph"/>
        <w:numPr>
          <w:ilvl w:val="2"/>
          <w:numId w:val="6"/>
        </w:numPr>
        <w:snapToGrid/>
        <w:spacing w:after="180"/>
        <w:contextualSpacing/>
        <w:jc w:val="left"/>
        <w:textAlignment w:val="baseline"/>
        <w:rPr>
          <w:kern w:val="2"/>
          <w:lang w:eastAsia="ko-KR"/>
        </w:rPr>
      </w:pPr>
      <w:r>
        <w:rPr>
          <w:kern w:val="2"/>
          <w:lang w:eastAsia="ko-KR"/>
        </w:rPr>
        <w:t>Groupcast HARQ feedback option 2 is not used if X &gt; Z*Y (Y denotes the number of PSFCH in a PRB).</w:t>
      </w:r>
    </w:p>
    <w:p w14:paraId="4B689675" w14:textId="77777777" w:rsidR="00C7742F" w:rsidRDefault="00504FF3">
      <w:pPr>
        <w:pStyle w:val="ListParagraph"/>
        <w:numPr>
          <w:ilvl w:val="2"/>
          <w:numId w:val="6"/>
        </w:numPr>
        <w:snapToGrid/>
        <w:spacing w:after="180"/>
        <w:contextualSpacing/>
        <w:jc w:val="left"/>
        <w:textAlignment w:val="baseline"/>
        <w:rPr>
          <w:kern w:val="2"/>
          <w:lang w:eastAsia="ko-KR"/>
        </w:rPr>
      </w:pPr>
      <w:r>
        <w:rPr>
          <w:kern w:val="2"/>
          <w:lang w:eastAsia="ko-KR"/>
        </w:rPr>
        <w:t>Note: RAN1 assumes that the memb</w:t>
      </w:r>
      <w:r>
        <w:rPr>
          <w:kern w:val="2"/>
          <w:lang w:eastAsia="ko-KR"/>
        </w:rPr>
        <w:t>er ID M is an integer between 0 and X-1.</w:t>
      </w:r>
    </w:p>
    <w:p w14:paraId="0660D5EF" w14:textId="77777777" w:rsidR="00C7742F" w:rsidRDefault="00C7742F">
      <w:pPr>
        <w:snapToGrid/>
        <w:spacing w:after="180"/>
        <w:contextualSpacing/>
        <w:jc w:val="left"/>
        <w:textAlignment w:val="baseline"/>
        <w:rPr>
          <w:kern w:val="2"/>
          <w:lang w:eastAsia="ko-KR"/>
        </w:rPr>
      </w:pPr>
    </w:p>
    <w:p w14:paraId="4BFBD39E" w14:textId="77777777" w:rsidR="00C7742F" w:rsidRDefault="00C7742F">
      <w:pPr>
        <w:snapToGrid/>
        <w:spacing w:after="180"/>
        <w:contextualSpacing/>
        <w:jc w:val="left"/>
        <w:textAlignment w:val="baseline"/>
        <w:rPr>
          <w:kern w:val="2"/>
          <w:lang w:eastAsia="ko-KR"/>
        </w:rPr>
      </w:pPr>
    </w:p>
    <w:p w14:paraId="16F22B2B" w14:textId="77777777" w:rsidR="00C7742F" w:rsidRDefault="00504FF3">
      <w:pPr>
        <w:rPr>
          <w:rFonts w:asciiTheme="minorHAnsi" w:hAnsiTheme="minorHAnsi" w:cstheme="minorHAnsi"/>
        </w:rPr>
      </w:pPr>
      <w:r>
        <w:rPr>
          <w:rFonts w:asciiTheme="minorHAnsi" w:hAnsiTheme="minorHAnsi" w:cstheme="minorHAnsi"/>
        </w:rPr>
        <w:t>It remains to determine the initial cyclic shift m0 for every PSFCH candidate resource. From the working assumption, the PSFCH candidate resource index p = {0, 1, …, Z*Y-1} is determined as follows:</w:t>
      </w:r>
    </w:p>
    <w:p w14:paraId="636ED122" w14:textId="77777777" w:rsidR="00C7742F" w:rsidRDefault="00504FF3">
      <w:pPr>
        <w:ind w:left="2125" w:firstLine="425"/>
        <w:rPr>
          <w:rFonts w:asciiTheme="minorHAnsi" w:hAnsiTheme="minorHAnsi" w:cstheme="minorHAnsi"/>
        </w:rPr>
      </w:pPr>
      <w:r>
        <w:rPr>
          <w:rFonts w:asciiTheme="minorHAnsi" w:hAnsiTheme="minorHAnsi" w:cstheme="minorHAnsi"/>
        </w:rPr>
        <w:t xml:space="preserve">p = (K +M) mod (Z*Y) </w:t>
      </w:r>
    </w:p>
    <w:p w14:paraId="2D59EE41" w14:textId="77777777" w:rsidR="00C7742F" w:rsidRDefault="00504FF3">
      <w:pPr>
        <w:rPr>
          <w:rFonts w:asciiTheme="minorHAnsi" w:hAnsiTheme="minorHAnsi" w:cstheme="minorHAnsi"/>
        </w:rPr>
      </w:pPr>
      <w:r>
        <w:rPr>
          <w:rFonts w:asciiTheme="minorHAnsi" w:hAnsiTheme="minorHAnsi" w:cstheme="minorHAnsi"/>
        </w:rPr>
        <w:t xml:space="preserve">which corresponds to a PRB with logical index z = (p mod Z) and code index c = floor (p/Z). </w:t>
      </w:r>
    </w:p>
    <w:p w14:paraId="6E15F27A" w14:textId="77777777" w:rsidR="00C7742F" w:rsidRDefault="00504FF3">
      <w:pPr>
        <w:rPr>
          <w:rFonts w:asciiTheme="minorHAnsi" w:hAnsiTheme="minorHAnsi" w:cstheme="minorHAnsi"/>
        </w:rPr>
      </w:pPr>
      <w:r>
        <w:rPr>
          <w:rFonts w:asciiTheme="minorHAnsi" w:hAnsiTheme="minorHAnsi" w:cstheme="minorHAnsi"/>
        </w:rPr>
        <w:t xml:space="preserve">In groupcast option 2, members with ID M = 0, 1, …, X-1 will have consecutive PSFCH candidate resource indices. If Z is large enough and the </w:t>
      </w:r>
      <w:r>
        <w:rPr>
          <w:rFonts w:asciiTheme="minorHAnsi" w:hAnsiTheme="minorHAnsi" w:cstheme="minorHAnsi"/>
        </w:rPr>
        <w:t>PRBs in the PSFCH candidate resource set are adjacent, many group members will transmit the same PSFCH sequence if a fixed sequence of initial cyclic shifts per PRB is utilized. Transmission of the same sequence in adjacent PRBs should be avoided to mitiga</w:t>
      </w:r>
      <w:r>
        <w:rPr>
          <w:rFonts w:asciiTheme="minorHAnsi" w:hAnsiTheme="minorHAnsi" w:cstheme="minorHAnsi"/>
        </w:rPr>
        <w:t>te potential interference. Therefore, it is desirable that the PSFCH sequences depend on the PRB.</w:t>
      </w:r>
    </w:p>
    <w:p w14:paraId="5B041B5E" w14:textId="77777777" w:rsidR="00C7742F" w:rsidRDefault="00504FF3">
      <w:pPr>
        <w:rPr>
          <w:rFonts w:asciiTheme="minorHAnsi" w:hAnsiTheme="minorHAnsi" w:cstheme="minorHAnsi"/>
        </w:rPr>
      </w:pPr>
      <w:r>
        <w:rPr>
          <w:rFonts w:asciiTheme="minorHAnsi" w:hAnsiTheme="minorHAnsi" w:cstheme="minorHAnsi"/>
          <w:b/>
          <w:bCs/>
          <w:u w:val="single"/>
        </w:rPr>
        <w:t>Proposal 5:</w:t>
      </w:r>
      <w:r>
        <w:rPr>
          <w:rFonts w:asciiTheme="minorHAnsi" w:hAnsiTheme="minorHAnsi" w:cstheme="minorHAnsi"/>
        </w:rPr>
        <w:t xml:space="preserve"> </w:t>
      </w:r>
    </w:p>
    <w:p w14:paraId="479AD877" w14:textId="77777777" w:rsidR="00C7742F" w:rsidRDefault="00504FF3">
      <w:pPr>
        <w:rPr>
          <w:rFonts w:asciiTheme="minorHAnsi" w:hAnsiTheme="minorHAnsi" w:cstheme="minorHAnsi"/>
        </w:rPr>
      </w:pPr>
      <w:r>
        <w:rPr>
          <w:rFonts w:asciiTheme="minorHAnsi" w:hAnsiTheme="minorHAnsi" w:cstheme="minorHAnsi"/>
        </w:rPr>
        <w:t>At least for groupcast option 2, the order of (initial) cyclic shifts per PRB within the PSFCH candidate resource set depends on the (logical) PR</w:t>
      </w:r>
      <w:r>
        <w:rPr>
          <w:rFonts w:asciiTheme="minorHAnsi" w:hAnsiTheme="minorHAnsi" w:cstheme="minorHAnsi"/>
        </w:rPr>
        <w:t>B index.</w:t>
      </w:r>
      <w:bookmarkStart w:id="12" w:name="_Hlk32501873"/>
      <w:bookmarkEnd w:id="12"/>
    </w:p>
    <w:p w14:paraId="1A6F159D" w14:textId="77777777" w:rsidR="00C7742F" w:rsidRDefault="00C7742F">
      <w:pPr>
        <w:rPr>
          <w:rFonts w:asciiTheme="minorHAnsi" w:hAnsiTheme="minorHAnsi" w:cstheme="minorHAnsi"/>
        </w:rPr>
      </w:pPr>
    </w:p>
    <w:p w14:paraId="329CED58" w14:textId="77777777" w:rsidR="00C7742F" w:rsidRDefault="00504FF3">
      <w:pPr>
        <w:rPr>
          <w:rFonts w:asciiTheme="minorHAnsi" w:hAnsiTheme="minorHAnsi" w:cstheme="minorHAnsi"/>
        </w:rPr>
      </w:pPr>
      <w:r>
        <w:rPr>
          <w:rFonts w:asciiTheme="minorHAnsi" w:hAnsiTheme="minorHAnsi" w:cstheme="minorHAnsi"/>
        </w:rPr>
        <w:t xml:space="preserve">Furthermore, the group size X may vary and not all code-dimensions are necessarily being utilized. However, the code-dimension that are utilized should maximize the PSFCH detection performance. For instance, if Y = 3 and m0 = {0, 2, 4} but the </w:t>
      </w:r>
      <w:r>
        <w:rPr>
          <w:rFonts w:asciiTheme="minorHAnsi" w:hAnsiTheme="minorHAnsi" w:cstheme="minorHAnsi"/>
        </w:rPr>
        <w:t>group size is such that only two out of the three cyclic shift pairs are utilized, any of the pairs in m0 = {0, 2, 4} results in sub-optimal detection compared to e.g. m0 = {0, 3}. Therefore, the determination of the PSFCH candidate resources should take i</w:t>
      </w:r>
      <w:r>
        <w:rPr>
          <w:rFonts w:asciiTheme="minorHAnsi" w:hAnsiTheme="minorHAnsi" w:cstheme="minorHAnsi"/>
        </w:rPr>
        <w:t>nto account the group size.</w:t>
      </w:r>
    </w:p>
    <w:p w14:paraId="494A237B" w14:textId="77777777" w:rsidR="00C7742F" w:rsidRDefault="00504FF3">
      <w:pPr>
        <w:rPr>
          <w:rFonts w:asciiTheme="minorHAnsi" w:hAnsiTheme="minorHAnsi" w:cstheme="minorHAnsi"/>
        </w:rPr>
      </w:pPr>
      <w:r>
        <w:rPr>
          <w:rFonts w:asciiTheme="minorHAnsi" w:hAnsiTheme="minorHAnsi" w:cstheme="minorHAnsi"/>
          <w:b/>
          <w:bCs/>
          <w:u w:val="single"/>
        </w:rPr>
        <w:t>Proposal 6:</w:t>
      </w:r>
      <w:r>
        <w:rPr>
          <w:rFonts w:asciiTheme="minorHAnsi" w:hAnsiTheme="minorHAnsi" w:cstheme="minorHAnsi"/>
        </w:rPr>
        <w:t xml:space="preserve"> </w:t>
      </w:r>
    </w:p>
    <w:p w14:paraId="3C400FB5" w14:textId="77777777" w:rsidR="00C7742F" w:rsidRDefault="00504FF3">
      <w:pPr>
        <w:rPr>
          <w:rFonts w:asciiTheme="minorHAnsi" w:hAnsiTheme="minorHAnsi" w:cstheme="minorHAnsi"/>
        </w:rPr>
      </w:pPr>
      <w:r>
        <w:rPr>
          <w:rFonts w:asciiTheme="minorHAnsi" w:hAnsiTheme="minorHAnsi" w:cstheme="minorHAnsi"/>
        </w:rPr>
        <w:t>For groupcast option 2, the (initial) cyclic shifts within the PSFCH candidate resource set depend on the group size X.</w:t>
      </w:r>
      <w:bookmarkStart w:id="13" w:name="_Hlk32501889"/>
      <w:bookmarkEnd w:id="13"/>
    </w:p>
    <w:p w14:paraId="00A76D6C" w14:textId="77777777" w:rsidR="00C7742F" w:rsidRDefault="00C7742F">
      <w:pPr>
        <w:rPr>
          <w:rFonts w:asciiTheme="minorHAnsi" w:hAnsiTheme="minorHAnsi" w:cstheme="minorHAnsi"/>
        </w:rPr>
      </w:pPr>
    </w:p>
    <w:p w14:paraId="321D7378" w14:textId="77777777" w:rsidR="00C7742F" w:rsidRDefault="00504FF3">
      <w:pPr>
        <w:pStyle w:val="Heading1"/>
        <w:numPr>
          <w:ilvl w:val="0"/>
          <w:numId w:val="3"/>
        </w:numPr>
        <w:rPr>
          <w:rFonts w:asciiTheme="minorHAnsi" w:hAnsiTheme="minorHAnsi" w:cstheme="minorHAnsi"/>
          <w:sz w:val="22"/>
          <w:szCs w:val="22"/>
          <w:lang w:eastAsia="zh-CN"/>
        </w:rPr>
      </w:pPr>
      <w:r>
        <w:rPr>
          <w:rFonts w:asciiTheme="minorHAnsi" w:hAnsiTheme="minorHAnsi" w:cstheme="minorHAnsi"/>
          <w:sz w:val="22"/>
          <w:szCs w:val="22"/>
          <w:lang w:eastAsia="zh-CN"/>
        </w:rPr>
        <w:t>Sidelink Groupcast HARQ Feedback Option 2 for Large Group Sizes (</w:t>
      </w:r>
      <w:r>
        <w:rPr>
          <w:kern w:val="2"/>
          <w:lang w:eastAsia="ko-KR"/>
        </w:rPr>
        <w:t>X &gt; Z*Y</w:t>
      </w:r>
      <w:r>
        <w:rPr>
          <w:rFonts w:asciiTheme="minorHAnsi" w:hAnsiTheme="minorHAnsi" w:cstheme="minorHAnsi"/>
          <w:sz w:val="22"/>
          <w:szCs w:val="22"/>
          <w:lang w:eastAsia="zh-CN"/>
        </w:rPr>
        <w:t>)</w:t>
      </w:r>
    </w:p>
    <w:p w14:paraId="2EE39504" w14:textId="77777777" w:rsidR="00C7742F" w:rsidRDefault="00504FF3">
      <w:pPr>
        <w:rPr>
          <w:b/>
          <w:bCs/>
          <w:szCs w:val="20"/>
          <w:highlight w:val="darkYellow"/>
        </w:rPr>
      </w:pPr>
      <w:r>
        <w:rPr>
          <w:b/>
          <w:bCs/>
          <w:szCs w:val="20"/>
          <w:highlight w:val="darkYellow"/>
        </w:rPr>
        <w:t>Working assumption R</w:t>
      </w:r>
      <w:r>
        <w:rPr>
          <w:b/>
          <w:bCs/>
          <w:szCs w:val="20"/>
          <w:highlight w:val="darkYellow"/>
        </w:rPr>
        <w:t>1#99:</w:t>
      </w:r>
    </w:p>
    <w:p w14:paraId="6BD8984C" w14:textId="77777777" w:rsidR="00C7742F" w:rsidRDefault="00504FF3">
      <w:pPr>
        <w:pStyle w:val="ListParagraph"/>
        <w:numPr>
          <w:ilvl w:val="0"/>
          <w:numId w:val="6"/>
        </w:numPr>
        <w:snapToGrid/>
        <w:spacing w:after="180"/>
        <w:contextualSpacing/>
        <w:jc w:val="left"/>
        <w:textAlignment w:val="baseline"/>
        <w:rPr>
          <w:kern w:val="2"/>
          <w:lang w:eastAsia="ko-KR"/>
        </w:rPr>
      </w:pPr>
      <w:r>
        <w:rPr>
          <w:kern w:val="2"/>
          <w:lang w:eastAsia="ko-KR"/>
        </w:rPr>
        <w:t>For the PSFCH candidate resource set with Z PRBs and Y cyclic shift pairs in each PRB,</w:t>
      </w:r>
    </w:p>
    <w:p w14:paraId="6F579BFF" w14:textId="77777777" w:rsidR="00C7742F" w:rsidRDefault="00504FF3">
      <w:pPr>
        <w:pStyle w:val="ListParagraph"/>
        <w:numPr>
          <w:ilvl w:val="1"/>
          <w:numId w:val="6"/>
        </w:numPr>
        <w:snapToGrid/>
        <w:spacing w:after="180"/>
        <w:contextualSpacing/>
        <w:jc w:val="left"/>
        <w:textAlignment w:val="baseline"/>
        <w:rPr>
          <w:kern w:val="2"/>
          <w:lang w:eastAsia="ko-KR"/>
        </w:rPr>
      </w:pPr>
      <w:r>
        <w:rPr>
          <w:kern w:val="2"/>
          <w:lang w:eastAsia="ko-KR"/>
        </w:rPr>
        <w:t>Each PSFCH resource is indexed in the manner of frequency first and cyclic shift second.</w:t>
      </w:r>
    </w:p>
    <w:p w14:paraId="0F087BF4" w14:textId="77777777" w:rsidR="00C7742F" w:rsidRDefault="00504FF3">
      <w:pPr>
        <w:pStyle w:val="ListParagraph"/>
        <w:numPr>
          <w:ilvl w:val="2"/>
          <w:numId w:val="6"/>
        </w:numPr>
        <w:snapToGrid/>
        <w:spacing w:after="180"/>
        <w:contextualSpacing/>
        <w:jc w:val="left"/>
        <w:textAlignment w:val="baseline"/>
        <w:rPr>
          <w:kern w:val="2"/>
          <w:lang w:eastAsia="ko-KR"/>
        </w:rPr>
      </w:pPr>
      <w:r>
        <w:rPr>
          <w:kern w:val="2"/>
          <w:lang w:eastAsia="ko-KR"/>
        </w:rPr>
        <w:t>FFS the order of cyclic shift indexing in a PRB.</w:t>
      </w:r>
    </w:p>
    <w:p w14:paraId="5387EBEC" w14:textId="77777777" w:rsidR="00C7742F" w:rsidRDefault="00504FF3">
      <w:pPr>
        <w:pStyle w:val="ListParagraph"/>
        <w:numPr>
          <w:ilvl w:val="1"/>
          <w:numId w:val="6"/>
        </w:numPr>
        <w:snapToGrid/>
        <w:spacing w:after="180"/>
        <w:contextualSpacing/>
        <w:jc w:val="left"/>
        <w:textAlignment w:val="baseline"/>
        <w:rPr>
          <w:kern w:val="2"/>
          <w:lang w:eastAsia="ko-KR"/>
        </w:rPr>
      </w:pPr>
      <w:r>
        <w:rPr>
          <w:kern w:val="2"/>
          <w:lang w:eastAsia="ko-KR"/>
        </w:rPr>
        <w:t>PSFCH resource with the i</w:t>
      </w:r>
      <w:r>
        <w:rPr>
          <w:kern w:val="2"/>
          <w:lang w:eastAsia="ko-KR"/>
        </w:rPr>
        <w:t>ndex ((K+M) mod (Z*Y)) is used for PSFCH transmission of a RX UE.</w:t>
      </w:r>
    </w:p>
    <w:p w14:paraId="2072A3FD" w14:textId="77777777" w:rsidR="00C7742F" w:rsidRDefault="00504FF3">
      <w:pPr>
        <w:pStyle w:val="ListParagraph"/>
        <w:numPr>
          <w:ilvl w:val="2"/>
          <w:numId w:val="6"/>
        </w:numPr>
        <w:snapToGrid/>
        <w:spacing w:after="180"/>
        <w:contextualSpacing/>
        <w:jc w:val="left"/>
        <w:textAlignment w:val="baseline"/>
        <w:rPr>
          <w:kern w:val="2"/>
          <w:lang w:eastAsia="ko-KR"/>
        </w:rPr>
      </w:pPr>
      <w:r>
        <w:rPr>
          <w:kern w:val="2"/>
          <w:lang w:eastAsia="ko-KR"/>
        </w:rPr>
        <w:t>K is the L1 source ID of the associated PSCCH/PSSCH.</w:t>
      </w:r>
    </w:p>
    <w:p w14:paraId="6909DFEC" w14:textId="77777777" w:rsidR="00C7742F" w:rsidRDefault="00504FF3">
      <w:pPr>
        <w:pStyle w:val="ListParagraph"/>
        <w:numPr>
          <w:ilvl w:val="2"/>
          <w:numId w:val="6"/>
        </w:numPr>
        <w:snapToGrid/>
        <w:spacing w:after="180"/>
        <w:contextualSpacing/>
        <w:jc w:val="left"/>
        <w:textAlignment w:val="baseline"/>
        <w:rPr>
          <w:kern w:val="2"/>
          <w:lang w:eastAsia="ko-KR"/>
        </w:rPr>
      </w:pPr>
      <w:r>
        <w:rPr>
          <w:kern w:val="2"/>
          <w:lang w:eastAsia="ko-KR"/>
        </w:rPr>
        <w:t>M is 0 for unicast and groupcast feedback option 1 and M is the member ID of the RX UE for groupcast feedback option 2.</w:t>
      </w:r>
    </w:p>
    <w:p w14:paraId="3AE057B9" w14:textId="77777777" w:rsidR="00C7742F" w:rsidRDefault="00504FF3">
      <w:pPr>
        <w:pStyle w:val="ListParagraph"/>
        <w:numPr>
          <w:ilvl w:val="1"/>
          <w:numId w:val="6"/>
        </w:numPr>
        <w:snapToGrid/>
        <w:spacing w:after="180"/>
        <w:contextualSpacing/>
        <w:jc w:val="left"/>
        <w:textAlignment w:val="baseline"/>
        <w:rPr>
          <w:kern w:val="2"/>
          <w:lang w:eastAsia="ko-KR"/>
        </w:rPr>
      </w:pPr>
      <w:r>
        <w:rPr>
          <w:kern w:val="2"/>
          <w:lang w:eastAsia="ko-KR"/>
        </w:rPr>
        <w:t>FFS whether to ha</w:t>
      </w:r>
      <w:r>
        <w:rPr>
          <w:kern w:val="2"/>
          <w:lang w:eastAsia="ko-KR"/>
        </w:rPr>
        <w:t xml:space="preserve">ve the following restriction. </w:t>
      </w:r>
    </w:p>
    <w:p w14:paraId="4B9218C4" w14:textId="77777777" w:rsidR="00C7742F" w:rsidRDefault="00504FF3">
      <w:pPr>
        <w:pStyle w:val="ListParagraph"/>
        <w:numPr>
          <w:ilvl w:val="2"/>
          <w:numId w:val="6"/>
        </w:numPr>
        <w:snapToGrid/>
        <w:spacing w:after="180"/>
        <w:contextualSpacing/>
        <w:jc w:val="left"/>
        <w:textAlignment w:val="baseline"/>
        <w:rPr>
          <w:kern w:val="2"/>
          <w:lang w:eastAsia="ko-KR"/>
        </w:rPr>
      </w:pPr>
      <w:r>
        <w:rPr>
          <w:kern w:val="2"/>
          <w:lang w:eastAsia="ko-KR"/>
        </w:rPr>
        <w:lastRenderedPageBreak/>
        <w:t>Groupcast HARQ feedback option 2 is not used if X &gt; Z*Y (Y denotes the number of PSFCH in a PRB).</w:t>
      </w:r>
    </w:p>
    <w:p w14:paraId="3ECCF8C3" w14:textId="77777777" w:rsidR="00C7742F" w:rsidRDefault="00504FF3">
      <w:pPr>
        <w:pStyle w:val="ListParagraph"/>
        <w:numPr>
          <w:ilvl w:val="2"/>
          <w:numId w:val="6"/>
        </w:numPr>
        <w:snapToGrid/>
        <w:spacing w:after="180"/>
        <w:contextualSpacing/>
        <w:jc w:val="left"/>
        <w:textAlignment w:val="baseline"/>
        <w:rPr>
          <w:kern w:val="2"/>
          <w:lang w:eastAsia="ko-KR"/>
        </w:rPr>
      </w:pPr>
      <w:r>
        <w:rPr>
          <w:kern w:val="2"/>
          <w:lang w:eastAsia="ko-KR"/>
        </w:rPr>
        <w:t>Note: RAN1 assumes that the member ID M is an integer between 0 and X-1.</w:t>
      </w:r>
    </w:p>
    <w:p w14:paraId="58701759" w14:textId="77777777" w:rsidR="00C7742F" w:rsidRDefault="00504FF3">
      <w:pPr>
        <w:rPr>
          <w:rFonts w:asciiTheme="minorHAnsi" w:hAnsiTheme="minorHAnsi" w:cstheme="minorHAnsi"/>
        </w:rPr>
      </w:pPr>
      <w:r>
        <w:rPr>
          <w:rFonts w:asciiTheme="minorHAnsi" w:hAnsiTheme="minorHAnsi" w:cstheme="minorHAnsi"/>
        </w:rPr>
        <w:t xml:space="preserve">Concerning the use of groupcast feedback option 2, it </w:t>
      </w:r>
      <w:r>
        <w:rPr>
          <w:rFonts w:asciiTheme="minorHAnsi" w:hAnsiTheme="minorHAnsi" w:cstheme="minorHAnsi"/>
        </w:rPr>
        <w:t>is up to the AS layer to decide which option to use and the choice is signaled in the SCI. As groups are managed by higher layers, it depends on what group information is available to the UEs in order to determine which feedback option can be utilized. RAN</w:t>
      </w:r>
      <w:r>
        <w:rPr>
          <w:rFonts w:asciiTheme="minorHAnsi" w:hAnsiTheme="minorHAnsi" w:cstheme="minorHAnsi"/>
        </w:rPr>
        <w:t xml:space="preserve">1 sent </w:t>
      </w:r>
      <w:proofErr w:type="gramStart"/>
      <w:r>
        <w:rPr>
          <w:rFonts w:asciiTheme="minorHAnsi" w:hAnsiTheme="minorHAnsi" w:cstheme="minorHAnsi"/>
        </w:rPr>
        <w:t>an</w:t>
      </w:r>
      <w:proofErr w:type="gramEnd"/>
      <w:r>
        <w:rPr>
          <w:rFonts w:asciiTheme="minorHAnsi" w:hAnsiTheme="minorHAnsi" w:cstheme="minorHAnsi"/>
        </w:rPr>
        <w:t xml:space="preserve"> LS to SA2 to request support for the delivery of group information to AS layer. In SA2 response, it was explained that in order to operate Option 2 “a member ID" and “a group size" need to be provided by the V2X application layer for each UE oper</w:t>
      </w:r>
      <w:r>
        <w:rPr>
          <w:rFonts w:asciiTheme="minorHAnsi" w:hAnsiTheme="minorHAnsi" w:cstheme="minorHAnsi"/>
        </w:rPr>
        <w:t>ating groupcast. Hence, if a group size and member ID are provided AS layer can support Option 2, if NOT provided AS layer cannot operate Option 2.</w:t>
      </w:r>
    </w:p>
    <w:p w14:paraId="5F3C883F" w14:textId="77777777" w:rsidR="00C7742F" w:rsidRDefault="00504FF3">
      <w:pPr>
        <w:rPr>
          <w:rFonts w:asciiTheme="minorHAnsi" w:hAnsiTheme="minorHAnsi" w:cstheme="minorHAnsi"/>
        </w:rPr>
      </w:pPr>
      <w:r>
        <w:rPr>
          <w:rFonts w:asciiTheme="minorHAnsi" w:hAnsiTheme="minorHAnsi" w:cstheme="minorHAnsi"/>
        </w:rPr>
        <w:t>The issue is if the AS layer should explicitly forbid the use of option 2 feedback if the group size X is la</w:t>
      </w:r>
      <w:r>
        <w:rPr>
          <w:rFonts w:asciiTheme="minorHAnsi" w:hAnsiTheme="minorHAnsi" w:cstheme="minorHAnsi"/>
        </w:rPr>
        <w:t>rger than the available PSFCH resources Z*Y in the resource pool. We believe that it is not necessary to restrict the use of feedback option 2 and let the TX-UE decide how to handle the situation if X &gt; Z*Y.</w:t>
      </w:r>
    </w:p>
    <w:p w14:paraId="3043CDB4" w14:textId="77777777" w:rsidR="00C7742F" w:rsidRDefault="00504FF3">
      <w:pPr>
        <w:rPr>
          <w:rFonts w:asciiTheme="minorHAnsi" w:hAnsiTheme="minorHAnsi" w:cstheme="minorHAnsi"/>
        </w:rPr>
      </w:pPr>
      <w:r>
        <w:rPr>
          <w:rFonts w:asciiTheme="minorHAnsi" w:hAnsiTheme="minorHAnsi" w:cstheme="minorHAnsi"/>
          <w:b/>
          <w:bCs/>
          <w:u w:val="single"/>
        </w:rPr>
        <w:t>Proposal 7:</w:t>
      </w:r>
      <w:r>
        <w:rPr>
          <w:rFonts w:asciiTheme="minorHAnsi" w:hAnsiTheme="minorHAnsi" w:cstheme="minorHAnsi"/>
        </w:rPr>
        <w:t xml:space="preserve"> </w:t>
      </w:r>
    </w:p>
    <w:p w14:paraId="34372CB0" w14:textId="77777777" w:rsidR="00C7742F" w:rsidRDefault="00504FF3">
      <w:pPr>
        <w:rPr>
          <w:rFonts w:asciiTheme="minorHAnsi" w:hAnsiTheme="minorHAnsi" w:cstheme="minorHAnsi"/>
        </w:rPr>
      </w:pPr>
      <w:r>
        <w:rPr>
          <w:rFonts w:asciiTheme="minorHAnsi" w:hAnsiTheme="minorHAnsi" w:cstheme="minorHAnsi"/>
        </w:rPr>
        <w:t>Allow HARQ feedback option 2 even i</w:t>
      </w:r>
      <w:r>
        <w:rPr>
          <w:rFonts w:asciiTheme="minorHAnsi" w:hAnsiTheme="minorHAnsi" w:cstheme="minorHAnsi"/>
        </w:rPr>
        <w:t>f X &gt; Z*Y.</w:t>
      </w:r>
      <w:bookmarkStart w:id="14" w:name="_Hlk32501919"/>
      <w:bookmarkEnd w:id="14"/>
    </w:p>
    <w:p w14:paraId="43BA1B8D" w14:textId="77777777" w:rsidR="00C7742F" w:rsidRDefault="00504FF3">
      <w:pPr>
        <w:rPr>
          <w:rFonts w:asciiTheme="minorHAnsi" w:hAnsiTheme="minorHAnsi" w:cstheme="minorHAnsi"/>
        </w:rPr>
      </w:pPr>
      <w:r>
        <w:rPr>
          <w:rFonts w:asciiTheme="minorHAnsi" w:hAnsiTheme="minorHAnsi" w:cstheme="minorHAnsi"/>
        </w:rPr>
        <w:t xml:space="preserve">It is obvious that if X &gt; Z*Y, not all UEs in the groups are able to transmit a PSFCH for the associated (re)transmission. In fact, from the working assumption, it is not clear which members of the group should transmit PSFCH since equation ((K </w:t>
      </w:r>
      <w:r>
        <w:rPr>
          <w:rFonts w:asciiTheme="minorHAnsi" w:hAnsiTheme="minorHAnsi" w:cstheme="minorHAnsi"/>
        </w:rPr>
        <w:t>+ M) mod (Z*Y)) will compute a valid PSFCH resource index for every member. Therefore, it is proposed that the PSFCH resource index is only computed for UEs with M &lt; Z*Y.</w:t>
      </w:r>
    </w:p>
    <w:p w14:paraId="55BFD23A" w14:textId="77777777" w:rsidR="00C7742F" w:rsidRDefault="00504FF3">
      <w:pPr>
        <w:rPr>
          <w:rFonts w:asciiTheme="minorHAnsi" w:hAnsiTheme="minorHAnsi" w:cstheme="minorHAnsi"/>
        </w:rPr>
      </w:pPr>
      <w:r>
        <w:rPr>
          <w:rFonts w:asciiTheme="minorHAnsi" w:hAnsiTheme="minorHAnsi" w:cstheme="minorHAnsi"/>
          <w:b/>
          <w:bCs/>
          <w:u w:val="single"/>
        </w:rPr>
        <w:t>Proposal 8:</w:t>
      </w:r>
      <w:r>
        <w:rPr>
          <w:rFonts w:asciiTheme="minorHAnsi" w:hAnsiTheme="minorHAnsi" w:cstheme="minorHAnsi"/>
        </w:rPr>
        <w:t xml:space="preserve"> </w:t>
      </w:r>
    </w:p>
    <w:p w14:paraId="3AF0EB63" w14:textId="77777777" w:rsidR="00C7742F" w:rsidRDefault="00504FF3">
      <w:pPr>
        <w:rPr>
          <w:rFonts w:asciiTheme="minorHAnsi" w:hAnsiTheme="minorHAnsi" w:cstheme="minorHAnsi"/>
        </w:rPr>
      </w:pPr>
      <w:r>
        <w:rPr>
          <w:rFonts w:asciiTheme="minorHAnsi" w:hAnsiTheme="minorHAnsi" w:cstheme="minorHAnsi"/>
        </w:rPr>
        <w:t xml:space="preserve">For groupcast option 2, only UEs with member ID M &lt; Z*Y compute a PSFCH </w:t>
      </w:r>
      <w:r>
        <w:rPr>
          <w:rFonts w:asciiTheme="minorHAnsi" w:hAnsiTheme="minorHAnsi" w:cstheme="minorHAnsi"/>
        </w:rPr>
        <w:t>resource index.</w:t>
      </w:r>
    </w:p>
    <w:p w14:paraId="47831985" w14:textId="77777777" w:rsidR="00C7742F" w:rsidRDefault="00504FF3">
      <w:pPr>
        <w:rPr>
          <w:rFonts w:asciiTheme="minorHAnsi" w:hAnsiTheme="minorHAnsi" w:cstheme="minorHAnsi"/>
        </w:rPr>
      </w:pPr>
      <w:r>
        <w:rPr>
          <w:rFonts w:asciiTheme="minorHAnsi" w:hAnsiTheme="minorHAnsi" w:cstheme="minorHAnsi"/>
        </w:rPr>
        <w:t xml:space="preserve">However, the problem with the current PSFCH resource index computation is that the </w:t>
      </w:r>
      <w:r w:rsidRPr="006E3D49">
        <w:rPr>
          <w:rFonts w:asciiTheme="minorHAnsi" w:hAnsiTheme="minorHAnsi" w:cstheme="minorHAnsi"/>
          <w:i/>
          <w:iCs/>
        </w:rPr>
        <w:t>same</w:t>
      </w:r>
      <w:r>
        <w:rPr>
          <w:rFonts w:asciiTheme="minorHAnsi" w:hAnsiTheme="minorHAnsi" w:cstheme="minorHAnsi"/>
        </w:rPr>
        <w:t xml:space="preserve"> group members will transmit PSFCH for every retransmission, assuming the same number frequency resources. One possible solution is to allow different gr</w:t>
      </w:r>
      <w:r>
        <w:rPr>
          <w:rFonts w:asciiTheme="minorHAnsi" w:hAnsiTheme="minorHAnsi" w:cstheme="minorHAnsi"/>
        </w:rPr>
        <w:t xml:space="preserve">oup members to feedback for the retransmissions. More precisely, if X &gt; Z*Y, only UEs with member ID M satisfying [(M + </w:t>
      </w:r>
      <w:proofErr w:type="spellStart"/>
      <w:r>
        <w:rPr>
          <w:rFonts w:asciiTheme="minorHAnsi" w:hAnsiTheme="minorHAnsi" w:cstheme="minorHAnsi"/>
        </w:rPr>
        <w:t>i</w:t>
      </w:r>
      <w:proofErr w:type="spellEnd"/>
      <w:r>
        <w:rPr>
          <w:rFonts w:asciiTheme="minorHAnsi" w:hAnsiTheme="minorHAnsi" w:cstheme="minorHAnsi"/>
        </w:rPr>
        <w:t xml:space="preserve">*Z*Y) mod X] &lt; Z*Y compute the PSFCH resource index, where </w:t>
      </w:r>
      <w:proofErr w:type="spellStart"/>
      <w:r>
        <w:rPr>
          <w:rFonts w:asciiTheme="minorHAnsi" w:hAnsiTheme="minorHAnsi" w:cstheme="minorHAnsi"/>
        </w:rPr>
        <w:t>i</w:t>
      </w:r>
      <w:proofErr w:type="spellEnd"/>
      <w:r>
        <w:rPr>
          <w:rFonts w:asciiTheme="minorHAnsi" w:hAnsiTheme="minorHAnsi" w:cstheme="minorHAnsi"/>
        </w:rPr>
        <w:t xml:space="preserve"> is the transmission index or a parameter depending on the redundancy versi</w:t>
      </w:r>
      <w:r>
        <w:rPr>
          <w:rFonts w:asciiTheme="minorHAnsi" w:hAnsiTheme="minorHAnsi" w:cstheme="minorHAnsi"/>
        </w:rPr>
        <w:t>on.</w:t>
      </w:r>
    </w:p>
    <w:p w14:paraId="0B76D405" w14:textId="77777777" w:rsidR="00C7742F" w:rsidRDefault="00504FF3">
      <w:pPr>
        <w:rPr>
          <w:rFonts w:asciiTheme="minorHAnsi" w:hAnsiTheme="minorHAnsi" w:cstheme="minorHAnsi"/>
        </w:rPr>
      </w:pPr>
      <w:r>
        <w:rPr>
          <w:rFonts w:asciiTheme="minorHAnsi" w:hAnsiTheme="minorHAnsi" w:cstheme="minorHAnsi"/>
          <w:b/>
          <w:bCs/>
          <w:u w:val="single"/>
        </w:rPr>
        <w:t>Proposal 9:</w:t>
      </w:r>
      <w:r>
        <w:rPr>
          <w:rFonts w:asciiTheme="minorHAnsi" w:hAnsiTheme="minorHAnsi" w:cstheme="minorHAnsi"/>
        </w:rPr>
        <w:t xml:space="preserve"> </w:t>
      </w:r>
    </w:p>
    <w:p w14:paraId="68B068FB" w14:textId="77777777" w:rsidR="00C7742F" w:rsidRDefault="00504FF3">
      <w:pPr>
        <w:rPr>
          <w:rFonts w:asciiTheme="minorHAnsi" w:hAnsiTheme="minorHAnsi" w:cstheme="minorHAnsi"/>
        </w:rPr>
      </w:pPr>
      <w:r>
        <w:rPr>
          <w:rFonts w:asciiTheme="minorHAnsi" w:hAnsiTheme="minorHAnsi" w:cstheme="minorHAnsi"/>
        </w:rPr>
        <w:t xml:space="preserve">For groupcast option 2 when X &gt; Z*Y, which UEs feedback depends on the transmission index </w:t>
      </w:r>
      <w:proofErr w:type="spellStart"/>
      <w:r>
        <w:rPr>
          <w:rFonts w:asciiTheme="minorHAnsi" w:hAnsiTheme="minorHAnsi" w:cstheme="minorHAnsi"/>
        </w:rPr>
        <w:t>i</w:t>
      </w:r>
      <w:proofErr w:type="spellEnd"/>
      <w:r>
        <w:rPr>
          <w:rFonts w:asciiTheme="minorHAnsi" w:hAnsiTheme="minorHAnsi" w:cstheme="minorHAnsi"/>
        </w:rPr>
        <w:t xml:space="preserve"> and/or the redundancy version signaled in the associated SCI.</w:t>
      </w:r>
      <w:bookmarkStart w:id="15" w:name="_Hlk32501941"/>
      <w:bookmarkEnd w:id="15"/>
    </w:p>
    <w:p w14:paraId="52B8429E" w14:textId="77777777" w:rsidR="00C7742F" w:rsidRDefault="00C7742F">
      <w:pPr>
        <w:rPr>
          <w:rFonts w:asciiTheme="minorHAnsi" w:hAnsiTheme="minorHAnsi" w:cstheme="minorHAnsi"/>
        </w:rPr>
      </w:pPr>
    </w:p>
    <w:p w14:paraId="01E094A6" w14:textId="77777777" w:rsidR="00C7742F" w:rsidRDefault="00504FF3">
      <w:pPr>
        <w:pStyle w:val="Heading1"/>
        <w:numPr>
          <w:ilvl w:val="0"/>
          <w:numId w:val="3"/>
        </w:numPr>
        <w:rPr>
          <w:rFonts w:asciiTheme="minorHAnsi" w:hAnsiTheme="minorHAnsi" w:cstheme="minorHAnsi"/>
          <w:sz w:val="22"/>
          <w:szCs w:val="22"/>
          <w:lang w:eastAsia="zh-CN"/>
        </w:rPr>
      </w:pPr>
      <w:r>
        <w:rPr>
          <w:rFonts w:asciiTheme="minorHAnsi" w:hAnsiTheme="minorHAnsi" w:cstheme="minorHAnsi"/>
          <w:sz w:val="22"/>
          <w:szCs w:val="22"/>
          <w:lang w:eastAsia="zh-CN"/>
        </w:rPr>
        <w:t>CSI Acquisition</w:t>
      </w:r>
    </w:p>
    <w:p w14:paraId="1FB35157" w14:textId="77777777" w:rsidR="00C7742F" w:rsidRDefault="00504FF3">
      <w:pPr>
        <w:rPr>
          <w:rFonts w:asciiTheme="minorHAnsi" w:hAnsiTheme="minorHAnsi" w:cstheme="minorHAnsi"/>
          <w:b/>
          <w:u w:val="single"/>
          <w:lang w:eastAsia="zh-CN"/>
        </w:rPr>
      </w:pPr>
      <w:r>
        <w:rPr>
          <w:rFonts w:asciiTheme="minorHAnsi" w:hAnsiTheme="minorHAnsi" w:cstheme="minorHAnsi"/>
          <w:b/>
          <w:u w:val="single"/>
          <w:lang w:eastAsia="zh-CN"/>
        </w:rPr>
        <w:t>TR38.885:</w:t>
      </w:r>
    </w:p>
    <w:p w14:paraId="3D443074" w14:textId="77777777" w:rsidR="00C7742F" w:rsidRDefault="00504FF3">
      <w:pPr>
        <w:rPr>
          <w:rFonts w:asciiTheme="minorHAnsi" w:hAnsiTheme="minorHAnsi" w:cstheme="minorHAnsi"/>
        </w:rPr>
      </w:pPr>
      <w:r>
        <w:rPr>
          <w:rFonts w:asciiTheme="minorHAnsi" w:hAnsiTheme="minorHAnsi" w:cstheme="minorHAnsi"/>
        </w:rPr>
        <w:t xml:space="preserve">Examples of CSI information for V2X are CQI, PMI, RI, </w:t>
      </w:r>
      <w:r>
        <w:rPr>
          <w:rFonts w:asciiTheme="minorHAnsi" w:hAnsiTheme="minorHAnsi" w:cstheme="minorHAnsi"/>
        </w:rPr>
        <w:t xml:space="preserve">RSRP, RSRQ, path-gain/pathloss, SRI, CRI, interference condition, vehicle motion. For unicast communication, CQI, RI and PMI, or a subset among them, are supported with non-subband-based aperiodic CSI reports assuming no more than 4 antenna ports. The CSI </w:t>
      </w:r>
      <w:r>
        <w:rPr>
          <w:rFonts w:asciiTheme="minorHAnsi" w:hAnsiTheme="minorHAnsi" w:cstheme="minorHAnsi"/>
        </w:rPr>
        <w:t>procedure does not rely on a 'standalone' RS. CSI reporting can be enabled and disabled by configuration.</w:t>
      </w:r>
    </w:p>
    <w:p w14:paraId="7C03A54F" w14:textId="77777777" w:rsidR="00C7742F" w:rsidRDefault="00504FF3">
      <w:pPr>
        <w:rPr>
          <w:rFonts w:asciiTheme="minorHAnsi" w:hAnsiTheme="minorHAnsi" w:cstheme="minorHAnsi"/>
        </w:rPr>
      </w:pPr>
      <w:r>
        <w:rPr>
          <w:rFonts w:asciiTheme="minorHAnsi" w:hAnsiTheme="minorHAnsi" w:cstheme="minorHAnsi"/>
          <w:highlight w:val="green"/>
        </w:rPr>
        <w:t>Agreements R1#96B</w:t>
      </w:r>
      <w:r>
        <w:rPr>
          <w:rFonts w:asciiTheme="minorHAnsi" w:hAnsiTheme="minorHAnsi" w:cstheme="minorHAnsi"/>
        </w:rPr>
        <w:t>:</w:t>
      </w:r>
    </w:p>
    <w:p w14:paraId="32E9B95E" w14:textId="77777777" w:rsidR="00C7742F" w:rsidRDefault="00504FF3">
      <w:pPr>
        <w:pStyle w:val="ListParagraph"/>
        <w:numPr>
          <w:ilvl w:val="0"/>
          <w:numId w:val="5"/>
        </w:numPr>
        <w:snapToGrid/>
        <w:spacing w:after="180"/>
        <w:contextualSpacing/>
        <w:jc w:val="left"/>
        <w:textAlignment w:val="baseline"/>
        <w:rPr>
          <w:rFonts w:asciiTheme="minorHAnsi" w:hAnsiTheme="minorHAnsi" w:cstheme="minorHAnsi"/>
        </w:rPr>
      </w:pPr>
      <w:r>
        <w:rPr>
          <w:rFonts w:asciiTheme="minorHAnsi" w:hAnsiTheme="minorHAnsi" w:cstheme="minorHAnsi"/>
        </w:rPr>
        <w:t>Support at least Sidelink CSI-RS for CQI/RI measurement</w:t>
      </w:r>
    </w:p>
    <w:p w14:paraId="4B7913C1" w14:textId="77777777" w:rsidR="00C7742F" w:rsidRDefault="00504FF3">
      <w:pPr>
        <w:pStyle w:val="ListParagraph"/>
        <w:numPr>
          <w:ilvl w:val="1"/>
          <w:numId w:val="5"/>
        </w:numPr>
        <w:snapToGrid/>
        <w:spacing w:after="180"/>
        <w:contextualSpacing/>
        <w:jc w:val="left"/>
        <w:textAlignment w:val="baseline"/>
        <w:rPr>
          <w:rFonts w:asciiTheme="minorHAnsi" w:hAnsiTheme="minorHAnsi" w:cstheme="minorHAnsi"/>
        </w:rPr>
      </w:pPr>
      <w:r>
        <w:rPr>
          <w:rFonts w:asciiTheme="minorHAnsi" w:hAnsiTheme="minorHAnsi" w:cstheme="minorHAnsi"/>
        </w:rPr>
        <w:t>Sidelink CSI-RS is confined within the PSSCH transmission</w:t>
      </w:r>
    </w:p>
    <w:p w14:paraId="7EF7AD53" w14:textId="77777777" w:rsidR="00C7742F" w:rsidRDefault="00504FF3">
      <w:pPr>
        <w:rPr>
          <w:rFonts w:asciiTheme="minorHAnsi" w:hAnsiTheme="minorHAnsi" w:cstheme="minorHAnsi"/>
        </w:rPr>
      </w:pPr>
      <w:r>
        <w:rPr>
          <w:rFonts w:asciiTheme="minorHAnsi" w:hAnsiTheme="minorHAnsi" w:cstheme="minorHAnsi"/>
        </w:rPr>
        <w:t>For V2X in-covera</w:t>
      </w:r>
      <w:r>
        <w:rPr>
          <w:rFonts w:asciiTheme="minorHAnsi" w:hAnsiTheme="minorHAnsi" w:cstheme="minorHAnsi"/>
        </w:rPr>
        <w:t>ge transmissions scheduled by the gNB, so called Mode 1 resource allocation, when the Tx UE is in communication with an Rx UE, the resource scheduling is done by the gNB. If no periodic resources have been allocated, the Tx UE will send a scheduling reques</w:t>
      </w:r>
      <w:r>
        <w:rPr>
          <w:rFonts w:asciiTheme="minorHAnsi" w:hAnsiTheme="minorHAnsi" w:cstheme="minorHAnsi"/>
        </w:rPr>
        <w:t xml:space="preserve">t to the gNB for each transport block (TB). </w:t>
      </w:r>
    </w:p>
    <w:p w14:paraId="7EC13DAA" w14:textId="77777777" w:rsidR="00C7742F" w:rsidRDefault="00C7742F">
      <w:pPr>
        <w:rPr>
          <w:rFonts w:asciiTheme="minorHAnsi" w:hAnsiTheme="minorHAnsi" w:cstheme="minorHAnsi"/>
        </w:rPr>
      </w:pPr>
    </w:p>
    <w:p w14:paraId="56678DFB" w14:textId="77777777" w:rsidR="00C7742F" w:rsidRDefault="00504FF3">
      <w:pPr>
        <w:rPr>
          <w:rFonts w:asciiTheme="minorHAnsi" w:hAnsiTheme="minorHAnsi" w:cstheme="minorHAnsi"/>
        </w:rPr>
      </w:pPr>
      <w:r>
        <w:rPr>
          <w:rFonts w:asciiTheme="minorHAnsi" w:hAnsiTheme="minorHAnsi" w:cstheme="minorHAnsi"/>
        </w:rPr>
        <w:t>The conventional CSI acquisition scheme requires two scheduling-requests and grant receptions from the gNB. One at the Tx UE to transmit CSI-RS and the second at the Rx UE to transmit CSI report. This procedure</w:t>
      </w:r>
      <w:r>
        <w:rPr>
          <w:rFonts w:asciiTheme="minorHAnsi" w:hAnsiTheme="minorHAnsi" w:cstheme="minorHAnsi"/>
        </w:rPr>
        <w:t xml:space="preserve"> is not only resource inefficient due to heavy control overhead, but it can be a serious issue for latency sensitive applications where a quick link adaptation may be desired at the Tx UE. It could be interesting to have the two resources (one for CSI-RS t</w:t>
      </w:r>
      <w:r>
        <w:rPr>
          <w:rFonts w:asciiTheme="minorHAnsi" w:hAnsiTheme="minorHAnsi" w:cstheme="minorHAnsi"/>
        </w:rPr>
        <w:t>ransmission and one for CSI report transmission) scheduled in a single step. Thus, the Tx UE receives the indication of two scheduled resources from the gNB as part of the its scheduling request for CSI-RS transmission. Then the Tx UE indicates these two r</w:t>
      </w:r>
      <w:r>
        <w:rPr>
          <w:rFonts w:asciiTheme="minorHAnsi" w:hAnsiTheme="minorHAnsi" w:cstheme="minorHAnsi"/>
        </w:rPr>
        <w:t xml:space="preserve">esources to the Rx UE as part of CSI-RS transmission. Upon receiving this indication, the Rx UE can estimate CSI and transmits the CSI report on the pre-scheduled resources. </w:t>
      </w:r>
    </w:p>
    <w:p w14:paraId="5DBEAD53" w14:textId="77777777" w:rsidR="00C7742F" w:rsidRDefault="00504FF3">
      <w:pPr>
        <w:rPr>
          <w:rFonts w:asciiTheme="minorHAnsi" w:hAnsiTheme="minorHAnsi" w:cstheme="minorHAnsi"/>
        </w:rPr>
      </w:pPr>
      <w:r>
        <w:rPr>
          <w:rFonts w:asciiTheme="minorHAnsi" w:hAnsiTheme="minorHAnsi" w:cstheme="minorHAnsi"/>
        </w:rPr>
        <w:t>The proposed step-by-step procedure for CSI acquisition is shown in the following</w:t>
      </w:r>
      <w:r>
        <w:rPr>
          <w:rFonts w:asciiTheme="minorHAnsi" w:hAnsiTheme="minorHAnsi" w:cstheme="minorHAnsi"/>
        </w:rPr>
        <w:t xml:space="preserve">. </w:t>
      </w:r>
    </w:p>
    <w:p w14:paraId="770C2C81" w14:textId="77777777" w:rsidR="00C7742F" w:rsidRDefault="00504FF3">
      <w:pPr>
        <w:rPr>
          <w:rFonts w:asciiTheme="minorHAnsi" w:hAnsiTheme="minorHAnsi" w:cstheme="minorHAnsi"/>
        </w:rPr>
      </w:pPr>
      <w:r>
        <w:rPr>
          <w:rFonts w:asciiTheme="minorHAnsi" w:hAnsiTheme="minorHAnsi" w:cstheme="minorHAnsi"/>
        </w:rPr>
        <w:t>(1) Tx UE sends a request to the gNB to trigger CSI acquisition procedure (potentially combined with a scheduling request for data transmission)</w:t>
      </w:r>
    </w:p>
    <w:p w14:paraId="29144B86" w14:textId="77777777" w:rsidR="00C7742F" w:rsidRDefault="00504FF3">
      <w:pPr>
        <w:rPr>
          <w:rFonts w:asciiTheme="minorHAnsi" w:hAnsiTheme="minorHAnsi" w:cstheme="minorHAnsi"/>
        </w:rPr>
      </w:pPr>
      <w:r>
        <w:rPr>
          <w:rFonts w:asciiTheme="minorHAnsi" w:hAnsiTheme="minorHAnsi" w:cstheme="minorHAnsi"/>
        </w:rPr>
        <w:t>(2) The gNB allocates the resources for CSI transmission (potentially within the PSSCH which needs to be tra</w:t>
      </w:r>
      <w:r>
        <w:rPr>
          <w:rFonts w:asciiTheme="minorHAnsi" w:hAnsiTheme="minorHAnsi" w:cstheme="minorHAnsi"/>
        </w:rPr>
        <w:t>nsmitted due to data) and CSI Reporting purpose</w:t>
      </w:r>
    </w:p>
    <w:p w14:paraId="0AA2147F" w14:textId="77777777" w:rsidR="00C7742F" w:rsidRDefault="00504FF3">
      <w:pPr>
        <w:rPr>
          <w:rFonts w:asciiTheme="minorHAnsi" w:hAnsiTheme="minorHAnsi" w:cstheme="minorHAnsi"/>
        </w:rPr>
      </w:pPr>
      <w:r>
        <w:rPr>
          <w:rFonts w:asciiTheme="minorHAnsi" w:hAnsiTheme="minorHAnsi" w:cstheme="minorHAnsi"/>
        </w:rPr>
        <w:t xml:space="preserve">(3) Tx UE transmits SCI and sends CSI-RS (potentially embedded in PSSCH). In this step, Rx UE gets also the indication for CSI reporting. The Rx UE receives CSI-RS, computes the CSI parameters (CQI/RI </w:t>
      </w:r>
      <w:proofErr w:type="spellStart"/>
      <w:r>
        <w:rPr>
          <w:rFonts w:asciiTheme="minorHAnsi" w:hAnsiTheme="minorHAnsi" w:cstheme="minorHAnsi"/>
        </w:rPr>
        <w:t>etc</w:t>
      </w:r>
      <w:proofErr w:type="spellEnd"/>
      <w:r>
        <w:rPr>
          <w:rFonts w:asciiTheme="minorHAnsi" w:hAnsiTheme="minorHAnsi" w:cstheme="minorHAnsi"/>
        </w:rPr>
        <w:t xml:space="preserve">). </w:t>
      </w:r>
    </w:p>
    <w:p w14:paraId="06F90430" w14:textId="77777777" w:rsidR="00C7742F" w:rsidRDefault="00504FF3">
      <w:pPr>
        <w:rPr>
          <w:rFonts w:asciiTheme="minorHAnsi" w:hAnsiTheme="minorHAnsi" w:cstheme="minorHAnsi"/>
        </w:rPr>
      </w:pPr>
      <w:r>
        <w:rPr>
          <w:rFonts w:asciiTheme="minorHAnsi" w:hAnsiTheme="minorHAnsi" w:cstheme="minorHAnsi"/>
        </w:rPr>
        <w:t xml:space="preserve"> (4) Rx UE sends SCI and CQI/RI report to the Tx UE on the pre-allocated CSI reporting resource.</w:t>
      </w:r>
    </w:p>
    <w:p w14:paraId="1A2253D2" w14:textId="77777777" w:rsidR="00C7742F" w:rsidRDefault="00C7742F">
      <w:pPr>
        <w:rPr>
          <w:rFonts w:asciiTheme="minorHAnsi" w:hAnsiTheme="minorHAnsi" w:cstheme="minorHAnsi"/>
        </w:rPr>
      </w:pPr>
    </w:p>
    <w:p w14:paraId="31F6637A" w14:textId="77777777" w:rsidR="00C7742F" w:rsidRDefault="00504FF3">
      <w:r>
        <w:rPr>
          <w:rFonts w:asciiTheme="minorHAnsi" w:hAnsiTheme="minorHAnsi" w:cstheme="minorHAnsi"/>
        </w:rPr>
        <w:t xml:space="preserve">This step-by-step CSI acquisition procedure is shown in </w:t>
      </w:r>
      <w:r>
        <w:rPr>
          <w:rFonts w:asciiTheme="minorHAnsi" w:hAnsiTheme="minorHAnsi" w:cstheme="minorHAnsi"/>
        </w:rPr>
        <w:fldChar w:fldCharType="begin"/>
      </w:r>
      <w:r>
        <w:rPr>
          <w:rFonts w:ascii="Calibri" w:hAnsi="Calibri" w:cs="Calibri"/>
        </w:rPr>
        <w:instrText>REF _Ref16689331 \h</w:instrText>
      </w:r>
      <w:r>
        <w:rPr>
          <w:rFonts w:asciiTheme="minorHAnsi" w:hAnsiTheme="minorHAnsi" w:cstheme="minorHAnsi"/>
        </w:rPr>
      </w:r>
      <w:r>
        <w:rPr>
          <w:rFonts w:ascii="Calibri" w:hAnsi="Calibri" w:cs="Calibri"/>
        </w:rPr>
        <w:fldChar w:fldCharType="separate"/>
      </w:r>
      <w:r>
        <w:rPr>
          <w:rFonts w:ascii="Calibri" w:hAnsi="Calibri" w:cs="Calibri"/>
        </w:rPr>
        <w:t>Figure 1</w:t>
      </w:r>
      <w:r>
        <w:rPr>
          <w:rFonts w:ascii="Calibri" w:hAnsi="Calibri" w:cs="Calibri"/>
        </w:rPr>
        <w:fldChar w:fldCharType="end"/>
      </w:r>
      <w:r>
        <w:rPr>
          <w:rFonts w:asciiTheme="minorHAnsi" w:hAnsiTheme="minorHAnsi" w:cstheme="minorHAnsi"/>
        </w:rPr>
        <w:t>.</w:t>
      </w:r>
    </w:p>
    <w:p w14:paraId="5452FE09" w14:textId="77777777" w:rsidR="00C7742F" w:rsidRDefault="00504FF3">
      <w:pPr>
        <w:keepNext/>
        <w:jc w:val="center"/>
        <w:rPr>
          <w:rFonts w:asciiTheme="minorHAnsi" w:hAnsiTheme="minorHAnsi" w:cstheme="minorHAnsi"/>
        </w:rPr>
      </w:pPr>
      <w:r>
        <w:rPr>
          <w:noProof/>
        </w:rPr>
        <w:drawing>
          <wp:inline distT="0" distB="0" distL="0" distR="0" wp14:anchorId="4DE11937" wp14:editId="4F913091">
            <wp:extent cx="4157345" cy="269684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6"/>
                    <a:stretch>
                      <a:fillRect/>
                    </a:stretch>
                  </pic:blipFill>
                  <pic:spPr bwMode="auto">
                    <a:xfrm>
                      <a:off x="0" y="0"/>
                      <a:ext cx="4157345" cy="2696845"/>
                    </a:xfrm>
                    <a:prstGeom prst="rect">
                      <a:avLst/>
                    </a:prstGeom>
                  </pic:spPr>
                </pic:pic>
              </a:graphicData>
            </a:graphic>
          </wp:inline>
        </w:drawing>
      </w:r>
    </w:p>
    <w:p w14:paraId="0EE87A63" w14:textId="77777777" w:rsidR="00C7742F" w:rsidRPr="006E3D49" w:rsidRDefault="00504FF3">
      <w:pPr>
        <w:pStyle w:val="Caption"/>
        <w:rPr>
          <w:lang w:val="fr-FR"/>
        </w:rPr>
      </w:pPr>
      <w:bookmarkStart w:id="16" w:name="_Ref16689331"/>
      <w:r>
        <w:rPr>
          <w:rFonts w:asciiTheme="minorHAnsi" w:hAnsiTheme="minorHAnsi" w:cstheme="minorHAnsi"/>
          <w:sz w:val="22"/>
          <w:szCs w:val="22"/>
          <w:lang w:val="fr-FR"/>
        </w:rPr>
        <w:t>Figur</w:t>
      </w:r>
      <w:r>
        <w:rPr>
          <w:rFonts w:asciiTheme="minorHAnsi" w:hAnsiTheme="minorHAnsi" w:cstheme="minorHAnsi"/>
          <w:sz w:val="22"/>
          <w:szCs w:val="22"/>
          <w:lang w:val="fr-FR"/>
        </w:rPr>
        <w:t xml:space="preserve">e </w:t>
      </w:r>
      <w:r>
        <w:rPr>
          <w:rFonts w:asciiTheme="minorHAnsi" w:hAnsiTheme="minorHAnsi" w:cstheme="minorHAnsi"/>
          <w:sz w:val="22"/>
          <w:szCs w:val="22"/>
        </w:rPr>
        <w:fldChar w:fldCharType="begin"/>
      </w:r>
      <w:r w:rsidRPr="006E3D49">
        <w:rPr>
          <w:rFonts w:ascii="Calibri" w:hAnsi="Calibri" w:cs="Calibri"/>
          <w:sz w:val="22"/>
          <w:szCs w:val="22"/>
          <w:lang w:val="fr-FR"/>
        </w:rPr>
        <w:instrText>SEQ Figure \* ARABIC</w:instrText>
      </w:r>
      <w:r>
        <w:rPr>
          <w:rFonts w:ascii="Calibri" w:hAnsi="Calibri" w:cs="Calibri"/>
          <w:sz w:val="22"/>
          <w:szCs w:val="22"/>
        </w:rPr>
        <w:fldChar w:fldCharType="separate"/>
      </w:r>
      <w:r w:rsidRPr="006E3D49">
        <w:rPr>
          <w:rFonts w:ascii="Calibri" w:hAnsi="Calibri" w:cs="Calibri"/>
          <w:sz w:val="22"/>
          <w:szCs w:val="22"/>
          <w:lang w:val="fr-FR"/>
        </w:rPr>
        <w:t>1</w:t>
      </w:r>
      <w:r>
        <w:rPr>
          <w:rFonts w:ascii="Calibri" w:hAnsi="Calibri" w:cs="Calibri"/>
          <w:sz w:val="22"/>
          <w:szCs w:val="22"/>
        </w:rPr>
        <w:fldChar w:fldCharType="end"/>
      </w:r>
      <w:bookmarkEnd w:id="16"/>
      <w:r>
        <w:rPr>
          <w:rFonts w:asciiTheme="minorHAnsi" w:hAnsiTheme="minorHAnsi" w:cstheme="minorHAnsi"/>
          <w:sz w:val="22"/>
          <w:szCs w:val="22"/>
          <w:lang w:val="fr-FR"/>
        </w:rPr>
        <w:t>: CSI Acquisition in Mode 1</w:t>
      </w:r>
      <w:bookmarkStart w:id="17" w:name="_GoBack"/>
    </w:p>
    <w:bookmarkEnd w:id="17"/>
    <w:p w14:paraId="07ABD6A6" w14:textId="77777777" w:rsidR="00C7742F" w:rsidRDefault="00C7742F">
      <w:pPr>
        <w:rPr>
          <w:rFonts w:asciiTheme="minorHAnsi" w:hAnsiTheme="minorHAnsi" w:cstheme="minorHAnsi"/>
          <w:lang w:val="fr-FR"/>
        </w:rPr>
      </w:pPr>
    </w:p>
    <w:p w14:paraId="665657FF" w14:textId="77777777" w:rsidR="00C7742F" w:rsidRDefault="00504FF3">
      <w:pPr>
        <w:rPr>
          <w:rFonts w:asciiTheme="minorHAnsi" w:hAnsiTheme="minorHAnsi" w:cstheme="minorHAnsi"/>
          <w:b/>
          <w:u w:val="single"/>
        </w:rPr>
      </w:pPr>
      <w:r>
        <w:rPr>
          <w:rFonts w:asciiTheme="minorHAnsi" w:hAnsiTheme="minorHAnsi" w:cstheme="minorHAnsi"/>
          <w:b/>
          <w:u w:val="single"/>
        </w:rPr>
        <w:t>Proposal 10:</w:t>
      </w:r>
    </w:p>
    <w:p w14:paraId="197ACC99" w14:textId="77777777" w:rsidR="00C7742F" w:rsidRDefault="00504FF3">
      <w:r>
        <w:rPr>
          <w:rFonts w:asciiTheme="minorHAnsi" w:hAnsiTheme="minorHAnsi" w:cstheme="minorHAnsi"/>
        </w:rPr>
        <w:t>For CSI acquisition in Mode 1, the gNB can allocate the resources for CSI-RS transmission and the CSI reporting simultaneously.</w:t>
      </w:r>
      <w:bookmarkStart w:id="18" w:name="_Hlk16684510"/>
      <w:bookmarkEnd w:id="18"/>
    </w:p>
    <w:p w14:paraId="1707BFD5" w14:textId="77777777" w:rsidR="00C7742F" w:rsidRDefault="00C7742F">
      <w:pPr>
        <w:rPr>
          <w:rFonts w:asciiTheme="minorHAnsi" w:hAnsiTheme="minorHAnsi" w:cstheme="minorHAnsi"/>
        </w:rPr>
      </w:pPr>
      <w:bookmarkStart w:id="19" w:name="_Hlk21096397"/>
      <w:bookmarkStart w:id="20" w:name="_Hlk5009495"/>
      <w:bookmarkEnd w:id="19"/>
      <w:bookmarkEnd w:id="20"/>
    </w:p>
    <w:p w14:paraId="1F571557" w14:textId="77777777" w:rsidR="00C7742F" w:rsidRDefault="00504FF3">
      <w:pPr>
        <w:rPr>
          <w:rFonts w:asciiTheme="minorHAnsi" w:hAnsiTheme="minorHAnsi" w:cstheme="minorHAnsi"/>
        </w:rPr>
      </w:pPr>
      <w:r>
        <w:rPr>
          <w:rFonts w:asciiTheme="minorHAnsi" w:hAnsiTheme="minorHAnsi" w:cstheme="minorHAnsi"/>
        </w:rPr>
        <w:t>When the Tx has been configured with periodic resources from the gNB, and it needs to acquire CSI, it can directly transmit CSI-RS on the configured resources. An indication can be sent to the Rx to inform that the resource carries CSI-RS, in addition to d</w:t>
      </w:r>
      <w:r>
        <w:rPr>
          <w:rFonts w:asciiTheme="minorHAnsi" w:hAnsiTheme="minorHAnsi" w:cstheme="minorHAnsi"/>
        </w:rPr>
        <w:t xml:space="preserve">ata and other reference symbols. Similarly, if the Rx UE </w:t>
      </w:r>
      <w:r>
        <w:rPr>
          <w:rFonts w:asciiTheme="minorHAnsi" w:hAnsiTheme="minorHAnsi" w:cstheme="minorHAnsi"/>
        </w:rPr>
        <w:lastRenderedPageBreak/>
        <w:t>has been allocated configured resources to the Tx UE, from whom it has received CSI-RS, it can transmit a CSI report on its configured periodic resource. The control information may carry an indicati</w:t>
      </w:r>
      <w:r>
        <w:rPr>
          <w:rFonts w:asciiTheme="minorHAnsi" w:hAnsiTheme="minorHAnsi" w:cstheme="minorHAnsi"/>
        </w:rPr>
        <w:t xml:space="preserve">on that the resource comprises of CSI report only or along with data. </w:t>
      </w:r>
    </w:p>
    <w:p w14:paraId="6ADA5E9A" w14:textId="77777777" w:rsidR="00C7742F" w:rsidRDefault="00504FF3">
      <w:pPr>
        <w:pStyle w:val="Heading1"/>
        <w:numPr>
          <w:ilvl w:val="0"/>
          <w:numId w:val="3"/>
        </w:numPr>
        <w:rPr>
          <w:rFonts w:asciiTheme="minorHAnsi" w:hAnsiTheme="minorHAnsi" w:cstheme="minorHAnsi"/>
          <w:sz w:val="22"/>
          <w:szCs w:val="22"/>
          <w:lang w:eastAsia="zh-CN"/>
        </w:rPr>
      </w:pPr>
      <w:r>
        <w:rPr>
          <w:rFonts w:asciiTheme="minorHAnsi" w:hAnsiTheme="minorHAnsi" w:cstheme="minorHAnsi"/>
          <w:sz w:val="22"/>
          <w:szCs w:val="22"/>
          <w:lang w:eastAsia="zh-CN"/>
        </w:rPr>
        <w:t>Simultaneous Operation for Mode 1 and Mode 2</w:t>
      </w:r>
    </w:p>
    <w:p w14:paraId="566C3C65" w14:textId="77777777" w:rsidR="00C7742F" w:rsidRDefault="00504FF3">
      <w:pPr>
        <w:rPr>
          <w:rFonts w:cstheme="minorHAnsi"/>
        </w:rPr>
      </w:pPr>
      <w:r>
        <w:rPr>
          <w:rFonts w:cstheme="minorHAnsi"/>
        </w:rPr>
        <w:t>3GPP Rel-16 for sidelink has standardized Mode 1 and Mode 2 based resource allocation schemes. Although it was part of the objectives in Rel</w:t>
      </w:r>
      <w:r>
        <w:rPr>
          <w:rFonts w:cstheme="minorHAnsi"/>
        </w:rPr>
        <w:t>-16 V2X WID [</w:t>
      </w:r>
      <w:r>
        <w:rPr>
          <w:rFonts w:cstheme="minorHAnsi"/>
          <w:u w:val="single"/>
        </w:rPr>
        <w:t>3GPP RP-190766: "WID for 5G_V2X_NRSL"</w:t>
      </w:r>
      <w:r>
        <w:rPr>
          <w:rFonts w:cstheme="minorHAnsi"/>
        </w:rPr>
        <w:t>], the simultaneous operation of Mode 1 and Mode 2 was not discussed primarily due to timing constraints.</w:t>
      </w:r>
    </w:p>
    <w:p w14:paraId="1155D1AD" w14:textId="77777777" w:rsidR="00C7742F" w:rsidRDefault="00C7742F">
      <w:pPr>
        <w:rPr>
          <w:rFonts w:cstheme="minorHAnsi"/>
        </w:rPr>
      </w:pPr>
    </w:p>
    <w:p w14:paraId="24598B4D" w14:textId="77777777" w:rsidR="00C7742F" w:rsidRDefault="00504FF3">
      <w:pPr>
        <w:rPr>
          <w:rFonts w:cstheme="minorHAnsi"/>
        </w:rPr>
      </w:pPr>
      <w:r>
        <w:rPr>
          <w:rFonts w:cstheme="minorHAnsi"/>
        </w:rPr>
        <w:t xml:space="preserve">The </w:t>
      </w:r>
      <w:r>
        <w:rPr>
          <w:rFonts w:cstheme="minorHAnsi"/>
          <w:b/>
          <w:bCs/>
          <w:u w:val="single"/>
        </w:rPr>
        <w:t>motivations</w:t>
      </w:r>
      <w:r>
        <w:rPr>
          <w:rFonts w:cstheme="minorHAnsi"/>
        </w:rPr>
        <w:t xml:space="preserve"> to support the simultaneous Mode 1 and Mode 2 operation for a UE when it is in the </w:t>
      </w:r>
      <w:r>
        <w:rPr>
          <w:rFonts w:cstheme="minorHAnsi"/>
        </w:rPr>
        <w:t>coverage of a base station are the following:</w:t>
      </w:r>
    </w:p>
    <w:p w14:paraId="1A41DE52" w14:textId="77777777" w:rsidR="00C7742F" w:rsidRDefault="00504FF3">
      <w:pPr>
        <w:pStyle w:val="ListParagraph"/>
        <w:numPr>
          <w:ilvl w:val="0"/>
          <w:numId w:val="7"/>
        </w:numPr>
        <w:snapToGrid/>
        <w:spacing w:after="200" w:line="276" w:lineRule="auto"/>
        <w:contextualSpacing/>
        <w:jc w:val="left"/>
        <w:rPr>
          <w:rFonts w:asciiTheme="minorHAnsi" w:hAnsiTheme="minorHAnsi" w:cstheme="minorHAnsi"/>
        </w:rPr>
      </w:pPr>
      <w:r>
        <w:rPr>
          <w:rFonts w:asciiTheme="minorHAnsi" w:hAnsiTheme="minorHAnsi" w:cstheme="minorHAnsi"/>
        </w:rPr>
        <w:t>The UE has traffic flows with extremely stringent latency requirements which cannot be fulfilled with the classical scheduling operation, consisting of (</w:t>
      </w:r>
      <w:proofErr w:type="spellStart"/>
      <w:r>
        <w:rPr>
          <w:rFonts w:asciiTheme="minorHAnsi" w:hAnsiTheme="minorHAnsi" w:cstheme="minorHAnsi"/>
        </w:rPr>
        <w:t>i</w:t>
      </w:r>
      <w:proofErr w:type="spellEnd"/>
      <w:r>
        <w:rPr>
          <w:rFonts w:asciiTheme="minorHAnsi" w:hAnsiTheme="minorHAnsi" w:cstheme="minorHAnsi"/>
        </w:rPr>
        <w:t>) sending scheduling request (SR) in the uplink, (ii) ba</w:t>
      </w:r>
      <w:r>
        <w:rPr>
          <w:rFonts w:asciiTheme="minorHAnsi" w:hAnsiTheme="minorHAnsi" w:cstheme="minorHAnsi"/>
        </w:rPr>
        <w:t>se station performing the scheduling, (iii) base station sending the scheduling command in the DL DCI, (iv) UE transmitting the SL transmission over its scheduled resource. If the traffic is periodic, one possibility could be to schedule configured grant r</w:t>
      </w:r>
      <w:r>
        <w:rPr>
          <w:rFonts w:asciiTheme="minorHAnsi" w:hAnsiTheme="minorHAnsi" w:cstheme="minorHAnsi"/>
        </w:rPr>
        <w:t>esources. Unfortunately for aperiodic traffic, which is considered to be typical for NR V2X, configured grant allocation may not be useful.</w:t>
      </w:r>
    </w:p>
    <w:p w14:paraId="6BFA9EFE" w14:textId="77777777" w:rsidR="00C7742F" w:rsidRDefault="00504FF3">
      <w:pPr>
        <w:pStyle w:val="ListParagraph"/>
        <w:numPr>
          <w:ilvl w:val="0"/>
          <w:numId w:val="7"/>
        </w:numPr>
        <w:snapToGrid/>
        <w:spacing w:after="200" w:line="276" w:lineRule="auto"/>
        <w:contextualSpacing/>
        <w:jc w:val="left"/>
        <w:rPr>
          <w:rFonts w:asciiTheme="minorHAnsi" w:hAnsiTheme="minorHAnsi" w:cstheme="minorHAnsi"/>
        </w:rPr>
      </w:pPr>
      <w:r>
        <w:rPr>
          <w:rFonts w:asciiTheme="minorHAnsi" w:hAnsiTheme="minorHAnsi" w:cstheme="minorHAnsi"/>
        </w:rPr>
        <w:t>Even if a traffic flow does not inherently have extremely stringent latency requirements, if one or more base statio</w:t>
      </w:r>
      <w:r>
        <w:rPr>
          <w:rFonts w:asciiTheme="minorHAnsi" w:hAnsiTheme="minorHAnsi" w:cstheme="minorHAnsi"/>
        </w:rPr>
        <w:t>n scheduled sidelink transmissions fail, the sidelink Tx has an-delivered packet with its packet delay budget close to expiring. And at this point in time, the packet may become impossible to get scheduled through the classical Mode 1 based scheduling.</w:t>
      </w:r>
    </w:p>
    <w:p w14:paraId="08B260C0" w14:textId="77777777" w:rsidR="00C7742F" w:rsidRDefault="00504FF3">
      <w:pPr>
        <w:pStyle w:val="ListParagraph"/>
        <w:numPr>
          <w:ilvl w:val="0"/>
          <w:numId w:val="7"/>
        </w:numPr>
        <w:snapToGrid/>
        <w:spacing w:after="200" w:line="276" w:lineRule="auto"/>
        <w:contextualSpacing/>
        <w:jc w:val="left"/>
        <w:rPr>
          <w:rFonts w:asciiTheme="minorHAnsi" w:hAnsiTheme="minorHAnsi" w:cstheme="minorHAnsi"/>
        </w:rPr>
      </w:pPr>
      <w:r>
        <w:rPr>
          <w:rFonts w:asciiTheme="minorHAnsi" w:hAnsiTheme="minorHAnsi" w:cstheme="minorHAnsi"/>
        </w:rPr>
        <w:t>For</w:t>
      </w:r>
      <w:r>
        <w:rPr>
          <w:rFonts w:asciiTheme="minorHAnsi" w:hAnsiTheme="minorHAnsi" w:cstheme="minorHAnsi"/>
        </w:rPr>
        <w:t xml:space="preserve"> some safety related applications, exchanging safety messages of extreme importance, fire warning as an example, the devices may be permitted to transmit without requesting the resources from the base station. </w:t>
      </w:r>
    </w:p>
    <w:p w14:paraId="3E365D92" w14:textId="77777777" w:rsidR="00C7742F" w:rsidRDefault="00504FF3">
      <w:pPr>
        <w:rPr>
          <w:rFonts w:cstheme="minorHAnsi"/>
        </w:rPr>
      </w:pPr>
      <w:r>
        <w:rPr>
          <w:rFonts w:cstheme="minorHAnsi"/>
        </w:rPr>
        <w:t>In our opinion, in certain situations as just</w:t>
      </w:r>
      <w:r>
        <w:rPr>
          <w:rFonts w:cstheme="minorHAnsi"/>
        </w:rPr>
        <w:t xml:space="preserve">ified above, the gNB may allow a user in the coverage to perform autonomous sidelink resource allocation. When the users are indicated to perform autonomous resource allocation, if every user chooses the suitable resource without paying any regard to what </w:t>
      </w:r>
      <w:r>
        <w:rPr>
          <w:rFonts w:cstheme="minorHAnsi"/>
        </w:rPr>
        <w:t>others might be doing, that may be detrimental for system operation. For this reason, it would be judicious that the users follow the sensing-based resource allocation that they perform in the classical out-of-coverage scenarios, so called Mode 2 based res</w:t>
      </w:r>
      <w:r>
        <w:rPr>
          <w:rFonts w:cstheme="minorHAnsi"/>
        </w:rPr>
        <w:t>ource allocation.</w:t>
      </w:r>
    </w:p>
    <w:p w14:paraId="46B0903E" w14:textId="77777777" w:rsidR="00C7742F" w:rsidRDefault="00504FF3">
      <w:pPr>
        <w:rPr>
          <w:rFonts w:cstheme="minorHAnsi"/>
          <w:b/>
          <w:bCs/>
          <w:u w:val="single"/>
        </w:rPr>
      </w:pPr>
      <w:r>
        <w:rPr>
          <w:rFonts w:cstheme="minorHAnsi"/>
          <w:b/>
          <w:bCs/>
          <w:u w:val="single"/>
        </w:rPr>
        <w:t>Proposal 11:</w:t>
      </w:r>
    </w:p>
    <w:p w14:paraId="7E9A6B11" w14:textId="77777777" w:rsidR="00C7742F" w:rsidRDefault="00504FF3">
      <w:pPr>
        <w:rPr>
          <w:rFonts w:cstheme="minorHAnsi"/>
        </w:rPr>
      </w:pPr>
      <w:r>
        <w:rPr>
          <w:rFonts w:cstheme="minorHAnsi"/>
        </w:rPr>
        <w:t>The users, indicated to perform autonomous resource allocation while in-coverage, use sensing based resource allocation to choose the suitable transmission resources.</w:t>
      </w:r>
      <w:bookmarkStart w:id="21" w:name="_Hlk32501999"/>
      <w:bookmarkEnd w:id="21"/>
    </w:p>
    <w:p w14:paraId="050A757F" w14:textId="3F0E9334" w:rsidR="00C7742F" w:rsidRDefault="00504FF3">
      <w:r>
        <w:rPr>
          <w:rFonts w:cstheme="minorHAnsi"/>
        </w:rPr>
        <w:t xml:space="preserve">To manage the simultaneous Mode 1 and Mode 2 operation, and to avoid </w:t>
      </w:r>
      <w:r>
        <w:rPr>
          <w:rFonts w:cstheme="minorHAnsi"/>
        </w:rPr>
        <w:t>collisions, one interesting strategy can be to indicate the resource pools on which the users should perform autonomous resource allocation while in-coverage of the gNB. The gNB knows</w:t>
      </w:r>
      <w:r>
        <w:rPr>
          <w:rFonts w:cstheme="minorHAnsi"/>
        </w:rPr>
        <w:t xml:space="preserve"> a-priori all the transmissions that it schedules on such shared resource pools, but unfortunately has no knowledge about the users’ autonomous resource allocations. If the gNB has the knowledge of the in-coverage Mode 2 allocations, it can use that to sch</w:t>
      </w:r>
      <w:r>
        <w:rPr>
          <w:rFonts w:cstheme="minorHAnsi"/>
        </w:rPr>
        <w:t>edule and avoid the interfering transmissions on such resource pools. The gNB can acquire this knowledge through different methods, one possibility is to have the gNB perform sensing on the sidelink, or the users permitted to perform Mode 2 allocations may</w:t>
      </w:r>
      <w:r>
        <w:rPr>
          <w:rFonts w:cstheme="minorHAnsi"/>
        </w:rPr>
        <w:t xml:space="preserve"> be required to inform the gNB about their selected resource. </w:t>
      </w:r>
    </w:p>
    <w:p w14:paraId="7D4A4899" w14:textId="77777777" w:rsidR="00C7742F" w:rsidRDefault="00C7742F">
      <w:pPr>
        <w:rPr>
          <w:rFonts w:cstheme="minorHAnsi"/>
        </w:rPr>
      </w:pPr>
    </w:p>
    <w:p w14:paraId="25D01004" w14:textId="77777777" w:rsidR="00C7742F" w:rsidRDefault="00504FF3">
      <w:pPr>
        <w:pStyle w:val="Heading1"/>
        <w:numPr>
          <w:ilvl w:val="0"/>
          <w:numId w:val="3"/>
        </w:numPr>
        <w:rPr>
          <w:rFonts w:asciiTheme="minorHAnsi" w:hAnsiTheme="minorHAnsi" w:cstheme="minorHAnsi"/>
          <w:sz w:val="22"/>
          <w:szCs w:val="22"/>
        </w:rPr>
      </w:pPr>
      <w:r>
        <w:rPr>
          <w:rFonts w:asciiTheme="minorHAnsi" w:hAnsiTheme="minorHAnsi" w:cstheme="minorHAnsi"/>
          <w:sz w:val="22"/>
          <w:szCs w:val="22"/>
        </w:rPr>
        <w:t>Conclusions</w:t>
      </w:r>
    </w:p>
    <w:p w14:paraId="3A033BCD" w14:textId="77777777" w:rsidR="00C7742F" w:rsidRDefault="00504FF3">
      <w:pPr>
        <w:rPr>
          <w:rFonts w:asciiTheme="minorHAnsi" w:hAnsiTheme="minorHAnsi" w:cstheme="minorHAnsi"/>
          <w:lang w:eastAsia="zh-CN"/>
        </w:rPr>
      </w:pPr>
      <w:r>
        <w:rPr>
          <w:rFonts w:asciiTheme="minorHAnsi" w:hAnsiTheme="minorHAnsi" w:cstheme="minorHAnsi"/>
          <w:lang w:eastAsia="zh-CN"/>
        </w:rPr>
        <w:t>The following proposals have been presented in this document.</w:t>
      </w:r>
    </w:p>
    <w:p w14:paraId="2919F2DA" w14:textId="77777777" w:rsidR="00C7742F" w:rsidRDefault="00504FF3">
      <w:pPr>
        <w:jc w:val="left"/>
        <w:rPr>
          <w:rFonts w:asciiTheme="minorHAnsi" w:hAnsiTheme="minorHAnsi" w:cstheme="minorHAnsi"/>
          <w:bCs/>
          <w:lang w:eastAsia="zh-CN"/>
        </w:rPr>
      </w:pPr>
      <w:r>
        <w:rPr>
          <w:rFonts w:asciiTheme="minorHAnsi" w:hAnsiTheme="minorHAnsi" w:cstheme="minorHAnsi"/>
          <w:b/>
          <w:u w:val="single"/>
          <w:lang w:eastAsia="zh-CN"/>
        </w:rPr>
        <w:lastRenderedPageBreak/>
        <w:t xml:space="preserve">Proposal 1: </w:t>
      </w:r>
      <w:r>
        <w:rPr>
          <w:rFonts w:asciiTheme="minorHAnsi" w:hAnsiTheme="minorHAnsi" w:cstheme="minorHAnsi"/>
          <w:bCs/>
          <w:lang w:eastAsia="zh-CN"/>
        </w:rPr>
        <w:t>Support Option 2 in the above agreement.</w:t>
      </w:r>
    </w:p>
    <w:p w14:paraId="638664B1" w14:textId="77777777" w:rsidR="00C7742F" w:rsidRDefault="00504FF3">
      <w:pPr>
        <w:rPr>
          <w:rFonts w:asciiTheme="minorHAnsi" w:hAnsiTheme="minorHAnsi" w:cstheme="minorHAnsi"/>
          <w:bCs/>
          <w:lang w:eastAsia="zh-CN"/>
        </w:rPr>
      </w:pPr>
      <w:r>
        <w:rPr>
          <w:rFonts w:eastAsia="Times New Roman" w:cstheme="minorHAnsi"/>
          <w:b/>
          <w:bCs/>
          <w:u w:val="single"/>
        </w:rPr>
        <w:t xml:space="preserve">Proposal 2: </w:t>
      </w:r>
      <w:r>
        <w:rPr>
          <w:rFonts w:asciiTheme="minorHAnsi" w:hAnsiTheme="minorHAnsi" w:cstheme="minorHAnsi"/>
          <w:bCs/>
          <w:lang w:eastAsia="zh-CN"/>
        </w:rPr>
        <w:t>When the sidelink control information associated t</w:t>
      </w:r>
      <w:r>
        <w:rPr>
          <w:rFonts w:asciiTheme="minorHAnsi" w:hAnsiTheme="minorHAnsi" w:cstheme="minorHAnsi"/>
          <w:bCs/>
          <w:lang w:eastAsia="zh-CN"/>
        </w:rPr>
        <w:t xml:space="preserve">o a sidelink transmission carries the indication of resource reservation for a future transmission, the source ID and the destination ID in the 2nd stage SCI of prior reserved transmission are not transmitted. </w:t>
      </w:r>
    </w:p>
    <w:p w14:paraId="35D1CFCA" w14:textId="77777777" w:rsidR="00C7742F" w:rsidRDefault="00504FF3">
      <w:pPr>
        <w:rPr>
          <w:rFonts w:asciiTheme="minorHAnsi" w:hAnsiTheme="minorHAnsi" w:cstheme="minorHAnsi"/>
        </w:rPr>
      </w:pPr>
      <w:r>
        <w:rPr>
          <w:rFonts w:asciiTheme="minorHAnsi" w:hAnsiTheme="minorHAnsi" w:cstheme="minorHAnsi"/>
          <w:b/>
          <w:u w:val="single"/>
        </w:rPr>
        <w:t xml:space="preserve">Proposal 3: </w:t>
      </w:r>
      <w:r>
        <w:rPr>
          <w:rFonts w:asciiTheme="minorHAnsi" w:hAnsiTheme="minorHAnsi" w:cstheme="minorHAnsi"/>
        </w:rPr>
        <w:t>For sidelink unicast transmission</w:t>
      </w:r>
      <w:r>
        <w:rPr>
          <w:rFonts w:asciiTheme="minorHAnsi" w:hAnsiTheme="minorHAnsi" w:cstheme="minorHAnsi"/>
        </w:rPr>
        <w:t>s with HARQ feedback, support CBG based feedback and re-transmissions.</w:t>
      </w:r>
    </w:p>
    <w:p w14:paraId="4D1D4B07" w14:textId="77777777" w:rsidR="00C7742F" w:rsidRDefault="00504FF3">
      <w:pPr>
        <w:rPr>
          <w:rFonts w:asciiTheme="minorHAnsi" w:hAnsiTheme="minorHAnsi" w:cstheme="minorHAnsi"/>
        </w:rPr>
      </w:pPr>
      <w:r>
        <w:rPr>
          <w:rFonts w:asciiTheme="minorHAnsi" w:hAnsiTheme="minorHAnsi" w:cstheme="minorHAnsi"/>
          <w:b/>
          <w:u w:val="single"/>
        </w:rPr>
        <w:t xml:space="preserve">Proposal 4: </w:t>
      </w:r>
      <w:r>
        <w:rPr>
          <w:rFonts w:asciiTheme="minorHAnsi" w:hAnsiTheme="minorHAnsi" w:cstheme="minorHAnsi"/>
        </w:rPr>
        <w:t xml:space="preserve">For sidelink groupcast transmissions with HARQ feedback, only transport block-based feedback and re-transmissions are supported. </w:t>
      </w:r>
    </w:p>
    <w:p w14:paraId="77D432CB" w14:textId="77777777" w:rsidR="00C7742F" w:rsidRDefault="00504FF3">
      <w:pPr>
        <w:rPr>
          <w:rFonts w:asciiTheme="minorHAnsi" w:hAnsiTheme="minorHAnsi" w:cstheme="minorHAnsi"/>
        </w:rPr>
      </w:pPr>
      <w:r>
        <w:rPr>
          <w:rFonts w:asciiTheme="minorHAnsi" w:hAnsiTheme="minorHAnsi" w:cstheme="minorHAnsi"/>
          <w:b/>
          <w:bCs/>
          <w:u w:val="single"/>
        </w:rPr>
        <w:t>Proposal 5:</w:t>
      </w:r>
      <w:r>
        <w:rPr>
          <w:rFonts w:asciiTheme="minorHAnsi" w:hAnsiTheme="minorHAnsi" w:cstheme="minorHAnsi"/>
        </w:rPr>
        <w:t xml:space="preserve"> At least for groupcast option 2, the order of (initial) cyclic shifts per PRB within the PSFCH candidate resource set depends on the (logical) PRB index.</w:t>
      </w:r>
    </w:p>
    <w:p w14:paraId="22AD7B20" w14:textId="77777777" w:rsidR="00C7742F" w:rsidRDefault="00504FF3">
      <w:pPr>
        <w:rPr>
          <w:rFonts w:asciiTheme="minorHAnsi" w:hAnsiTheme="minorHAnsi" w:cstheme="minorHAnsi"/>
        </w:rPr>
      </w:pPr>
      <w:r>
        <w:rPr>
          <w:rFonts w:asciiTheme="minorHAnsi" w:hAnsiTheme="minorHAnsi" w:cstheme="minorHAnsi"/>
          <w:b/>
          <w:bCs/>
          <w:u w:val="single"/>
        </w:rPr>
        <w:t>Proposal 6:</w:t>
      </w:r>
      <w:r>
        <w:rPr>
          <w:rFonts w:asciiTheme="minorHAnsi" w:hAnsiTheme="minorHAnsi" w:cstheme="minorHAnsi"/>
        </w:rPr>
        <w:t xml:space="preserve"> For groupcast option 2, the (initial) cyclic shifts within the PSFCH candidate resource s</w:t>
      </w:r>
      <w:r>
        <w:rPr>
          <w:rFonts w:asciiTheme="minorHAnsi" w:hAnsiTheme="minorHAnsi" w:cstheme="minorHAnsi"/>
        </w:rPr>
        <w:t>et depend on the group size X.</w:t>
      </w:r>
    </w:p>
    <w:p w14:paraId="74594B52" w14:textId="77777777" w:rsidR="00C7742F" w:rsidRDefault="00504FF3">
      <w:pPr>
        <w:rPr>
          <w:rFonts w:asciiTheme="minorHAnsi" w:hAnsiTheme="minorHAnsi" w:cstheme="minorHAnsi"/>
        </w:rPr>
      </w:pPr>
      <w:r>
        <w:rPr>
          <w:rFonts w:asciiTheme="minorHAnsi" w:hAnsiTheme="minorHAnsi" w:cstheme="minorHAnsi"/>
          <w:b/>
          <w:bCs/>
          <w:u w:val="single"/>
        </w:rPr>
        <w:t>Proposal 7:</w:t>
      </w:r>
      <w:r>
        <w:rPr>
          <w:rFonts w:asciiTheme="minorHAnsi" w:hAnsiTheme="minorHAnsi" w:cstheme="minorHAnsi"/>
        </w:rPr>
        <w:t xml:space="preserve"> Allow HARQ feedback option 2 even if X &gt; Z*Y.</w:t>
      </w:r>
    </w:p>
    <w:p w14:paraId="20AB7AAF" w14:textId="77777777" w:rsidR="00C7742F" w:rsidRDefault="00504FF3">
      <w:pPr>
        <w:rPr>
          <w:rFonts w:asciiTheme="minorHAnsi" w:hAnsiTheme="minorHAnsi" w:cstheme="minorHAnsi"/>
        </w:rPr>
      </w:pPr>
      <w:r>
        <w:rPr>
          <w:rFonts w:asciiTheme="minorHAnsi" w:hAnsiTheme="minorHAnsi" w:cstheme="minorHAnsi"/>
          <w:b/>
          <w:bCs/>
          <w:u w:val="single"/>
        </w:rPr>
        <w:t>Proposal 8:</w:t>
      </w:r>
      <w:r>
        <w:rPr>
          <w:rFonts w:asciiTheme="minorHAnsi" w:hAnsiTheme="minorHAnsi" w:cstheme="minorHAnsi"/>
        </w:rPr>
        <w:t xml:space="preserve"> For groupcast option 2, only UEs with member ID M &lt; Z*Y compute a PSFCH resource index.</w:t>
      </w:r>
    </w:p>
    <w:p w14:paraId="6D8E42A5" w14:textId="77777777" w:rsidR="00C7742F" w:rsidRDefault="00504FF3">
      <w:pPr>
        <w:rPr>
          <w:rFonts w:asciiTheme="minorHAnsi" w:hAnsiTheme="minorHAnsi" w:cstheme="minorHAnsi"/>
        </w:rPr>
      </w:pPr>
      <w:r>
        <w:rPr>
          <w:rFonts w:asciiTheme="minorHAnsi" w:hAnsiTheme="minorHAnsi" w:cstheme="minorHAnsi"/>
          <w:b/>
          <w:bCs/>
          <w:u w:val="single"/>
        </w:rPr>
        <w:t>Proposal 9:</w:t>
      </w:r>
      <w:r>
        <w:rPr>
          <w:rFonts w:asciiTheme="minorHAnsi" w:hAnsiTheme="minorHAnsi" w:cstheme="minorHAnsi"/>
        </w:rPr>
        <w:t xml:space="preserve"> For groupcast option 2 when X &gt; Z*Y, which UEs feedback depends on the transmission index </w:t>
      </w:r>
      <w:proofErr w:type="spellStart"/>
      <w:r>
        <w:rPr>
          <w:rFonts w:asciiTheme="minorHAnsi" w:hAnsiTheme="minorHAnsi" w:cstheme="minorHAnsi"/>
        </w:rPr>
        <w:t>i</w:t>
      </w:r>
      <w:proofErr w:type="spellEnd"/>
      <w:r>
        <w:rPr>
          <w:rFonts w:asciiTheme="minorHAnsi" w:hAnsiTheme="minorHAnsi" w:cstheme="minorHAnsi"/>
        </w:rPr>
        <w:t xml:space="preserve"> and/or the redundancy version signaled in the associated SCI.</w:t>
      </w:r>
    </w:p>
    <w:p w14:paraId="059FA131" w14:textId="77777777" w:rsidR="00C7742F" w:rsidRDefault="00504FF3">
      <w:pPr>
        <w:rPr>
          <w:rFonts w:asciiTheme="minorHAnsi" w:hAnsiTheme="minorHAnsi" w:cstheme="minorHAnsi"/>
        </w:rPr>
      </w:pPr>
      <w:r>
        <w:rPr>
          <w:rFonts w:asciiTheme="minorHAnsi" w:hAnsiTheme="minorHAnsi" w:cstheme="minorHAnsi"/>
          <w:b/>
          <w:u w:val="single"/>
        </w:rPr>
        <w:t xml:space="preserve">Proposal 10: </w:t>
      </w:r>
      <w:r>
        <w:rPr>
          <w:rFonts w:asciiTheme="minorHAnsi" w:hAnsiTheme="minorHAnsi" w:cstheme="minorHAnsi"/>
        </w:rPr>
        <w:t>For CSI acquisition in Mode 1, the gNB can allocate the resources for CSI-RS transmissio</w:t>
      </w:r>
      <w:r>
        <w:rPr>
          <w:rFonts w:asciiTheme="minorHAnsi" w:hAnsiTheme="minorHAnsi" w:cstheme="minorHAnsi"/>
        </w:rPr>
        <w:t>n and the CSI reporting simultaneously.</w:t>
      </w:r>
    </w:p>
    <w:p w14:paraId="57F781FB" w14:textId="77777777" w:rsidR="00C7742F" w:rsidRDefault="00504FF3">
      <w:pPr>
        <w:rPr>
          <w:rFonts w:cstheme="minorHAnsi"/>
        </w:rPr>
      </w:pPr>
      <w:r>
        <w:rPr>
          <w:rFonts w:cstheme="minorHAnsi"/>
          <w:b/>
          <w:bCs/>
          <w:u w:val="single"/>
        </w:rPr>
        <w:t xml:space="preserve">Proposal 11: </w:t>
      </w:r>
      <w:r>
        <w:rPr>
          <w:rFonts w:cstheme="minorHAnsi"/>
        </w:rPr>
        <w:t>The users, indicated to perform autonomous resource allocation while in-coverage, use sensing based resource allocation to choose the suitable transmission resources.</w:t>
      </w:r>
    </w:p>
    <w:p w14:paraId="4D426854" w14:textId="77777777" w:rsidR="00C7742F" w:rsidRDefault="00C7742F">
      <w:pPr>
        <w:jc w:val="left"/>
        <w:rPr>
          <w:rFonts w:asciiTheme="minorHAnsi" w:hAnsiTheme="minorHAnsi" w:cstheme="minorHAnsi"/>
          <w:lang w:eastAsia="zh-CN"/>
        </w:rPr>
      </w:pPr>
    </w:p>
    <w:p w14:paraId="07A938CF" w14:textId="77777777" w:rsidR="00C7742F" w:rsidRDefault="00504FF3">
      <w:pPr>
        <w:pStyle w:val="Heading1"/>
        <w:numPr>
          <w:ilvl w:val="0"/>
          <w:numId w:val="3"/>
        </w:numPr>
        <w:rPr>
          <w:rFonts w:asciiTheme="minorHAnsi" w:hAnsiTheme="minorHAnsi" w:cstheme="minorHAnsi"/>
          <w:sz w:val="22"/>
          <w:szCs w:val="22"/>
        </w:rPr>
      </w:pPr>
      <w:r>
        <w:rPr>
          <w:rFonts w:asciiTheme="minorHAnsi" w:hAnsiTheme="minorHAnsi" w:cstheme="minorHAnsi"/>
          <w:sz w:val="22"/>
          <w:szCs w:val="22"/>
        </w:rPr>
        <w:t>References</w:t>
      </w:r>
      <w:bookmarkStart w:id="22" w:name="_Ref129681832"/>
      <w:bookmarkStart w:id="23" w:name="_Ref124589665"/>
      <w:bookmarkStart w:id="24" w:name="_Ref71620620"/>
      <w:bookmarkStart w:id="25" w:name="_Ref124671424"/>
      <w:bookmarkEnd w:id="22"/>
      <w:bookmarkEnd w:id="23"/>
      <w:bookmarkEnd w:id="24"/>
      <w:bookmarkEnd w:id="25"/>
    </w:p>
    <w:p w14:paraId="01F50BF5" w14:textId="77777777" w:rsidR="00C7742F" w:rsidRDefault="00504FF3">
      <w:pPr>
        <w:pStyle w:val="References"/>
        <w:numPr>
          <w:ilvl w:val="0"/>
          <w:numId w:val="2"/>
        </w:numPr>
        <w:rPr>
          <w:rFonts w:asciiTheme="minorHAnsi" w:hAnsiTheme="minorHAnsi" w:cstheme="minorHAnsi"/>
          <w:sz w:val="22"/>
          <w:szCs w:val="22"/>
        </w:rPr>
      </w:pPr>
      <w:r>
        <w:rPr>
          <w:rFonts w:asciiTheme="minorHAnsi" w:hAnsiTheme="minorHAnsi" w:cstheme="minorHAnsi"/>
          <w:sz w:val="22"/>
          <w:szCs w:val="22"/>
        </w:rPr>
        <w:t>RAN1 Chairman’s Notes, 3</w:t>
      </w:r>
      <w:r>
        <w:rPr>
          <w:rFonts w:asciiTheme="minorHAnsi" w:hAnsiTheme="minorHAnsi" w:cstheme="minorHAnsi"/>
          <w:sz w:val="22"/>
          <w:szCs w:val="22"/>
        </w:rPr>
        <w:t>GPP TSG RAN WG1 Meeting #99.</w:t>
      </w:r>
    </w:p>
    <w:p w14:paraId="30D876AB" w14:textId="77777777" w:rsidR="00C7742F" w:rsidRDefault="00504FF3">
      <w:pPr>
        <w:pStyle w:val="References"/>
        <w:numPr>
          <w:ilvl w:val="0"/>
          <w:numId w:val="2"/>
        </w:numPr>
        <w:rPr>
          <w:rFonts w:asciiTheme="minorHAnsi" w:hAnsiTheme="minorHAnsi" w:cstheme="minorHAnsi"/>
          <w:sz w:val="22"/>
          <w:szCs w:val="22"/>
        </w:rPr>
      </w:pPr>
      <w:r>
        <w:rPr>
          <w:rFonts w:asciiTheme="minorHAnsi" w:hAnsiTheme="minorHAnsi" w:cstheme="minorHAnsi"/>
          <w:sz w:val="22"/>
          <w:szCs w:val="22"/>
        </w:rPr>
        <w:t>RAN1 Chairman’s Notes, 3GPP TSG RAN WG1 Meeting #98B.</w:t>
      </w:r>
    </w:p>
    <w:p w14:paraId="7B4D4E98" w14:textId="77777777" w:rsidR="00C7742F" w:rsidRDefault="00504FF3">
      <w:pPr>
        <w:pStyle w:val="References"/>
        <w:numPr>
          <w:ilvl w:val="0"/>
          <w:numId w:val="2"/>
        </w:numPr>
        <w:rPr>
          <w:rFonts w:asciiTheme="minorHAnsi" w:hAnsiTheme="minorHAnsi" w:cstheme="minorHAnsi"/>
          <w:sz w:val="22"/>
          <w:szCs w:val="22"/>
        </w:rPr>
      </w:pPr>
      <w:r>
        <w:rPr>
          <w:rFonts w:asciiTheme="minorHAnsi" w:hAnsiTheme="minorHAnsi" w:cstheme="minorHAnsi"/>
          <w:sz w:val="22"/>
          <w:szCs w:val="22"/>
        </w:rPr>
        <w:t>RAN1 Chairman’s Notes, 3GPP TSG RAN WG1 Meeting #98.</w:t>
      </w:r>
    </w:p>
    <w:p w14:paraId="5FCD1135" w14:textId="77777777" w:rsidR="00C7742F" w:rsidRDefault="00504FF3">
      <w:pPr>
        <w:pStyle w:val="References"/>
        <w:numPr>
          <w:ilvl w:val="0"/>
          <w:numId w:val="2"/>
        </w:numPr>
        <w:rPr>
          <w:rFonts w:asciiTheme="minorHAnsi" w:hAnsiTheme="minorHAnsi" w:cstheme="minorHAnsi"/>
          <w:sz w:val="22"/>
          <w:szCs w:val="22"/>
        </w:rPr>
      </w:pPr>
      <w:r>
        <w:rPr>
          <w:rFonts w:asciiTheme="minorHAnsi" w:hAnsiTheme="minorHAnsi" w:cstheme="minorHAnsi"/>
          <w:sz w:val="22"/>
          <w:szCs w:val="22"/>
        </w:rPr>
        <w:t>RAN1 Chairman’s Notes, 3GPP TSG RAN WG1 Meeting #97.</w:t>
      </w:r>
    </w:p>
    <w:p w14:paraId="5919FEFC" w14:textId="77777777" w:rsidR="00C7742F" w:rsidRDefault="00504FF3">
      <w:pPr>
        <w:pStyle w:val="References"/>
        <w:numPr>
          <w:ilvl w:val="0"/>
          <w:numId w:val="2"/>
        </w:numPr>
        <w:rPr>
          <w:rFonts w:asciiTheme="minorHAnsi" w:hAnsiTheme="minorHAnsi" w:cstheme="minorHAnsi"/>
          <w:sz w:val="22"/>
          <w:szCs w:val="22"/>
        </w:rPr>
      </w:pPr>
      <w:r>
        <w:rPr>
          <w:rFonts w:asciiTheme="minorHAnsi" w:hAnsiTheme="minorHAnsi" w:cstheme="minorHAnsi"/>
          <w:sz w:val="22"/>
          <w:szCs w:val="22"/>
        </w:rPr>
        <w:t>RAN1 Chairman’s Notes, 3GPP TSG RAN WG1 Meeting #96B.</w:t>
      </w:r>
    </w:p>
    <w:p w14:paraId="5557F67E" w14:textId="77777777" w:rsidR="00C7742F" w:rsidRDefault="00504FF3">
      <w:pPr>
        <w:pStyle w:val="References"/>
        <w:numPr>
          <w:ilvl w:val="0"/>
          <w:numId w:val="2"/>
        </w:numPr>
        <w:rPr>
          <w:rFonts w:asciiTheme="minorHAnsi" w:hAnsiTheme="minorHAnsi" w:cstheme="minorHAnsi"/>
          <w:sz w:val="22"/>
          <w:szCs w:val="22"/>
        </w:rPr>
      </w:pPr>
      <w:r>
        <w:rPr>
          <w:rFonts w:asciiTheme="minorHAnsi" w:hAnsiTheme="minorHAnsi" w:cstheme="minorHAnsi"/>
          <w:sz w:val="22"/>
          <w:szCs w:val="22"/>
        </w:rPr>
        <w:t>RAN1 Chairman</w:t>
      </w:r>
      <w:r>
        <w:rPr>
          <w:rFonts w:asciiTheme="minorHAnsi" w:hAnsiTheme="minorHAnsi" w:cstheme="minorHAnsi"/>
          <w:sz w:val="22"/>
          <w:szCs w:val="22"/>
        </w:rPr>
        <w:t>’s Notes, 3GPP TSG RAN WG1 Meeting #96.</w:t>
      </w:r>
    </w:p>
    <w:p w14:paraId="2A981DA9" w14:textId="77777777" w:rsidR="00C7742F" w:rsidRDefault="00504FF3">
      <w:pPr>
        <w:pStyle w:val="References"/>
        <w:numPr>
          <w:ilvl w:val="0"/>
          <w:numId w:val="2"/>
        </w:numPr>
        <w:rPr>
          <w:rFonts w:asciiTheme="minorHAnsi" w:hAnsiTheme="minorHAnsi" w:cstheme="minorHAnsi"/>
          <w:sz w:val="22"/>
          <w:szCs w:val="22"/>
        </w:rPr>
      </w:pPr>
      <w:r>
        <w:rPr>
          <w:rFonts w:asciiTheme="minorHAnsi" w:hAnsiTheme="minorHAnsi" w:cstheme="minorHAnsi"/>
          <w:sz w:val="22"/>
          <w:szCs w:val="22"/>
        </w:rPr>
        <w:t>RAN1 Chairman’s Notes, 3GPP TSG RAN WG1 Meeting #95.</w:t>
      </w:r>
    </w:p>
    <w:p w14:paraId="28B6A6BA" w14:textId="77777777" w:rsidR="00C7742F" w:rsidRDefault="00504FF3">
      <w:pPr>
        <w:pStyle w:val="References"/>
        <w:numPr>
          <w:ilvl w:val="0"/>
          <w:numId w:val="2"/>
        </w:numPr>
        <w:rPr>
          <w:rFonts w:asciiTheme="minorHAnsi" w:hAnsiTheme="minorHAnsi" w:cstheme="minorHAnsi"/>
          <w:sz w:val="22"/>
          <w:szCs w:val="22"/>
        </w:rPr>
      </w:pPr>
      <w:r>
        <w:rPr>
          <w:rFonts w:asciiTheme="minorHAnsi" w:hAnsiTheme="minorHAnsi" w:cstheme="minorHAnsi"/>
          <w:sz w:val="22"/>
          <w:szCs w:val="22"/>
        </w:rPr>
        <w:t>RAN1 Chairman’s Notes, 3GPP TSG RAN WG1 Meeting # AH1901.</w:t>
      </w:r>
    </w:p>
    <w:p w14:paraId="0226E83E" w14:textId="77777777" w:rsidR="00C7742F" w:rsidRDefault="00504FF3">
      <w:pPr>
        <w:pStyle w:val="References"/>
        <w:numPr>
          <w:ilvl w:val="0"/>
          <w:numId w:val="2"/>
        </w:numPr>
        <w:rPr>
          <w:rFonts w:asciiTheme="minorHAnsi" w:hAnsiTheme="minorHAnsi" w:cstheme="minorHAnsi"/>
          <w:sz w:val="22"/>
          <w:szCs w:val="22"/>
        </w:rPr>
      </w:pPr>
      <w:r>
        <w:rPr>
          <w:rFonts w:asciiTheme="minorHAnsi" w:hAnsiTheme="minorHAnsi" w:cstheme="minorHAnsi"/>
          <w:sz w:val="22"/>
          <w:szCs w:val="22"/>
        </w:rPr>
        <w:t>RP-182089, “Study on physical layer enhancements for NR ultra-reliable and low latency communication (URL</w:t>
      </w:r>
      <w:r>
        <w:rPr>
          <w:rFonts w:asciiTheme="minorHAnsi" w:hAnsiTheme="minorHAnsi" w:cstheme="minorHAnsi"/>
          <w:sz w:val="22"/>
          <w:szCs w:val="22"/>
        </w:rPr>
        <w:t xml:space="preserve">LC)”, Huawei, </w:t>
      </w:r>
      <w:proofErr w:type="spellStart"/>
      <w:r>
        <w:rPr>
          <w:rFonts w:asciiTheme="minorHAnsi" w:hAnsiTheme="minorHAnsi" w:cstheme="minorHAnsi"/>
          <w:sz w:val="22"/>
          <w:szCs w:val="22"/>
        </w:rPr>
        <w:t>HiSilicon</w:t>
      </w:r>
      <w:proofErr w:type="spellEnd"/>
      <w:r>
        <w:rPr>
          <w:rFonts w:asciiTheme="minorHAnsi" w:hAnsiTheme="minorHAnsi" w:cstheme="minorHAnsi"/>
          <w:sz w:val="22"/>
          <w:szCs w:val="22"/>
        </w:rPr>
        <w:t>, Nokia, Nokia Shanghai Bell, RAN#81, Sep. 2018</w:t>
      </w:r>
    </w:p>
    <w:p w14:paraId="29A84E9E" w14:textId="77777777" w:rsidR="00C7742F" w:rsidRDefault="00C7742F">
      <w:pPr>
        <w:pStyle w:val="References"/>
        <w:ind w:left="360"/>
      </w:pPr>
    </w:p>
    <w:sectPr w:rsidR="00C7742F">
      <w:pgSz w:w="11906" w:h="16838"/>
      <w:pgMar w:top="1440" w:right="1152" w:bottom="1440" w:left="1440" w:header="0" w:footer="0" w:gutter="0"/>
      <w:cols w:space="720"/>
      <w:formProt w:val="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1"/>
    <w:family w:val="roman"/>
    <w:pitch w:val="variable"/>
  </w:font>
  <w:font w:name="Noto Sans CJK SC Regular">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F2C4F"/>
    <w:multiLevelType w:val="multilevel"/>
    <w:tmpl w:val="1D1890A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59003E6"/>
    <w:multiLevelType w:val="multilevel"/>
    <w:tmpl w:val="5902047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9E25213"/>
    <w:multiLevelType w:val="multilevel"/>
    <w:tmpl w:val="D0DE9108"/>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A95646"/>
    <w:multiLevelType w:val="multilevel"/>
    <w:tmpl w:val="E79AB70C"/>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36D95531"/>
    <w:multiLevelType w:val="multilevel"/>
    <w:tmpl w:val="1A3817C6"/>
    <w:lvl w:ilvl="0">
      <w:start w:val="1"/>
      <w:numFmt w:val="bullet"/>
      <w:lvlText w:val=""/>
      <w:lvlJc w:val="left"/>
      <w:pPr>
        <w:ind w:left="542" w:hanging="400"/>
      </w:pPr>
      <w:rPr>
        <w:rFonts w:ascii="Wingdings" w:hAnsi="Wingdings" w:cs="Wingdings" w:hint="default"/>
      </w:rPr>
    </w:lvl>
    <w:lvl w:ilvl="1">
      <w:start w:val="1"/>
      <w:numFmt w:val="bullet"/>
      <w:lvlText w:val="–"/>
      <w:lvlJc w:val="left"/>
      <w:pPr>
        <w:ind w:left="942" w:hanging="400"/>
      </w:pPr>
      <w:rPr>
        <w:rFonts w:ascii="Malgun Gothic" w:hAnsi="Malgun Gothic" w:cs="Malgun Gothic" w:hint="default"/>
      </w:rPr>
    </w:lvl>
    <w:lvl w:ilvl="2">
      <w:start w:val="1"/>
      <w:numFmt w:val="bullet"/>
      <w:lvlText w:val=""/>
      <w:lvlJc w:val="left"/>
      <w:pPr>
        <w:ind w:left="1342" w:hanging="400"/>
      </w:pPr>
      <w:rPr>
        <w:rFonts w:ascii="Wingdings" w:hAnsi="Wingdings" w:cs="Wingdings" w:hint="default"/>
      </w:rPr>
    </w:lvl>
    <w:lvl w:ilvl="3">
      <w:start w:val="2655"/>
      <w:numFmt w:val="bullet"/>
      <w:lvlText w:val="»"/>
      <w:lvlJc w:val="left"/>
      <w:pPr>
        <w:ind w:left="1742" w:hanging="400"/>
      </w:pPr>
      <w:rPr>
        <w:rFonts w:ascii="Arial" w:hAnsi="Arial" w:cs="Arial" w:hint="default"/>
      </w:rPr>
    </w:lvl>
    <w:lvl w:ilvl="4">
      <w:start w:val="1"/>
      <w:numFmt w:val="bullet"/>
      <w:lvlText w:val=""/>
      <w:lvlJc w:val="left"/>
      <w:pPr>
        <w:ind w:left="2142" w:hanging="400"/>
      </w:pPr>
      <w:rPr>
        <w:rFonts w:ascii="Wingdings" w:hAnsi="Wingdings" w:cs="Wingdings" w:hint="default"/>
      </w:rPr>
    </w:lvl>
    <w:lvl w:ilvl="5">
      <w:start w:val="1"/>
      <w:numFmt w:val="bullet"/>
      <w:lvlText w:val="-"/>
      <w:lvlJc w:val="left"/>
      <w:pPr>
        <w:ind w:left="2542" w:hanging="400"/>
      </w:pPr>
      <w:rPr>
        <w:rFonts w:ascii="Calibri" w:hAnsi="Calibri" w:cs="Calibri" w:hint="default"/>
      </w:rPr>
    </w:lvl>
    <w:lvl w:ilvl="6">
      <w:start w:val="1"/>
      <w:numFmt w:val="bullet"/>
      <w:lvlText w:val=""/>
      <w:lvlJc w:val="left"/>
      <w:pPr>
        <w:ind w:left="2942" w:hanging="400"/>
      </w:pPr>
      <w:rPr>
        <w:rFonts w:ascii="Wingdings" w:hAnsi="Wingdings" w:cs="Wingdings" w:hint="default"/>
      </w:rPr>
    </w:lvl>
    <w:lvl w:ilvl="7">
      <w:start w:val="1"/>
      <w:numFmt w:val="bullet"/>
      <w:lvlText w:val=""/>
      <w:lvlJc w:val="left"/>
      <w:pPr>
        <w:ind w:left="3342" w:hanging="400"/>
      </w:pPr>
      <w:rPr>
        <w:rFonts w:ascii="Wingdings" w:hAnsi="Wingdings" w:cs="Wingdings" w:hint="default"/>
      </w:rPr>
    </w:lvl>
    <w:lvl w:ilvl="8">
      <w:start w:val="1"/>
      <w:numFmt w:val="bullet"/>
      <w:lvlText w:val=""/>
      <w:lvlJc w:val="left"/>
      <w:pPr>
        <w:ind w:left="3742" w:hanging="400"/>
      </w:pPr>
      <w:rPr>
        <w:rFonts w:ascii="Wingdings" w:hAnsi="Wingdings" w:cs="Wingdings" w:hint="default"/>
      </w:rPr>
    </w:lvl>
  </w:abstractNum>
  <w:abstractNum w:abstractNumId="5" w15:restartNumberingAfterBreak="0">
    <w:nsid w:val="43AB3D40"/>
    <w:multiLevelType w:val="multilevel"/>
    <w:tmpl w:val="EED88CB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45A335BF"/>
    <w:multiLevelType w:val="multilevel"/>
    <w:tmpl w:val="2250C8E8"/>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6"/>
  </w:num>
  <w:num w:numId="2">
    <w:abstractNumId w:val="0"/>
  </w:num>
  <w:num w:numId="3">
    <w:abstractNumId w:val="2"/>
  </w:num>
  <w:num w:numId="4">
    <w:abstractNumId w:val="4"/>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trackRevisions/>
  <w:defaultTabStop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42F"/>
    <w:rsid w:val="00144FED"/>
    <w:rsid w:val="00504FF3"/>
    <w:rsid w:val="006E3D49"/>
    <w:rsid w:val="00C7742F"/>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1D6FD"/>
  <w15:docId w15:val="{536B9BB3-CF91-462A-81F8-35AC59721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F78"/>
    <w:pPr>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kern w:val="2"/>
      <w:sz w:val="24"/>
      <w:lang w:val="en-GB"/>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CF195E"/>
  </w:style>
  <w:style w:type="character" w:customStyle="1" w:styleId="InternetLink">
    <w:name w:val="Internet Link"/>
    <w:rPr>
      <w:color w:val="0000FF"/>
      <w:kern w:val="2"/>
      <w:u w:val="single"/>
      <w:lang w:val="en-GB" w:eastAsia="zh-CN" w:bidi="ar-SA"/>
    </w:rPr>
  </w:style>
  <w:style w:type="character" w:customStyle="1" w:styleId="CaptionChar">
    <w:name w:val="Caption Char"/>
    <w:link w:val="Caption"/>
    <w:qFormat/>
    <w:rsid w:val="00C411AF"/>
    <w:rPr>
      <w:b/>
      <w:bCs/>
      <w:kern w:val="2"/>
      <w:lang w:val="en-GB" w:eastAsia="zh-CN" w:bidi="ar-SA"/>
    </w:rPr>
  </w:style>
  <w:style w:type="character" w:styleId="FollowedHyperlink">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HeaderChar">
    <w:name w:val="Header Char"/>
    <w:link w:val="Header"/>
    <w:qFormat/>
    <w:rsid w:val="00AB3F38"/>
    <w:rPr>
      <w:kern w:val="2"/>
      <w:sz w:val="22"/>
      <w:szCs w:val="22"/>
      <w:lang w:val="en-GB" w:eastAsia="zh-CN" w:bidi="ar-SA"/>
    </w:rPr>
  </w:style>
  <w:style w:type="character" w:customStyle="1" w:styleId="FooterChar">
    <w:name w:val="Footer Char"/>
    <w:link w:val="Footer"/>
    <w:qFormat/>
    <w:rsid w:val="00AB3F38"/>
    <w:rPr>
      <w:kern w:val="2"/>
      <w:sz w:val="22"/>
      <w:szCs w:val="22"/>
      <w:lang w:val="en-GB" w:eastAsia="zh-CN" w:bidi="ar-SA"/>
    </w:rPr>
  </w:style>
  <w:style w:type="character" w:customStyle="1" w:styleId="DocumentMapChar">
    <w:name w:val="Document Map Char"/>
    <w:link w:val="DocumentMap"/>
    <w:qFormat/>
    <w:rsid w:val="00E539F9"/>
    <w:rPr>
      <w:rFonts w:ascii="SimSun" w:hAnsi="SimSun"/>
      <w:kern w:val="2"/>
      <w:sz w:val="18"/>
      <w:szCs w:val="18"/>
      <w:lang w:val="en-GB" w:eastAsia="en-US" w:bidi="ar-SA"/>
    </w:rPr>
  </w:style>
  <w:style w:type="character" w:styleId="CommentReference">
    <w:name w:val="annotation reference"/>
    <w:qFormat/>
    <w:rsid w:val="00971D66"/>
    <w:rPr>
      <w:kern w:val="2"/>
      <w:sz w:val="16"/>
      <w:szCs w:val="16"/>
      <w:lang w:val="en-GB" w:eastAsia="zh-CN" w:bidi="ar-SA"/>
    </w:rPr>
  </w:style>
  <w:style w:type="character" w:customStyle="1" w:styleId="CommentTextChar">
    <w:name w:val="Comment Text Char"/>
    <w:link w:val="CommentText"/>
    <w:qFormat/>
    <w:rsid w:val="00971D66"/>
    <w:rPr>
      <w:kern w:val="2"/>
      <w:lang w:val="en-GB" w:eastAsia="en-US" w:bidi="ar-SA"/>
    </w:rPr>
  </w:style>
  <w:style w:type="character" w:customStyle="1" w:styleId="CommentSubjectChar">
    <w:name w:val="Comment Subject Char"/>
    <w:link w:val="CommentSubject"/>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Heading2Char">
    <w:name w:val="Heading 2 Char"/>
    <w:link w:val="Heading2"/>
    <w:qFormat/>
    <w:rsid w:val="00FF5F79"/>
    <w:rPr>
      <w:b/>
      <w:bCs/>
      <w:kern w:val="2"/>
      <w:sz w:val="24"/>
      <w:szCs w:val="22"/>
      <w:lang w:val="en-GB"/>
    </w:rPr>
  </w:style>
  <w:style w:type="character" w:customStyle="1" w:styleId="ListParagraphChar">
    <w:name w:val="List Paragraph Char"/>
    <w:link w:val="ListParagraph"/>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ListLabel1">
    <w:name w:val="ListLabel 1"/>
    <w:qFormat/>
    <w:rPr>
      <w:i w:val="0"/>
      <w:lang w:val="en-US"/>
    </w:rPr>
  </w:style>
  <w:style w:type="character" w:customStyle="1" w:styleId="ListLabel2">
    <w:name w:val="ListLabel 2"/>
    <w:qFormat/>
    <w:rPr>
      <w:b/>
      <w:i w:val="0"/>
      <w:sz w:val="24"/>
      <w:effect w:val="none"/>
    </w:rPr>
  </w:style>
  <w:style w:type="character" w:customStyle="1" w:styleId="ListLabel3">
    <w:name w:val="ListLabel 3"/>
    <w:qFormat/>
    <w:rPr>
      <w:rFonts w:cs="Times New Roman"/>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DengXian"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eastAsia="Malgun Gothic"/>
    </w:rPr>
  </w:style>
  <w:style w:type="character" w:customStyle="1" w:styleId="ListLabel40">
    <w:name w:val="ListLabel 40"/>
    <w:qFormat/>
    <w:rPr>
      <w:rFonts w:eastAsia="Times New Roman"/>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sz w:val="20"/>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sz w:val="20"/>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i w:val="0"/>
      <w:lang w:val="en-US"/>
    </w:rPr>
  </w:style>
  <w:style w:type="character" w:customStyle="1" w:styleId="ListLabel75">
    <w:name w:val="ListLabel 75"/>
    <w:qFormat/>
    <w:rPr>
      <w:b/>
      <w:i w:val="0"/>
      <w:sz w:val="24"/>
      <w:effect w:val="none"/>
    </w:rPr>
  </w:style>
  <w:style w:type="character" w:customStyle="1" w:styleId="ListLabel76">
    <w:name w:val="ListLabel 76"/>
    <w:qFormat/>
    <w:rPr>
      <w:i w:val="0"/>
      <w:lang w:val="en-US"/>
    </w:rPr>
  </w:style>
  <w:style w:type="character" w:customStyle="1" w:styleId="ListLabel77">
    <w:name w:val="ListLabel 77"/>
    <w:qFormat/>
    <w:rPr>
      <w:b/>
      <w:i w:val="0"/>
      <w:sz w:val="24"/>
      <w:effect w:val="none"/>
    </w:rPr>
  </w:style>
  <w:style w:type="character" w:customStyle="1" w:styleId="ListLabel78">
    <w:name w:val="ListLabel 78"/>
    <w:qFormat/>
    <w:rPr>
      <w:rFonts w:cs="Wingdings"/>
    </w:rPr>
  </w:style>
  <w:style w:type="character" w:customStyle="1" w:styleId="ListLabel79">
    <w:name w:val="ListLabel 79"/>
    <w:qFormat/>
    <w:rPr>
      <w:rFonts w:cs="Malgun Gothic"/>
    </w:rPr>
  </w:style>
  <w:style w:type="character" w:customStyle="1" w:styleId="ListLabel80">
    <w:name w:val="ListLabel 80"/>
    <w:qFormat/>
    <w:rPr>
      <w:rFonts w:cs="Wingdings"/>
    </w:rPr>
  </w:style>
  <w:style w:type="character" w:customStyle="1" w:styleId="ListLabel81">
    <w:name w:val="ListLabel 81"/>
    <w:qFormat/>
    <w:rPr>
      <w:rFonts w:cs="Arial"/>
    </w:rPr>
  </w:style>
  <w:style w:type="character" w:customStyle="1" w:styleId="ListLabel82">
    <w:name w:val="ListLabel 82"/>
    <w:qFormat/>
    <w:rPr>
      <w:rFonts w:cs="Wingdings"/>
    </w:rPr>
  </w:style>
  <w:style w:type="character" w:customStyle="1" w:styleId="ListLabel83">
    <w:name w:val="ListLabel 83"/>
    <w:qFormat/>
    <w:rPr>
      <w:rFonts w:cs="Calibri"/>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cs="Symbol"/>
    </w:rPr>
  </w:style>
  <w:style w:type="character" w:customStyle="1" w:styleId="ListLabel91">
    <w:name w:val="ListLabel 91"/>
    <w:qFormat/>
    <w:rPr>
      <w:rFonts w:cs="Courier New"/>
    </w:rPr>
  </w:style>
  <w:style w:type="character" w:customStyle="1" w:styleId="ListLabel92">
    <w:name w:val="ListLabel 92"/>
    <w:qFormat/>
    <w:rPr>
      <w:rFonts w:cs="Wingdings"/>
    </w:rPr>
  </w:style>
  <w:style w:type="character" w:customStyle="1" w:styleId="ListLabel93">
    <w:name w:val="ListLabel 93"/>
    <w:qFormat/>
    <w:rPr>
      <w:rFonts w:cs="Symbol"/>
    </w:rPr>
  </w:style>
  <w:style w:type="character" w:customStyle="1" w:styleId="ListLabel94">
    <w:name w:val="ListLabel 94"/>
    <w:qFormat/>
    <w:rPr>
      <w:rFonts w:cs="Courier New"/>
    </w:rPr>
  </w:style>
  <w:style w:type="character" w:customStyle="1" w:styleId="ListLabel95">
    <w:name w:val="ListLabel 95"/>
    <w:qFormat/>
    <w:rPr>
      <w:rFonts w:cs="Wingdings"/>
    </w:rPr>
  </w:style>
  <w:style w:type="character" w:customStyle="1" w:styleId="ListLabel96">
    <w:name w:val="ListLabel 96"/>
    <w:qFormat/>
    <w:rPr>
      <w:rFonts w:cs="Symbol"/>
    </w:rPr>
  </w:style>
  <w:style w:type="character" w:customStyle="1" w:styleId="ListLabel97">
    <w:name w:val="ListLabel 97"/>
    <w:qFormat/>
    <w:rPr>
      <w:rFonts w:cs="Courier New"/>
    </w:rPr>
  </w:style>
  <w:style w:type="character" w:customStyle="1" w:styleId="ListLabel98">
    <w:name w:val="ListLabel 98"/>
    <w:qFormat/>
    <w:rPr>
      <w:rFonts w:cs="Wingdings"/>
    </w:rPr>
  </w:style>
  <w:style w:type="character" w:customStyle="1" w:styleId="ListLabel99">
    <w:name w:val="ListLabel 99"/>
    <w:qFormat/>
    <w:rPr>
      <w:rFonts w:cs="Symbol"/>
    </w:rPr>
  </w:style>
  <w:style w:type="character" w:customStyle="1" w:styleId="ListLabel100">
    <w:name w:val="ListLabel 100"/>
    <w:qFormat/>
    <w:rPr>
      <w:rFonts w:cs="Courier New"/>
    </w:rPr>
  </w:style>
  <w:style w:type="character" w:customStyle="1" w:styleId="ListLabel101">
    <w:name w:val="ListLabel 101"/>
    <w:qFormat/>
    <w:rPr>
      <w:rFonts w:cs="Wingdings"/>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Symbol"/>
    </w:rPr>
  </w:style>
  <w:style w:type="character" w:customStyle="1" w:styleId="ListLabel112">
    <w:name w:val="ListLabel 112"/>
    <w:qFormat/>
    <w:rPr>
      <w:rFonts w:cs="Courier New"/>
    </w:rPr>
  </w:style>
  <w:style w:type="character" w:customStyle="1" w:styleId="ListLabel113">
    <w:name w:val="ListLabel 113"/>
    <w:qFormat/>
    <w:rPr>
      <w:rFonts w:cs="Wingdings"/>
    </w:rPr>
  </w:style>
  <w:style w:type="character" w:customStyle="1" w:styleId="ListLabel114">
    <w:name w:val="ListLabel 114"/>
    <w:qFormat/>
    <w:rPr>
      <w:rFonts w:cs="Symbol"/>
    </w:rPr>
  </w:style>
  <w:style w:type="character" w:customStyle="1" w:styleId="ListLabel115">
    <w:name w:val="ListLabel 115"/>
    <w:qFormat/>
    <w:rPr>
      <w:rFonts w:cs="Courier New"/>
    </w:rPr>
  </w:style>
  <w:style w:type="character" w:customStyle="1" w:styleId="ListLabel116">
    <w:name w:val="ListLabel 116"/>
    <w:qFormat/>
    <w:rPr>
      <w:rFonts w:cs="Wingdings"/>
    </w:rPr>
  </w:style>
  <w:style w:type="character" w:customStyle="1" w:styleId="ListLabel117">
    <w:name w:val="ListLabel 117"/>
    <w:qFormat/>
    <w:rPr>
      <w:rFonts w:cs="Symbol"/>
    </w:rPr>
  </w:style>
  <w:style w:type="character" w:customStyle="1" w:styleId="ListLabel118">
    <w:name w:val="ListLabel 118"/>
    <w:qFormat/>
    <w:rPr>
      <w:rFonts w:cs="Courier New"/>
    </w:rPr>
  </w:style>
  <w:style w:type="character" w:customStyle="1" w:styleId="ListLabel119">
    <w:name w:val="ListLabel 119"/>
    <w:qFormat/>
    <w:rPr>
      <w:rFonts w:cs="Wingdings"/>
    </w:rPr>
  </w:style>
  <w:style w:type="character" w:customStyle="1" w:styleId="ListLabel120">
    <w:name w:val="ListLabel 120"/>
    <w:qFormat/>
    <w:rPr>
      <w:rFonts w:cs="Symbol"/>
    </w:rPr>
  </w:style>
  <w:style w:type="character" w:customStyle="1" w:styleId="ListLabel121">
    <w:name w:val="ListLabel 121"/>
    <w:qFormat/>
    <w:rPr>
      <w:rFonts w:cs="Courier New"/>
    </w:rPr>
  </w:style>
  <w:style w:type="character" w:customStyle="1" w:styleId="ListLabel122">
    <w:name w:val="ListLabel 122"/>
    <w:qFormat/>
    <w:rPr>
      <w:rFonts w:cs="Wingdings"/>
    </w:rPr>
  </w:style>
  <w:style w:type="character" w:customStyle="1" w:styleId="ListLabel123">
    <w:name w:val="ListLabel 123"/>
    <w:qFormat/>
    <w:rPr>
      <w:rFonts w:cs="Symbol"/>
    </w:rPr>
  </w:style>
  <w:style w:type="character" w:customStyle="1" w:styleId="ListLabel124">
    <w:name w:val="ListLabel 124"/>
    <w:qFormat/>
    <w:rPr>
      <w:rFonts w:cs="Courier New"/>
    </w:rPr>
  </w:style>
  <w:style w:type="character" w:customStyle="1" w:styleId="ListLabel125">
    <w:name w:val="ListLabel 125"/>
    <w:qFormat/>
    <w:rPr>
      <w:rFonts w:cs="Wingdings"/>
    </w:rPr>
  </w:style>
  <w:style w:type="character" w:customStyle="1" w:styleId="ListLabel126">
    <w:name w:val="ListLabel 126"/>
    <w:qFormat/>
    <w:rPr>
      <w:rFonts w:cs="Symbol"/>
    </w:rPr>
  </w:style>
  <w:style w:type="character" w:customStyle="1" w:styleId="ListLabel127">
    <w:name w:val="ListLabel 127"/>
    <w:qFormat/>
    <w:rPr>
      <w:rFonts w:cs="Courier New"/>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Symbol"/>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sz w:val="20"/>
    </w:rPr>
  </w:style>
  <w:style w:type="character" w:customStyle="1" w:styleId="ListLabel152">
    <w:name w:val="ListLabel 152"/>
    <w:qFormat/>
    <w:rPr>
      <w:rFonts w:cs="Wingdings"/>
    </w:rPr>
  </w:style>
  <w:style w:type="character" w:customStyle="1" w:styleId="ListLabel153">
    <w:name w:val="ListLabel 153"/>
    <w:qFormat/>
    <w:rPr>
      <w:rFonts w:cs="Symbol"/>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sz w:val="20"/>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eastAsia="Malgun Gothic"/>
    </w:rPr>
  </w:style>
  <w:style w:type="character" w:customStyle="1" w:styleId="ListLabel169">
    <w:name w:val="ListLabel 169"/>
    <w:qFormat/>
    <w:rPr>
      <w:rFonts w:eastAsia="Times New Roman"/>
    </w:rPr>
  </w:style>
  <w:style w:type="character" w:customStyle="1" w:styleId="ListLabel170">
    <w:name w:val="ListLabel 170"/>
    <w:qFormat/>
    <w:rPr>
      <w:rFonts w:cs="Courier New"/>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sz w:val="20"/>
    </w:rPr>
  </w:style>
  <w:style w:type="character" w:customStyle="1" w:styleId="ListLabel180">
    <w:name w:val="ListLabel 180"/>
    <w:qFormat/>
    <w:rPr>
      <w:sz w:val="20"/>
    </w:rPr>
  </w:style>
  <w:style w:type="character" w:customStyle="1" w:styleId="ListLabel181">
    <w:name w:val="ListLabel 181"/>
    <w:qFormat/>
    <w:rPr>
      <w:sz w:val="20"/>
    </w:rPr>
  </w:style>
  <w:style w:type="character" w:customStyle="1" w:styleId="ListLabel182">
    <w:name w:val="ListLabel 182"/>
    <w:qFormat/>
    <w:rPr>
      <w:sz w:val="20"/>
    </w:rPr>
  </w:style>
  <w:style w:type="character" w:customStyle="1" w:styleId="ListLabel183">
    <w:name w:val="ListLabel 183"/>
    <w:qFormat/>
    <w:rPr>
      <w:sz w:val="20"/>
    </w:rPr>
  </w:style>
  <w:style w:type="character" w:customStyle="1" w:styleId="ListLabel184">
    <w:name w:val="ListLabel 184"/>
    <w:qFormat/>
    <w:rPr>
      <w:sz w:val="20"/>
    </w:rPr>
  </w:style>
  <w:style w:type="character" w:customStyle="1" w:styleId="ListLabel185">
    <w:name w:val="ListLabel 185"/>
    <w:qFormat/>
    <w:rPr>
      <w:sz w:val="20"/>
    </w:rPr>
  </w:style>
  <w:style w:type="character" w:customStyle="1" w:styleId="ListLabel186">
    <w:name w:val="ListLabel 186"/>
    <w:qFormat/>
    <w:rPr>
      <w:sz w:val="20"/>
    </w:rPr>
  </w:style>
  <w:style w:type="character" w:customStyle="1" w:styleId="ListLabel187">
    <w:name w:val="ListLabel 187"/>
    <w:qFormat/>
    <w:rPr>
      <w:sz w:val="20"/>
    </w:rPr>
  </w:style>
  <w:style w:type="character" w:customStyle="1" w:styleId="ListLabel188">
    <w:name w:val="ListLabel 188"/>
    <w:qFormat/>
    <w:rPr>
      <w:sz w:val="20"/>
    </w:rPr>
  </w:style>
  <w:style w:type="character" w:customStyle="1" w:styleId="ListLabel189">
    <w:name w:val="ListLabel 189"/>
    <w:qFormat/>
    <w:rPr>
      <w:sz w:val="20"/>
    </w:rPr>
  </w:style>
  <w:style w:type="character" w:customStyle="1" w:styleId="ListLabel190">
    <w:name w:val="ListLabel 190"/>
    <w:qFormat/>
    <w:rPr>
      <w:sz w:val="20"/>
    </w:rPr>
  </w:style>
  <w:style w:type="character" w:customStyle="1" w:styleId="ListLabel191">
    <w:name w:val="ListLabel 191"/>
    <w:qFormat/>
    <w:rPr>
      <w:sz w:val="20"/>
    </w:rPr>
  </w:style>
  <w:style w:type="character" w:customStyle="1" w:styleId="ListLabel192">
    <w:name w:val="ListLabel 192"/>
    <w:qFormat/>
    <w:rPr>
      <w:sz w:val="20"/>
    </w:rPr>
  </w:style>
  <w:style w:type="character" w:customStyle="1" w:styleId="ListLabel193">
    <w:name w:val="ListLabel 193"/>
    <w:qFormat/>
    <w:rPr>
      <w:sz w:val="20"/>
    </w:rPr>
  </w:style>
  <w:style w:type="character" w:customStyle="1" w:styleId="ListLabel194">
    <w:name w:val="ListLabel 194"/>
    <w:qFormat/>
    <w:rPr>
      <w:sz w:val="20"/>
    </w:rPr>
  </w:style>
  <w:style w:type="character" w:customStyle="1" w:styleId="ListLabel195">
    <w:name w:val="ListLabel 195"/>
    <w:qFormat/>
    <w:rPr>
      <w:sz w:val="20"/>
    </w:rPr>
  </w:style>
  <w:style w:type="character" w:customStyle="1" w:styleId="ListLabel196">
    <w:name w:val="ListLabel 196"/>
    <w:qFormat/>
    <w:rPr>
      <w:sz w:val="20"/>
    </w:rPr>
  </w:style>
  <w:style w:type="character" w:customStyle="1" w:styleId="ListLabel197">
    <w:name w:val="ListLabel 197"/>
    <w:qFormat/>
    <w:rPr>
      <w:sz w:val="20"/>
    </w:rPr>
  </w:style>
  <w:style w:type="character" w:customStyle="1" w:styleId="ListLabel198">
    <w:name w:val="ListLabel 198"/>
    <w:qFormat/>
    <w:rPr>
      <w:sz w:val="20"/>
    </w:rPr>
  </w:style>
  <w:style w:type="character" w:customStyle="1" w:styleId="ListLabel199">
    <w:name w:val="ListLabel 199"/>
    <w:qFormat/>
    <w:rPr>
      <w:sz w:val="20"/>
    </w:rPr>
  </w:style>
  <w:style w:type="character" w:customStyle="1" w:styleId="ListLabel200">
    <w:name w:val="ListLabel 200"/>
    <w:qFormat/>
    <w:rPr>
      <w:sz w:val="20"/>
    </w:rPr>
  </w:style>
  <w:style w:type="character" w:customStyle="1" w:styleId="ListLabel201">
    <w:name w:val="ListLabel 201"/>
    <w:qFormat/>
    <w:rPr>
      <w:sz w:val="20"/>
    </w:rPr>
  </w:style>
  <w:style w:type="character" w:customStyle="1" w:styleId="ListLabel202">
    <w:name w:val="ListLabel 202"/>
    <w:qFormat/>
    <w:rPr>
      <w:sz w:val="20"/>
    </w:rPr>
  </w:style>
  <w:style w:type="character" w:customStyle="1" w:styleId="ListLabel203">
    <w:name w:val="ListLabel 203"/>
    <w:qFormat/>
    <w:rPr>
      <w:sz w:val="20"/>
    </w:rPr>
  </w:style>
  <w:style w:type="character" w:customStyle="1" w:styleId="ListLabel204">
    <w:name w:val="ListLabel 204"/>
    <w:qFormat/>
    <w:rPr>
      <w:sz w:val="20"/>
    </w:rPr>
  </w:style>
  <w:style w:type="character" w:customStyle="1" w:styleId="ListLabel205">
    <w:name w:val="ListLabel 205"/>
    <w:qFormat/>
    <w:rPr>
      <w:sz w:val="20"/>
    </w:rPr>
  </w:style>
  <w:style w:type="character" w:customStyle="1" w:styleId="ListLabel206">
    <w:name w:val="ListLabel 206"/>
    <w:qFormat/>
    <w:rPr>
      <w:sz w:val="20"/>
    </w:rPr>
  </w:style>
  <w:style w:type="character" w:customStyle="1" w:styleId="ListLabel207">
    <w:name w:val="ListLabel 207"/>
    <w:qFormat/>
    <w:rPr>
      <w:sz w:val="20"/>
    </w:rPr>
  </w:style>
  <w:style w:type="character" w:customStyle="1" w:styleId="ListLabel208">
    <w:name w:val="ListLabel 208"/>
    <w:qFormat/>
    <w:rPr>
      <w:sz w:val="20"/>
    </w:rPr>
  </w:style>
  <w:style w:type="character" w:customStyle="1" w:styleId="ListLabel209">
    <w:name w:val="ListLabel 209"/>
    <w:qFormat/>
    <w:rPr>
      <w:sz w:val="20"/>
    </w:rPr>
  </w:style>
  <w:style w:type="character" w:customStyle="1" w:styleId="ListLabel210">
    <w:name w:val="ListLabel 210"/>
    <w:qFormat/>
    <w:rPr>
      <w:sz w:val="20"/>
    </w:rPr>
  </w:style>
  <w:style w:type="character" w:customStyle="1" w:styleId="ListLabel211">
    <w:name w:val="ListLabel 211"/>
    <w:qFormat/>
    <w:rPr>
      <w:sz w:val="20"/>
    </w:rPr>
  </w:style>
  <w:style w:type="character" w:customStyle="1" w:styleId="ListLabel212">
    <w:name w:val="ListLabel 212"/>
    <w:qFormat/>
    <w:rPr>
      <w:sz w:val="20"/>
    </w:rPr>
  </w:style>
  <w:style w:type="character" w:customStyle="1" w:styleId="ListLabel213">
    <w:name w:val="ListLabel 213"/>
    <w:qFormat/>
    <w:rPr>
      <w:sz w:val="20"/>
    </w:rPr>
  </w:style>
  <w:style w:type="character" w:customStyle="1" w:styleId="ListLabel214">
    <w:name w:val="ListLabel 214"/>
    <w:qFormat/>
    <w:rPr>
      <w:sz w:val="20"/>
    </w:rPr>
  </w:style>
  <w:style w:type="character" w:customStyle="1" w:styleId="ListLabel215">
    <w:name w:val="ListLabel 215"/>
    <w:qFormat/>
    <w:rPr>
      <w:rFonts w:cs="Courier New"/>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cs="Courier New"/>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cs="Courier New"/>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i w:val="0"/>
      <w:lang w:val="en-US"/>
    </w:rPr>
  </w:style>
  <w:style w:type="character" w:customStyle="1" w:styleId="ListLabel228">
    <w:name w:val="ListLabel 228"/>
    <w:qFormat/>
    <w:rPr>
      <w:b/>
      <w:i w:val="0"/>
      <w:sz w:val="24"/>
      <w:effect w:val="none"/>
    </w:rPr>
  </w:style>
  <w:style w:type="character" w:customStyle="1" w:styleId="ListLabel229">
    <w:name w:val="ListLabel 229"/>
    <w:qFormat/>
    <w:rPr>
      <w:i w:val="0"/>
      <w:lang w:val="en-US"/>
    </w:rPr>
  </w:style>
  <w:style w:type="character" w:customStyle="1" w:styleId="ListLabel230">
    <w:name w:val="ListLabel 230"/>
    <w:qFormat/>
    <w:rPr>
      <w:b/>
      <w:i w:val="0"/>
      <w:sz w:val="24"/>
      <w:effect w:val="none"/>
    </w:rPr>
  </w:style>
  <w:style w:type="character" w:customStyle="1" w:styleId="ListLabel231">
    <w:name w:val="ListLabel 231"/>
    <w:qFormat/>
    <w:rPr>
      <w:i w:val="0"/>
      <w:lang w:val="en-US"/>
    </w:rPr>
  </w:style>
  <w:style w:type="character" w:customStyle="1" w:styleId="ListLabel232">
    <w:name w:val="ListLabel 232"/>
    <w:qFormat/>
    <w:rPr>
      <w:b/>
      <w:i w:val="0"/>
      <w:sz w:val="24"/>
      <w:effect w:val="none"/>
    </w:rPr>
  </w:style>
  <w:style w:type="character" w:customStyle="1" w:styleId="ListLabel233">
    <w:name w:val="ListLabel 233"/>
    <w:qFormat/>
    <w:rPr>
      <w:i w:val="0"/>
      <w:lang w:val="en-US"/>
    </w:rPr>
  </w:style>
  <w:style w:type="character" w:customStyle="1" w:styleId="ListLabel234">
    <w:name w:val="ListLabel 234"/>
    <w:qFormat/>
    <w:rPr>
      <w:b/>
      <w:i w:val="0"/>
      <w:sz w:val="24"/>
      <w:effect w:val="none"/>
    </w:rPr>
  </w:style>
  <w:style w:type="character" w:customStyle="1" w:styleId="ListLabel235">
    <w:name w:val="ListLabel 235"/>
    <w:qFormat/>
    <w:rPr>
      <w:rFonts w:cs="Courier New"/>
    </w:rPr>
  </w:style>
  <w:style w:type="character" w:customStyle="1" w:styleId="ListLabel236">
    <w:name w:val="ListLabel 236"/>
    <w:qFormat/>
    <w:rPr>
      <w:rFonts w:cs="Courier New"/>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character" w:customStyle="1" w:styleId="ListLabel240">
    <w:name w:val="ListLabel 240"/>
    <w:qFormat/>
    <w:rPr>
      <w:rFonts w:cs="Courier New"/>
    </w:rPr>
  </w:style>
  <w:style w:type="character" w:customStyle="1" w:styleId="ListLabel241">
    <w:name w:val="ListLabel 241"/>
    <w:qFormat/>
    <w:rPr>
      <w:rFonts w:cs="Courier New"/>
    </w:rPr>
  </w:style>
  <w:style w:type="character" w:customStyle="1" w:styleId="ListLabel242">
    <w:name w:val="ListLabel 242"/>
    <w:qFormat/>
    <w:rPr>
      <w:rFonts w:cs="Courier New"/>
    </w:rPr>
  </w:style>
  <w:style w:type="character" w:customStyle="1" w:styleId="ListLabel243">
    <w:name w:val="ListLabel 243"/>
    <w:qFormat/>
    <w:rPr>
      <w:rFonts w:cs="Courier New"/>
    </w:rPr>
  </w:style>
  <w:style w:type="paragraph" w:customStyle="1" w:styleId="Heading">
    <w:name w:val="Heading"/>
    <w:basedOn w:val="Normal"/>
    <w:next w:val="BodyText"/>
    <w:qFormat/>
    <w:pPr>
      <w:keepNext/>
      <w:spacing w:before="240"/>
    </w:pPr>
    <w:rPr>
      <w:rFonts w:ascii="Liberation Sans" w:eastAsia="Noto Sans CJK SC Regular" w:hAnsi="Liberation Sans" w:cs="Lohit Devanagari"/>
      <w:sz w:val="28"/>
      <w:szCs w:val="28"/>
    </w:rPr>
  </w:style>
  <w:style w:type="paragraph" w:styleId="BodyText">
    <w:name w:val="Body Text"/>
    <w:basedOn w:val="Normal"/>
    <w:link w:val="BodyTextChar"/>
    <w:rPr>
      <w:sz w:val="20"/>
      <w:szCs w:val="20"/>
    </w:rPr>
  </w:style>
  <w:style w:type="paragraph" w:styleId="List">
    <w:name w:val="List"/>
    <w:basedOn w:val="Normal"/>
    <w:pPr>
      <w:ind w:left="360" w:hanging="360"/>
    </w:pPr>
  </w:style>
  <w:style w:type="paragraph" w:styleId="Caption">
    <w:name w:val="caption"/>
    <w:basedOn w:val="Normal"/>
    <w:next w:val="Normal"/>
    <w:link w:val="CaptionChar"/>
    <w:qFormat/>
    <w:pPr>
      <w:jc w:val="center"/>
    </w:pPr>
    <w:rPr>
      <w:b/>
      <w:bCs/>
      <w:kern w:val="2"/>
      <w:sz w:val="20"/>
      <w:szCs w:val="20"/>
      <w:lang w:val="en-GB" w:eastAsia="zh-CN"/>
    </w:rPr>
  </w:style>
  <w:style w:type="paragraph" w:customStyle="1" w:styleId="Index">
    <w:name w:val="Index"/>
    <w:basedOn w:val="Normal"/>
    <w:qFormat/>
    <w:pPr>
      <w:suppressLineNumbers/>
    </w:pPr>
    <w:rPr>
      <w:rFonts w:cs="Lohit Devanagari"/>
    </w:rPr>
  </w:style>
  <w:style w:type="paragraph" w:styleId="ListBullet">
    <w:name w:val="List Bullet"/>
    <w:basedOn w:val="List"/>
    <w:qFormat/>
    <w:pPr>
      <w:spacing w:after="180"/>
      <w:ind w:left="568" w:hanging="284"/>
      <w:jc w:val="left"/>
    </w:pPr>
    <w:rPr>
      <w:sz w:val="20"/>
      <w:szCs w:val="20"/>
      <w:lang w:val="en-GB"/>
    </w:rPr>
  </w:style>
  <w:style w:type="paragraph" w:styleId="BodyText2">
    <w:name w:val="Body Text 2"/>
    <w:basedOn w:val="Normal"/>
    <w:qFormat/>
    <w:pPr>
      <w:spacing w:after="0"/>
      <w:jc w:val="left"/>
    </w:pPr>
    <w:rPr>
      <w:szCs w:val="20"/>
    </w:rPr>
  </w:style>
  <w:style w:type="paragraph" w:styleId="BalloonText">
    <w:name w:val="Balloon Text"/>
    <w:basedOn w:val="Normal"/>
    <w:semiHidden/>
    <w:qFormat/>
    <w:rPr>
      <w:rFonts w:ascii="Tahoma" w:hAnsi="Tahoma" w:cs="Tahoma"/>
      <w:sz w:val="16"/>
      <w:szCs w:val="16"/>
    </w:rPr>
  </w:style>
  <w:style w:type="paragraph" w:customStyle="1" w:styleId="References">
    <w:name w:val="References"/>
    <w:basedOn w:val="Normal"/>
    <w:qFormat/>
    <w:rsid w:val="00CF195E"/>
    <w:pPr>
      <w:spacing w:after="60"/>
    </w:pPr>
    <w:rPr>
      <w:sz w:val="20"/>
      <w:szCs w:val="16"/>
    </w:rPr>
  </w:style>
  <w:style w:type="paragraph" w:styleId="FootnoteText">
    <w:name w:val="footnote text"/>
    <w:basedOn w:val="Normal"/>
    <w:semiHidden/>
    <w:rPr>
      <w:sz w:val="20"/>
      <w:szCs w:val="20"/>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paragraph" w:styleId="Footer">
    <w:name w:val="footer"/>
    <w:basedOn w:val="Normal"/>
    <w:link w:val="FooterChar"/>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qFormat/>
    <w:rsid w:val="00E539F9"/>
    <w:rPr>
      <w:rFonts w:ascii="SimSun" w:hAnsi="SimSun"/>
      <w:kern w:val="2"/>
      <w:sz w:val="18"/>
      <w:szCs w:val="18"/>
      <w:lang w:val="en-GB"/>
    </w:rPr>
  </w:style>
  <w:style w:type="paragraph" w:styleId="CommentText">
    <w:name w:val="annotation text"/>
    <w:basedOn w:val="Normal"/>
    <w:link w:val="CommentTextChar"/>
    <w:qFormat/>
    <w:rsid w:val="00971D66"/>
    <w:rPr>
      <w:kern w:val="2"/>
      <w:sz w:val="20"/>
      <w:szCs w:val="20"/>
      <w:lang w:val="en-GB"/>
    </w:rPr>
  </w:style>
  <w:style w:type="paragraph" w:styleId="CommentSubject">
    <w:name w:val="annotation subject"/>
    <w:basedOn w:val="CommentText"/>
    <w:link w:val="CommentSubjectChar"/>
    <w:qFormat/>
    <w:rsid w:val="00971D66"/>
    <w:rPr>
      <w:b/>
      <w:bCs/>
    </w:rPr>
  </w:style>
  <w:style w:type="paragraph" w:styleId="ListParagraph">
    <w:name w:val="List Paragraph"/>
    <w:basedOn w:val="Normal"/>
    <w:link w:val="ListParagraphChar"/>
    <w:uiPriority w:val="34"/>
    <w:qFormat/>
    <w:rsid w:val="002426E9"/>
    <w:pPr>
      <w:ind w:firstLine="420"/>
    </w:pPr>
  </w:style>
  <w:style w:type="paragraph" w:styleId="Revision">
    <w:name w:val="Revision"/>
    <w:uiPriority w:val="99"/>
    <w:semiHidden/>
    <w:qFormat/>
    <w:rsid w:val="0024619A"/>
    <w:rPr>
      <w:sz w:val="22"/>
      <w:szCs w:val="22"/>
    </w:rPr>
  </w:style>
  <w:style w:type="paragraph" w:styleId="NormalWeb">
    <w:name w:val="Normal (Web)"/>
    <w:basedOn w:val="Normal"/>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Normal"/>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List"/>
    <w:qFormat/>
    <w:rsid w:val="00AF7D68"/>
    <w:pPr>
      <w:snapToGrid/>
      <w:spacing w:after="180"/>
      <w:ind w:left="568" w:hanging="284"/>
      <w:jc w:val="left"/>
    </w:pPr>
    <w:rPr>
      <w:rFonts w:eastAsia="Malgun Gothic"/>
      <w:sz w:val="20"/>
      <w:szCs w:val="20"/>
      <w:lang w:val="en-GB"/>
    </w:rPr>
  </w:style>
  <w:style w:type="paragraph" w:customStyle="1" w:styleId="TH">
    <w:name w:val="TH"/>
    <w:basedOn w:val="Normal"/>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table" w:styleId="TableGrid">
    <w:name w:val="Table Grid"/>
    <w:basedOn w:val="TableNormal"/>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AAE270-295A-4441-8023-75BD195BC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2892</Words>
  <Characters>16485</Characters>
  <Application>Microsoft Office Word</Application>
  <DocSecurity>0</DocSecurity>
  <Lines>137</Lines>
  <Paragraphs>38</Paragraphs>
  <ScaleCrop>false</ScaleCrop>
  <Company/>
  <LinksUpToDate>false</LinksUpToDate>
  <CharactersWithSpaces>19339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Umer, SALIM</dc:creator>
  <dc:description/>
  <cp:lastModifiedBy>Umer, SALIM</cp:lastModifiedBy>
  <cp:revision>2</cp:revision>
  <dcterms:created xsi:type="dcterms:W3CDTF">2020-02-14T17:05:00Z</dcterms:created>
  <dcterms:modified xsi:type="dcterms:W3CDTF">2020-02-14T17:05:00Z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