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4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TSG-RAN5 Meeting #2021-TTCN email</w:t>
      </w:r>
      <w:r>
        <w:rPr>
          <w:b/>
          <w:i/>
          <w:sz w:val="28"/>
        </w:rPr>
        <w:tab/>
      </w:r>
      <w:r>
        <w:rPr>
          <w:b/>
          <w:i/>
          <w:sz w:val="28"/>
        </w:rPr>
        <w:t>R5s211326</w:t>
      </w:r>
    </w:p>
    <w:p>
      <w:pPr>
        <w:pStyle w:val="84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7th Dec 2020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31st Dec 2021</w:t>
      </w:r>
      <w:r>
        <w:rPr>
          <w:b/>
          <w:sz w:val="24"/>
        </w:rPr>
        <w:fldChar w:fldCharType="end"/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4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38.523-3</w:t>
            </w:r>
          </w:p>
        </w:tc>
        <w:tc>
          <w:tcPr>
            <w:tcW w:w="709" w:type="dxa"/>
          </w:tcPr>
          <w:p>
            <w:pPr>
              <w:pStyle w:val="8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4"/>
              <w:spacing w:after="0"/>
            </w:pPr>
            <w:r>
              <w:rPr>
                <w:b/>
                <w:sz w:val="28"/>
              </w:rPr>
              <w:t>2079</w:t>
            </w:r>
          </w:p>
        </w:tc>
        <w:tc>
          <w:tcPr>
            <w:tcW w:w="709" w:type="dxa"/>
          </w:tcPr>
          <w:p>
            <w:pPr>
              <w:pStyle w:val="8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8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4"/>
              <w:spacing w:after="0"/>
              <w:rPr>
                <w:sz w:val="28"/>
              </w:rPr>
            </w:pPr>
            <w:r>
              <w:rPr>
                <w:b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7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7"/>
                <w:rFonts w:cs="Arial"/>
                <w:b/>
                <w:i/>
                <w:color w:val="FF0000"/>
              </w:rPr>
              <w:t>P</w:t>
            </w:r>
            <w:r>
              <w:rPr>
                <w:rStyle w:val="47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7"/>
                <w:rFonts w:cs="Arial"/>
                <w:i/>
              </w:rPr>
              <w:t>http://www.3gpp.org/Change-Requests</w:t>
            </w:r>
            <w:r>
              <w:rPr>
                <w:rStyle w:val="47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73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bookmarkStart w:id="1" w:name="_Hlk68621250"/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</w:pPr>
            <w:r>
              <w:t>Correction to NR idle mode test case 6.3.1.5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bookmarkEnd w:id="1"/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  <w:r>
              <w:t>Keysight Technologies UK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4"/>
              <w:spacing w:after="0"/>
              <w:ind w:left="100"/>
            </w:pPr>
            <w: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4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  <w:r>
              <w:t>2021-09-30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4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4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  <w: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7"/>
                <w:sz w:val="18"/>
              </w:rPr>
              <w:t>TR 21.900</w:t>
            </w:r>
            <w:r>
              <w:rPr>
                <w:rStyle w:val="47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 w:line="259" w:lineRule="auto"/>
            </w:pPr>
            <w:r>
              <w:t xml:space="preserve">When UE released cell 13 at step 17Aa2, if pc_noOf_PDUsNewConnection &gt; 0 and UE doesn’t start PDU session establish automatically, UE will select cell 12 rather than cell 11 (as expected at step 20) </w:t>
            </w:r>
          </w:p>
          <w:p>
            <w:pPr>
              <w:pStyle w:val="84"/>
              <w:spacing w:after="0" w:line="259" w:lineRule="auto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8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 w:line="259" w:lineRule="auto"/>
            </w:pPr>
            <w:r>
              <w:t>At step 17Aa3a1, refer to cell 12 instead of cell 11 for checking access.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</w:pPr>
            <w:r>
              <w:t>A conformant UE can fail this test case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8.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</w:pPr>
            <w:r>
              <w:t>6.3.1.5.NR5GC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4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fill="auto"/>
          </w:tcPr>
          <w:p>
            <w:pPr>
              <w:pStyle w:val="84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</w:p>
        </w:tc>
      </w:tr>
    </w:tbl>
    <w:p>
      <w:pPr>
        <w:pStyle w:val="84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41"/>
        <w:jc w:val="left"/>
        <w:rPr>
          <w:rStyle w:val="46"/>
          <w:rFonts w:cs="Arial"/>
          <w:i w:val="0"/>
          <w:lang w:eastAsia="en-GB"/>
        </w:rPr>
      </w:pPr>
      <w:bookmarkStart w:id="2" w:name="_Toc78271349"/>
      <w:r>
        <w:rPr>
          <w:rStyle w:val="46"/>
          <w:rFonts w:cs="Arial"/>
          <w:i w:val="0"/>
        </w:rPr>
        <w:t>Table of Contents</w:t>
      </w:r>
      <w:bookmarkEnd w:id="2"/>
    </w:p>
    <w:p>
      <w:pPr>
        <w:pStyle w:val="21"/>
        <w:rPr>
          <w:rFonts w:asciiTheme="minorHAnsi" w:hAnsiTheme="minorHAnsi" w:eastAsiaTheme="minorEastAsia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>
        <w:rPr>
          <w:rFonts w:cs="Arial"/>
          <w:iCs/>
        </w:rPr>
        <w:t>Table of Contents</w:t>
      </w:r>
      <w:r>
        <w:tab/>
      </w:r>
      <w:r>
        <w:fldChar w:fldCharType="begin"/>
      </w:r>
      <w:r>
        <w:instrText xml:space="preserve"> PAGEREF _Toc78271349 \h </w:instrText>
      </w:r>
      <w:r>
        <w:fldChar w:fldCharType="separate"/>
      </w:r>
      <w:r>
        <w:t>2</w:t>
      </w:r>
      <w:r>
        <w:fldChar w:fldCharType="end"/>
      </w:r>
    </w:p>
    <w:p>
      <w:pPr>
        <w:pStyle w:val="21"/>
        <w:rPr>
          <w:rFonts w:asciiTheme="minorHAnsi" w:hAnsiTheme="minorHAnsi" w:eastAsiaTheme="minorEastAsia" w:cstheme="minorBidi"/>
          <w:szCs w:val="22"/>
          <w:lang w:val="en-US"/>
        </w:rPr>
      </w:pPr>
      <w:r>
        <w:rPr>
          <w:b/>
          <w:lang w:eastAsia="ja-JP"/>
        </w:rPr>
        <w:t>1</w:t>
      </w:r>
      <w:r>
        <w:rPr>
          <w:rFonts w:asciiTheme="minorHAnsi" w:hAnsiTheme="minorHAnsi" w:eastAsiaTheme="minorEastAsia" w:cstheme="minorBidi"/>
          <w:szCs w:val="22"/>
          <w:lang w:val="en-US"/>
        </w:rPr>
        <w:tab/>
      </w:r>
      <w:r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_Toc78271350 \h </w:instrText>
      </w:r>
      <w:r>
        <w:fldChar w:fldCharType="separate"/>
      </w:r>
      <w:r>
        <w:t>3</w:t>
      </w:r>
      <w:r>
        <w:fldChar w:fldCharType="end"/>
      </w:r>
    </w:p>
    <w:p>
      <w:pPr>
        <w:pStyle w:val="21"/>
        <w:rPr>
          <w:rFonts w:asciiTheme="minorHAnsi" w:hAnsiTheme="minorHAnsi" w:eastAsiaTheme="minorEastAsia" w:cstheme="minorBidi"/>
          <w:szCs w:val="22"/>
          <w:lang w:val="en-US"/>
        </w:rPr>
      </w:pPr>
      <w:r>
        <w:rPr>
          <w:b/>
        </w:rPr>
        <w:t>2</w:t>
      </w:r>
      <w:r>
        <w:rPr>
          <w:rFonts w:asciiTheme="minorHAnsi" w:hAnsiTheme="minorHAnsi" w:eastAsiaTheme="minorEastAsia" w:cstheme="minorBidi"/>
          <w:szCs w:val="22"/>
          <w:lang w:val="en-US"/>
        </w:rPr>
        <w:tab/>
      </w:r>
      <w:r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_Toc78271351 \h </w:instrText>
      </w:r>
      <w:r>
        <w:fldChar w:fldCharType="separate"/>
      </w:r>
      <w:r>
        <w:t>3</w:t>
      </w:r>
      <w:r>
        <w:fldChar w:fldCharType="end"/>
      </w:r>
    </w:p>
    <w:p>
      <w:pPr>
        <w:pStyle w:val="20"/>
        <w:rPr>
          <w:rFonts w:asciiTheme="minorHAnsi" w:hAnsiTheme="minorHAnsi" w:eastAsiaTheme="minorEastAsia" w:cstheme="minorBidi"/>
          <w:sz w:val="22"/>
          <w:szCs w:val="22"/>
          <w:lang w:val="en-US"/>
        </w:rPr>
      </w:pPr>
      <w:r>
        <w:rPr>
          <w:b/>
          <w:lang w:val="pt-BR"/>
        </w:rPr>
        <w:t>2.1</w:t>
      </w:r>
      <w:r>
        <w:rPr>
          <w:rFonts w:asciiTheme="minorHAnsi" w:hAnsiTheme="minorHAnsi" w:eastAsiaTheme="minorEastAsia" w:cstheme="minorBidi"/>
          <w:sz w:val="22"/>
          <w:szCs w:val="22"/>
          <w:lang w:val="en-US"/>
        </w:rPr>
        <w:tab/>
      </w:r>
      <w:r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_Toc78271352 \h </w:instrText>
      </w:r>
      <w:r>
        <w:fldChar w:fldCharType="separate"/>
      </w:r>
      <w:r>
        <w:t>3</w:t>
      </w:r>
      <w:r>
        <w:fldChar w:fldCharType="end"/>
      </w:r>
    </w:p>
    <w:p>
      <w:pPr>
        <w:rPr>
          <w:b/>
          <w:sz w:val="24"/>
          <w:lang w:eastAsia="ja-JP"/>
        </w:rPr>
      </w:pPr>
      <w:r>
        <w:rPr>
          <w:rFonts w:cs="Arial"/>
        </w:rPr>
        <w:fldChar w:fldCharType="end"/>
      </w:r>
      <w:r>
        <w:rPr>
          <w:lang w:val="pt-BR"/>
        </w:rPr>
        <w:br w:type="page"/>
      </w:r>
    </w:p>
    <w:p>
      <w:pPr>
        <w:pStyle w:val="2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78271350"/>
      <w:r>
        <w:rPr>
          <w:b/>
          <w:lang w:eastAsia="ja-JP"/>
        </w:rPr>
        <w:t>Overview</w:t>
      </w:r>
      <w:bookmarkEnd w:id="3"/>
      <w:bookmarkEnd w:id="4"/>
    </w:p>
    <w:p>
      <w:pPr>
        <w:pBdr>
          <w:top w:val="single" w:color="00B050" w:sz="4" w:space="1"/>
          <w:left w:val="single" w:color="00B050" w:sz="4" w:space="4"/>
          <w:bottom w:val="single" w:color="00B050" w:sz="4" w:space="1"/>
          <w:right w:val="single" w:color="00B050" w:sz="4" w:space="4"/>
        </w:pBdr>
        <w:rPr>
          <w:rFonts w:cs="Arial"/>
        </w:rPr>
      </w:pPr>
      <w:r>
        <w:rPr>
          <w:rFonts w:cs="Arial"/>
        </w:rPr>
        <w:t>This document lists all the changes needed to correct issues in the ATS iWD-TTCN3-B2020-09_D21wk37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>
      <w:pPr>
        <w:pBdr>
          <w:top w:val="single" w:color="00B050" w:sz="4" w:space="1"/>
          <w:left w:val="single" w:color="00B050" w:sz="4" w:space="4"/>
          <w:bottom w:val="single" w:color="00B050" w:sz="4" w:space="1"/>
          <w:right w:val="single" w:color="00B050" w:sz="4" w:space="4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cs="Arial"/>
          <w:sz w:val="24"/>
          <w:lang w:eastAsia="ja-JP"/>
        </w:rPr>
        <w:t>Shaun Harry</w:t>
      </w:r>
      <w:r>
        <w:rPr>
          <w:rFonts w:cs="Arial"/>
          <w:sz w:val="24"/>
          <w:lang w:eastAsia="ja-JP"/>
        </w:rPr>
        <w:br w:type="textWrapping"/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shaun.harry@keysight.com</w:t>
      </w:r>
    </w:p>
    <w:p>
      <w:pPr>
        <w:pStyle w:val="2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78271351"/>
      <w:bookmarkStart w:id="6" w:name="_Toc122434488"/>
      <w:bookmarkStart w:id="7" w:name="_Toc295288959"/>
      <w:r>
        <w:rPr>
          <w:b/>
        </w:rPr>
        <w:t>Corrections required</w:t>
      </w:r>
      <w:bookmarkEnd w:id="5"/>
      <w:bookmarkEnd w:id="6"/>
      <w:bookmarkEnd w:id="7"/>
    </w:p>
    <w:p>
      <w:pPr>
        <w:pStyle w:val="3"/>
        <w:numPr>
          <w:ilvl w:val="1"/>
          <w:numId w:val="1"/>
        </w:numPr>
        <w:tabs>
          <w:tab w:val="left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8" w:name="_Toc30685521"/>
      <w:r>
        <w:rPr>
          <w:b/>
          <w:lang w:val="pt-BR"/>
        </w:rPr>
        <w:t>Change 1</w:t>
      </w:r>
      <w:bookmarkEnd w:id="8"/>
    </w:p>
    <w:tbl>
      <w:tblPr>
        <w:tblStyle w:val="43"/>
        <w:tblW w:w="9639" w:type="dxa"/>
        <w:tblInd w:w="7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985"/>
        <w:gridCol w:w="76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47" w:hRule="atLeast"/>
        </w:trPr>
        <w:tc>
          <w:tcPr>
            <w:tcW w:w="1985" w:type="dxa"/>
          </w:tcPr>
          <w:p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>
            <w:pPr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fl_TC_6_3_1_5_TestBody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52" w:hRule="atLeast"/>
        </w:trPr>
        <w:tc>
          <w:tcPr>
            <w:tcW w:w="1985" w:type="dxa"/>
          </w:tcPr>
          <w:p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>
            <w:pPr>
              <w:spacing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/>
              </w:rPr>
              <w:t xml:space="preserve">When </w:t>
            </w:r>
            <w:r>
              <w:rPr>
                <w:rFonts w:hint="eastAsia" w:ascii="Arial" w:hAnsi="Arial" w:cs="Arial"/>
                <w:lang w:val="en-US" w:eastAsia="zh-CN"/>
              </w:rPr>
              <w:t>UE released cell 13</w:t>
            </w:r>
            <w:r>
              <w:rPr>
                <w:rFonts w:ascii="Arial" w:hAnsi="Arial" w:cs="Arial"/>
                <w:lang w:val="en-US"/>
              </w:rPr>
              <w:t xml:space="preserve"> at step 17Aa2,</w:t>
            </w:r>
            <w:r>
              <w:rPr>
                <w:rFonts w:hint="eastAsia" w:ascii="Arial" w:hAnsi="Arial" w:cs="Arial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lang w:val="en-US" w:eastAsia="zh-CN"/>
              </w:rPr>
              <w:t xml:space="preserve">if </w:t>
            </w:r>
            <w:r>
              <w:rPr>
                <w:rFonts w:hint="eastAsia" w:ascii="Arial" w:hAnsi="Arial" w:cs="Arial"/>
                <w:lang w:val="en-US" w:eastAsia="zh-CN"/>
              </w:rPr>
              <w:t>pc_noOf_PDUsNewConnection &gt; 0</w:t>
            </w:r>
            <w:r>
              <w:rPr>
                <w:rFonts w:ascii="Arial" w:hAnsi="Arial" w:cs="Arial"/>
                <w:lang w:val="en-US" w:eastAsia="zh-CN"/>
              </w:rPr>
              <w:t xml:space="preserve"> and </w:t>
            </w:r>
            <w:r>
              <w:rPr>
                <w:rFonts w:hint="eastAsia" w:ascii="Arial" w:hAnsi="Arial" w:cs="Arial"/>
                <w:lang w:val="en-US" w:eastAsia="zh-CN"/>
              </w:rPr>
              <w:t>UE doesn</w:t>
            </w:r>
            <w:r>
              <w:rPr>
                <w:rFonts w:ascii="Arial" w:hAnsi="Arial" w:cs="Arial"/>
                <w:lang w:val="en-US" w:eastAsia="zh-CN"/>
              </w:rPr>
              <w:t>’</w:t>
            </w:r>
            <w:r>
              <w:rPr>
                <w:rFonts w:hint="eastAsia" w:ascii="Arial" w:hAnsi="Arial" w:cs="Arial"/>
                <w:lang w:val="en-US" w:eastAsia="zh-CN"/>
              </w:rPr>
              <w:t>t start PDU session establish automatically, UE will select cell</w:t>
            </w:r>
            <w:r>
              <w:rPr>
                <w:rFonts w:ascii="Arial" w:hAnsi="Arial" w:cs="Arial"/>
                <w:lang w:val="en-US" w:eastAsia="zh-CN"/>
              </w:rPr>
              <w:t xml:space="preserve"> </w:t>
            </w:r>
            <w:r>
              <w:rPr>
                <w:rFonts w:hint="eastAsia" w:ascii="Arial" w:hAnsi="Arial" w:cs="Arial"/>
                <w:lang w:val="en-US" w:eastAsia="zh-CN"/>
              </w:rPr>
              <w:t xml:space="preserve">12 </w:t>
            </w:r>
            <w:r>
              <w:rPr>
                <w:rFonts w:ascii="Arial" w:hAnsi="Arial" w:cs="Arial"/>
                <w:lang w:val="en-US" w:eastAsia="zh-CN"/>
              </w:rPr>
              <w:t>rather than cell 11 (as expected at step 20)</w:t>
            </w:r>
            <w:r>
              <w:rPr>
                <w:rFonts w:hint="eastAsia" w:ascii="Arial" w:hAnsi="Arial" w:cs="Arial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</w:tcPr>
          <w:p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>
            <w:pPr>
              <w:pStyle w:val="84"/>
              <w:spacing w:after="0"/>
              <w:rPr>
                <w:rFonts w:cs="Arial"/>
                <w:lang w:val="en-US" w:eastAsia="zh-CN"/>
              </w:rPr>
            </w:pPr>
            <w:r>
              <w:rPr>
                <w:rFonts w:hint="eastAsia" w:cs="Arial"/>
                <w:lang w:val="en-US" w:eastAsia="zh-CN"/>
              </w:rPr>
              <w:t xml:space="preserve">At step </w:t>
            </w:r>
            <w:r>
              <w:rPr>
                <w:rFonts w:cs="Arial"/>
                <w:lang w:val="en-US"/>
              </w:rPr>
              <w:t>17Aa3a1</w:t>
            </w:r>
            <w:r>
              <w:rPr>
                <w:rFonts w:hint="eastAsia" w:cs="Arial"/>
                <w:lang w:val="en-US" w:eastAsia="zh-CN"/>
              </w:rPr>
              <w:t xml:space="preserve">, </w:t>
            </w:r>
            <w:r>
              <w:rPr>
                <w:rFonts w:cs="Arial"/>
                <w:lang w:val="en-US" w:eastAsia="zh-CN"/>
              </w:rPr>
              <w:t>refer to</w:t>
            </w:r>
            <w:r>
              <w:rPr>
                <w:rFonts w:hint="eastAsia" w:cs="Arial"/>
                <w:lang w:val="en-US" w:eastAsia="zh-CN"/>
              </w:rPr>
              <w:t xml:space="preserve"> cell 12 </w:t>
            </w:r>
            <w:r>
              <w:rPr>
                <w:rFonts w:cs="Arial"/>
                <w:lang w:val="en-US" w:eastAsia="zh-CN"/>
              </w:rPr>
              <w:t>instead of</w:t>
            </w:r>
            <w:r>
              <w:rPr>
                <w:rFonts w:hint="eastAsia" w:cs="Arial"/>
                <w:lang w:val="en-US" w:eastAsia="zh-CN"/>
              </w:rPr>
              <w:t xml:space="preserve"> cell 11</w:t>
            </w:r>
            <w:r>
              <w:rPr>
                <w:rFonts w:cs="Arial"/>
                <w:lang w:val="en-US" w:eastAsia="zh-CN"/>
              </w:rPr>
              <w:t xml:space="preserve"> for checking access</w:t>
            </w:r>
            <w:r>
              <w:rPr>
                <w:rFonts w:hint="eastAsia" w:cs="Arial"/>
                <w:lang w:val="en-US" w:eastAsia="zh-CN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</w:tcPr>
          <w:p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>
            <w:pPr>
              <w:spacing w:after="0"/>
              <w:rPr>
                <w:rFonts w:ascii="Arial" w:hAnsi="Arial" w:cs="Arial"/>
                <w:lang w:val="en-US" w:eastAsia="en-US"/>
              </w:rPr>
            </w:pPr>
            <w:r>
              <w:rPr>
                <w:rFonts w:ascii="Arial" w:hAnsi="Arial" w:cs="Arial"/>
                <w:lang w:val="en-US" w:eastAsia="en-US"/>
              </w:rPr>
              <w:t>SOR_NR5GC.ttcn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</w:tcPr>
          <w:p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>
            <w:pPr>
              <w:rPr>
                <w:rFonts w:ascii="Arial" w:hAnsi="Arial"/>
                <w:highlight w:val="cyan"/>
              </w:rPr>
            </w:pPr>
            <w:r>
              <w:rPr>
                <w:rFonts w:hint="eastAsia" w:ascii="Arial" w:hAnsi="Arial"/>
                <w:highlight w:val="cyan"/>
                <w:lang w:eastAsia="zh-CN"/>
              </w:rPr>
              <w:t>Accepted</w:t>
            </w:r>
            <w:bookmarkStart w:id="10" w:name="_GoBack"/>
            <w:bookmarkEnd w:id="10"/>
          </w:p>
        </w:tc>
      </w:tr>
    </w:tbl>
    <w:p>
      <w:pPr>
        <w:rPr>
          <w:lang w:val="en-US" w:eastAsia="en-US"/>
        </w:rPr>
      </w:pPr>
    </w:p>
    <w:p>
      <w:pPr>
        <w:rPr>
          <w:lang w:val="en-US" w:eastAsia="en-US"/>
        </w:rPr>
      </w:pPr>
      <w:r>
        <w:rPr>
          <w:lang w:val="en-US" w:eastAsia="en-US"/>
        </w:rPr>
        <w:t>Before Change</w:t>
      </w:r>
    </w:p>
    <w:tbl>
      <w:tblPr>
        <w:tblStyle w:val="4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</w:tcPr>
          <w:p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function fl_TC_6_3_1_5_TestBody() runs on NR5GC_PTC</w:t>
            </w:r>
          </w:p>
          <w:p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{</w:t>
            </w:r>
          </w:p>
          <w:p>
            <w:pPr>
              <w:rPr>
                <w:lang w:val="en-US" w:eastAsia="en-US"/>
              </w:rPr>
            </w:pPr>
            <w:r>
              <w:rPr>
                <w:lang w:val="en-US"/>
              </w:rPr>
              <w:t>…………………</w:t>
            </w:r>
          </w:p>
          <w:p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  //@siclog "Step </w:t>
            </w:r>
            <w:bookmarkStart w:id="9" w:name="OLE_LINK2"/>
            <w:r>
              <w:rPr>
                <w:lang w:val="en-US" w:eastAsia="en-US"/>
              </w:rPr>
              <w:t>17Aa2</w:t>
            </w:r>
            <w:bookmarkEnd w:id="9"/>
            <w:r>
              <w:rPr>
                <w:lang w:val="en-US" w:eastAsia="en-US"/>
              </w:rPr>
              <w:t>" siclog@ //@sic R5-216162 sic@</w:t>
            </w:r>
          </w:p>
          <w:p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  //The SS transmits an RRCRelease message.</w:t>
            </w:r>
          </w:p>
          <w:p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  f_NR_RRCRelease(nr_Cell13);</w:t>
            </w:r>
          </w:p>
          <w:p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  //EXCEPTION: Step 17Aa3a1 is performed if pc_noOf_PDUsNewConnection &gt; 0 and the UE starts PDU session establishment automatically //@sic R5-216162 sic@</w:t>
            </w:r>
          </w:p>
          <w:p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  //@siclog "Step 17Aa3a1" siclog@  //@sic R5-216162 sic@</w:t>
            </w:r>
          </w:p>
          <w:p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  //The generic procedure for UE-requested PDU session establishment, specified in subclause 4.5.2.2-4, takes place from step 2 to 9a1 performing establishment of UE-requested PDU session(s) with ExpectedNumberOfNewPDUSessions = pc_noOf_PDUsNewConnection and then release the RRC Connection.</w:t>
            </w:r>
          </w:p>
          <w:p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  if (pc_noOf_PDUsNewConnection &gt; 0 ){</w:t>
            </w:r>
          </w:p>
          <w:p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    t_Wait.start;</w:t>
            </w:r>
          </w:p>
          <w:p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    alt {</w:t>
            </w:r>
          </w:p>
          <w:p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      [] SRB.check(receive(car_NR_SRB0_RrcPdu_IND(nr_Cell13, cr_38508_RRCSetupRequest(cr_NR_EstablishmentCause_Any))))</w:t>
            </w:r>
          </w:p>
          <w:p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        {</w:t>
            </w:r>
          </w:p>
          <w:p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          t_Wait.stop;</w:t>
            </w:r>
          </w:p>
          <w:p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          f_NR5GC_ExIdlePDUsession(nr_Cell13);</w:t>
            </w:r>
          </w:p>
          <w:p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        }</w:t>
            </w:r>
          </w:p>
          <w:p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      [] SRB.check(receive(car_NR_SRB0_RrcPdu_IND(</w:t>
            </w:r>
            <w:r>
              <w:rPr>
                <w:highlight w:val="yellow"/>
                <w:lang w:val="en-US" w:eastAsia="en-US"/>
              </w:rPr>
              <w:t>nr_Cell11</w:t>
            </w:r>
            <w:r>
              <w:rPr>
                <w:lang w:val="en-US" w:eastAsia="en-US"/>
              </w:rPr>
              <w:t>, cr_38508_RRCSetupRequest(cr_NR_EstablishmentCause_Any))))</w:t>
            </w:r>
          </w:p>
          <w:p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        {</w:t>
            </w:r>
          </w:p>
          <w:p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          t_Wait.stop;</w:t>
            </w:r>
          </w:p>
          <w:p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        }</w:t>
            </w:r>
          </w:p>
          <w:p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      [] t_Wait.timeout{}</w:t>
            </w:r>
          </w:p>
          <w:p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    }</w:t>
            </w:r>
          </w:p>
          <w:p>
            <w:pPr>
              <w:ind w:firstLine="200"/>
              <w:rPr>
                <w:lang w:val="en-US" w:eastAsia="en-US"/>
              </w:rPr>
            </w:pPr>
            <w:r>
              <w:rPr>
                <w:lang w:val="en-US" w:eastAsia="en-US"/>
              </w:rPr>
              <w:t>}</w:t>
            </w:r>
          </w:p>
          <w:p>
            <w:pPr>
              <w:ind w:firstLine="200"/>
              <w:rPr>
                <w:lang w:val="en-US" w:eastAsia="en-US"/>
              </w:rPr>
            </w:pPr>
            <w:r>
              <w:rPr>
                <w:lang w:val="en-US" w:eastAsia="en-US"/>
              </w:rPr>
              <w:t>…………………</w:t>
            </w:r>
          </w:p>
          <w:p>
            <w:pPr>
              <w:ind w:firstLine="200"/>
              <w:rPr>
                <w:lang w:val="en-US" w:eastAsia="en-US"/>
              </w:rPr>
            </w:pPr>
            <w:r>
              <w:rPr>
                <w:lang w:val="en-US" w:eastAsia="en-US"/>
              </w:rPr>
              <w:t>}</w:t>
            </w:r>
          </w:p>
        </w:tc>
      </w:tr>
    </w:tbl>
    <w:p>
      <w:pPr>
        <w:rPr>
          <w:lang w:val="en-US" w:eastAsia="en-US"/>
        </w:rPr>
      </w:pPr>
    </w:p>
    <w:p>
      <w:pPr>
        <w:rPr>
          <w:lang w:val="en-US" w:eastAsia="en-US"/>
        </w:rPr>
      </w:pPr>
      <w:r>
        <w:rPr>
          <w:lang w:val="en-US" w:eastAsia="en-US"/>
        </w:rPr>
        <w:t>After Change</w:t>
      </w:r>
    </w:p>
    <w:tbl>
      <w:tblPr>
        <w:tblStyle w:val="4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</w:tcPr>
          <w:p>
            <w:r>
              <w:t>function fl_TC_6_3_1_5_TestBody() runs on NR5GC_PTC</w:t>
            </w:r>
          </w:p>
          <w:p>
            <w:r>
              <w:t xml:space="preserve">  {</w:t>
            </w:r>
          </w:p>
          <w:p>
            <w:pPr>
              <w:rPr>
                <w:lang w:val="en-US"/>
              </w:rPr>
            </w:pPr>
            <w:r>
              <w:rPr>
                <w:lang w:val="en-US"/>
              </w:rPr>
              <w:t>……………..</w:t>
            </w:r>
          </w:p>
          <w:p>
            <w:r>
              <w:t xml:space="preserve">    //@siclog "Step 17Aa2" siclog@ //@sic R5-216162 sic@</w:t>
            </w:r>
          </w:p>
          <w:p>
            <w:r>
              <w:t xml:space="preserve">    //The SS transmits an RRCRelease message.</w:t>
            </w:r>
          </w:p>
          <w:p>
            <w:r>
              <w:t xml:space="preserve">    f_NR_RRCRelease(nr_Cell13);</w:t>
            </w:r>
          </w:p>
          <w:p>
            <w:r>
              <w:t xml:space="preserve">    //EXCEPTION: Step 17Aa3a1 is performed if pc_noOf_PDUsNewConnection &gt; 0 and the UE starts PDU session establishment automatically //@sic R5-216162 sic@</w:t>
            </w:r>
          </w:p>
          <w:p>
            <w:r>
              <w:t xml:space="preserve">    //@siclog "Step 17Aa3a1" siclog@  //@sic R5-216162 sic@</w:t>
            </w:r>
          </w:p>
          <w:p>
            <w:r>
              <w:t xml:space="preserve">    //The generic procedure for UE-requested PDU session establishment, specified in subclause 4.5.2.2-4, takes place from step 2 to 9a1 performing establishment of UE-requested PDU session(s) with ExpectedNumberOfNewPDUSessions = pc_noOf_PDUsNewConnection and then release the RRC Connection.</w:t>
            </w:r>
          </w:p>
          <w:p>
            <w:r>
              <w:t xml:space="preserve">    if (pc_noOf_PDUsNewConnection &gt; 0 ){</w:t>
            </w:r>
          </w:p>
          <w:p>
            <w:r>
              <w:t xml:space="preserve">      t_Wait.start;</w:t>
            </w:r>
          </w:p>
          <w:p>
            <w:r>
              <w:t xml:space="preserve">      alt {</w:t>
            </w:r>
          </w:p>
          <w:p>
            <w:r>
              <w:t xml:space="preserve">        [] SRB.check(receive(car_NR_SRB0_RrcPdu_IND(nr_Cell13, cr_38508_RRCSetupRequest(cr_NR_EstablishmentCause_Any))))</w:t>
            </w:r>
          </w:p>
          <w:p>
            <w:r>
              <w:t xml:space="preserve">          {</w:t>
            </w:r>
          </w:p>
          <w:p>
            <w:r>
              <w:t xml:space="preserve">            t_Wait.stop;</w:t>
            </w:r>
          </w:p>
          <w:p>
            <w:r>
              <w:t xml:space="preserve">            f_NR5GC_ExIdlePDUsession(nr_Cell13);</w:t>
            </w:r>
          </w:p>
          <w:p>
            <w:r>
              <w:t xml:space="preserve">          }</w:t>
            </w:r>
          </w:p>
          <w:p>
            <w:r>
              <w:t xml:space="preserve">        [] SRB.check(receive(car_NR_SRB0_RrcPdu_IND(</w:t>
            </w:r>
            <w:r>
              <w:rPr>
                <w:highlight w:val="yellow"/>
              </w:rPr>
              <w:t>nr_Cell12</w:t>
            </w:r>
            <w:r>
              <w:t>, cr_38508_RRCSetupRequest(cr_NR_EstablishmentCause_Any))))</w:t>
            </w:r>
          </w:p>
          <w:p>
            <w:r>
              <w:t xml:space="preserve">          {</w:t>
            </w:r>
          </w:p>
          <w:p>
            <w:r>
              <w:t xml:space="preserve">            t_Wait.stop;</w:t>
            </w:r>
          </w:p>
          <w:p>
            <w:r>
              <w:t xml:space="preserve">          }</w:t>
            </w:r>
          </w:p>
          <w:p>
            <w:r>
              <w:t xml:space="preserve">        [] t_Wait.timeout{}</w:t>
            </w:r>
          </w:p>
          <w:p>
            <w:r>
              <w:t xml:space="preserve">      }</w:t>
            </w:r>
          </w:p>
          <w:p>
            <w:pPr>
              <w:ind w:firstLine="200"/>
            </w:pPr>
            <w:r>
              <w:t>}</w:t>
            </w:r>
          </w:p>
          <w:p>
            <w:pPr>
              <w:rPr>
                <w:lang w:val="en-US"/>
              </w:rPr>
            </w:pPr>
            <w:r>
              <w:rPr>
                <w:lang w:val="en-US"/>
              </w:rPr>
              <w:t>…………………..</w:t>
            </w:r>
          </w:p>
          <w:p>
            <w:pPr>
              <w:rPr>
                <w:lang w:val="en-US" w:eastAsia="en-US"/>
              </w:rPr>
            </w:pPr>
            <w:r>
              <w:rPr>
                <w:lang w:val="en-US"/>
              </w:rPr>
              <w:t>}</w:t>
            </w:r>
          </w:p>
        </w:tc>
      </w:tr>
    </w:tbl>
    <w:p>
      <w:pPr>
        <w:rPr>
          <w:lang w:val="en-US" w:eastAsia="en-US"/>
        </w:rPr>
      </w:pP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4270B4C"/>
    <w:multiLevelType w:val="multilevel"/>
    <w:tmpl w:val="34270B4C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0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B07"/>
    <w:rsid w:val="00004EF1"/>
    <w:rsid w:val="00022E4A"/>
    <w:rsid w:val="000235C3"/>
    <w:rsid w:val="0003021B"/>
    <w:rsid w:val="00030294"/>
    <w:rsid w:val="00030B84"/>
    <w:rsid w:val="00040C16"/>
    <w:rsid w:val="00045F51"/>
    <w:rsid w:val="00055CE1"/>
    <w:rsid w:val="00056850"/>
    <w:rsid w:val="00065CBA"/>
    <w:rsid w:val="000742B7"/>
    <w:rsid w:val="00086B5E"/>
    <w:rsid w:val="00092F7C"/>
    <w:rsid w:val="00093BA7"/>
    <w:rsid w:val="000A2912"/>
    <w:rsid w:val="000A2FA0"/>
    <w:rsid w:val="000A6394"/>
    <w:rsid w:val="000B0C2C"/>
    <w:rsid w:val="000B7FED"/>
    <w:rsid w:val="000C016D"/>
    <w:rsid w:val="000C038A"/>
    <w:rsid w:val="000C6598"/>
    <w:rsid w:val="000D44B3"/>
    <w:rsid w:val="000E001A"/>
    <w:rsid w:val="000E34BB"/>
    <w:rsid w:val="000F6FBF"/>
    <w:rsid w:val="00101071"/>
    <w:rsid w:val="001316F0"/>
    <w:rsid w:val="00132E8A"/>
    <w:rsid w:val="00134C93"/>
    <w:rsid w:val="00144A79"/>
    <w:rsid w:val="00145D43"/>
    <w:rsid w:val="00192C46"/>
    <w:rsid w:val="001958CA"/>
    <w:rsid w:val="001A08B3"/>
    <w:rsid w:val="001A09A3"/>
    <w:rsid w:val="001A18C4"/>
    <w:rsid w:val="001A433F"/>
    <w:rsid w:val="001A7B60"/>
    <w:rsid w:val="001B52F0"/>
    <w:rsid w:val="001B7A65"/>
    <w:rsid w:val="001C72B3"/>
    <w:rsid w:val="001D5E3C"/>
    <w:rsid w:val="001E41F3"/>
    <w:rsid w:val="001E4F74"/>
    <w:rsid w:val="001F01B6"/>
    <w:rsid w:val="001F2D5E"/>
    <w:rsid w:val="002079B5"/>
    <w:rsid w:val="002118AB"/>
    <w:rsid w:val="002160BA"/>
    <w:rsid w:val="002177A0"/>
    <w:rsid w:val="0022307B"/>
    <w:rsid w:val="00227477"/>
    <w:rsid w:val="00230B6F"/>
    <w:rsid w:val="00233709"/>
    <w:rsid w:val="00237180"/>
    <w:rsid w:val="0025709B"/>
    <w:rsid w:val="0026004D"/>
    <w:rsid w:val="00261B80"/>
    <w:rsid w:val="002640DD"/>
    <w:rsid w:val="002665CE"/>
    <w:rsid w:val="00275D12"/>
    <w:rsid w:val="00280C35"/>
    <w:rsid w:val="00283EBC"/>
    <w:rsid w:val="00284FEB"/>
    <w:rsid w:val="002860C4"/>
    <w:rsid w:val="002A7056"/>
    <w:rsid w:val="002B41D0"/>
    <w:rsid w:val="002B5741"/>
    <w:rsid w:val="002C02F6"/>
    <w:rsid w:val="002D362B"/>
    <w:rsid w:val="002D39A7"/>
    <w:rsid w:val="002E472E"/>
    <w:rsid w:val="002E55AB"/>
    <w:rsid w:val="002F6BAD"/>
    <w:rsid w:val="003020E8"/>
    <w:rsid w:val="00305409"/>
    <w:rsid w:val="00310086"/>
    <w:rsid w:val="00311EE5"/>
    <w:rsid w:val="00317F09"/>
    <w:rsid w:val="003234CC"/>
    <w:rsid w:val="003266F8"/>
    <w:rsid w:val="00327CE2"/>
    <w:rsid w:val="00335496"/>
    <w:rsid w:val="00344D50"/>
    <w:rsid w:val="00346A55"/>
    <w:rsid w:val="003609EF"/>
    <w:rsid w:val="00361F13"/>
    <w:rsid w:val="0036231A"/>
    <w:rsid w:val="003744F8"/>
    <w:rsid w:val="00374DD4"/>
    <w:rsid w:val="00380168"/>
    <w:rsid w:val="00391922"/>
    <w:rsid w:val="00395A27"/>
    <w:rsid w:val="003A0D0F"/>
    <w:rsid w:val="003A0EDE"/>
    <w:rsid w:val="003A22C0"/>
    <w:rsid w:val="003A3CA7"/>
    <w:rsid w:val="003A4D8D"/>
    <w:rsid w:val="003B6BD9"/>
    <w:rsid w:val="003C6ABA"/>
    <w:rsid w:val="003E1A36"/>
    <w:rsid w:val="00410049"/>
    <w:rsid w:val="00410371"/>
    <w:rsid w:val="004146C9"/>
    <w:rsid w:val="00415E33"/>
    <w:rsid w:val="004242F1"/>
    <w:rsid w:val="00431CAA"/>
    <w:rsid w:val="00442685"/>
    <w:rsid w:val="004522A4"/>
    <w:rsid w:val="00465F5F"/>
    <w:rsid w:val="00467D47"/>
    <w:rsid w:val="00484797"/>
    <w:rsid w:val="004942F6"/>
    <w:rsid w:val="00494D00"/>
    <w:rsid w:val="004A4228"/>
    <w:rsid w:val="004A549C"/>
    <w:rsid w:val="004B5579"/>
    <w:rsid w:val="004B5B1A"/>
    <w:rsid w:val="004B75B7"/>
    <w:rsid w:val="004C3318"/>
    <w:rsid w:val="004D2D00"/>
    <w:rsid w:val="004D5D05"/>
    <w:rsid w:val="004F2994"/>
    <w:rsid w:val="00502FEC"/>
    <w:rsid w:val="005037DF"/>
    <w:rsid w:val="0051580D"/>
    <w:rsid w:val="0051584C"/>
    <w:rsid w:val="005428A5"/>
    <w:rsid w:val="00547111"/>
    <w:rsid w:val="0054712D"/>
    <w:rsid w:val="00555E70"/>
    <w:rsid w:val="00556166"/>
    <w:rsid w:val="00557065"/>
    <w:rsid w:val="005649B1"/>
    <w:rsid w:val="00566776"/>
    <w:rsid w:val="00576B7D"/>
    <w:rsid w:val="00587812"/>
    <w:rsid w:val="00592D74"/>
    <w:rsid w:val="005A0003"/>
    <w:rsid w:val="005C657A"/>
    <w:rsid w:val="005D5EA0"/>
    <w:rsid w:val="005E1087"/>
    <w:rsid w:val="005E2C44"/>
    <w:rsid w:val="005F4BD2"/>
    <w:rsid w:val="00600564"/>
    <w:rsid w:val="00604A32"/>
    <w:rsid w:val="00605FCB"/>
    <w:rsid w:val="006061A3"/>
    <w:rsid w:val="00606F94"/>
    <w:rsid w:val="00621188"/>
    <w:rsid w:val="006257ED"/>
    <w:rsid w:val="00631563"/>
    <w:rsid w:val="006408D7"/>
    <w:rsid w:val="00643A34"/>
    <w:rsid w:val="00647E89"/>
    <w:rsid w:val="0066030A"/>
    <w:rsid w:val="0066224B"/>
    <w:rsid w:val="00663AF8"/>
    <w:rsid w:val="00665C47"/>
    <w:rsid w:val="006667C0"/>
    <w:rsid w:val="006673E1"/>
    <w:rsid w:val="0067277E"/>
    <w:rsid w:val="006759D6"/>
    <w:rsid w:val="00695808"/>
    <w:rsid w:val="006A38D3"/>
    <w:rsid w:val="006B3C17"/>
    <w:rsid w:val="006B46FB"/>
    <w:rsid w:val="006C06AF"/>
    <w:rsid w:val="006C10B7"/>
    <w:rsid w:val="006E21FB"/>
    <w:rsid w:val="00701A94"/>
    <w:rsid w:val="00703F6F"/>
    <w:rsid w:val="007146D3"/>
    <w:rsid w:val="00715499"/>
    <w:rsid w:val="00716FF8"/>
    <w:rsid w:val="00720F74"/>
    <w:rsid w:val="0072223D"/>
    <w:rsid w:val="0072502F"/>
    <w:rsid w:val="00744663"/>
    <w:rsid w:val="00757DA6"/>
    <w:rsid w:val="00765598"/>
    <w:rsid w:val="007745EA"/>
    <w:rsid w:val="007830D7"/>
    <w:rsid w:val="00792342"/>
    <w:rsid w:val="00792C67"/>
    <w:rsid w:val="007964A7"/>
    <w:rsid w:val="007977A8"/>
    <w:rsid w:val="007A20BE"/>
    <w:rsid w:val="007A63D1"/>
    <w:rsid w:val="007A7498"/>
    <w:rsid w:val="007B512A"/>
    <w:rsid w:val="007C2097"/>
    <w:rsid w:val="007D223A"/>
    <w:rsid w:val="007D2848"/>
    <w:rsid w:val="007D6A07"/>
    <w:rsid w:val="007E16EC"/>
    <w:rsid w:val="007E5B3D"/>
    <w:rsid w:val="007E76DC"/>
    <w:rsid w:val="007F44EA"/>
    <w:rsid w:val="007F7259"/>
    <w:rsid w:val="008040A8"/>
    <w:rsid w:val="008150DE"/>
    <w:rsid w:val="008279FA"/>
    <w:rsid w:val="00832EA7"/>
    <w:rsid w:val="00835B06"/>
    <w:rsid w:val="00843525"/>
    <w:rsid w:val="00847DB8"/>
    <w:rsid w:val="008535B7"/>
    <w:rsid w:val="008626E7"/>
    <w:rsid w:val="00863404"/>
    <w:rsid w:val="00870EE7"/>
    <w:rsid w:val="0087387E"/>
    <w:rsid w:val="00881CD5"/>
    <w:rsid w:val="008860AA"/>
    <w:rsid w:val="008863B9"/>
    <w:rsid w:val="008A45A6"/>
    <w:rsid w:val="008A4B32"/>
    <w:rsid w:val="008A4C0E"/>
    <w:rsid w:val="008A55E2"/>
    <w:rsid w:val="008B7A82"/>
    <w:rsid w:val="008C38FD"/>
    <w:rsid w:val="008C46E2"/>
    <w:rsid w:val="008C7320"/>
    <w:rsid w:val="008F3789"/>
    <w:rsid w:val="008F686C"/>
    <w:rsid w:val="009148DE"/>
    <w:rsid w:val="00937A5E"/>
    <w:rsid w:val="00941E30"/>
    <w:rsid w:val="009438D6"/>
    <w:rsid w:val="0095216E"/>
    <w:rsid w:val="00952F40"/>
    <w:rsid w:val="009664F6"/>
    <w:rsid w:val="00976C27"/>
    <w:rsid w:val="009777D9"/>
    <w:rsid w:val="00980F99"/>
    <w:rsid w:val="00981DD0"/>
    <w:rsid w:val="00982379"/>
    <w:rsid w:val="00991B88"/>
    <w:rsid w:val="00992C56"/>
    <w:rsid w:val="009A1FA7"/>
    <w:rsid w:val="009A4AB6"/>
    <w:rsid w:val="009A5753"/>
    <w:rsid w:val="009A579D"/>
    <w:rsid w:val="009B0C3B"/>
    <w:rsid w:val="009B3329"/>
    <w:rsid w:val="009B33A9"/>
    <w:rsid w:val="009B38DB"/>
    <w:rsid w:val="009B5787"/>
    <w:rsid w:val="009C3ADF"/>
    <w:rsid w:val="009C3F09"/>
    <w:rsid w:val="009D109C"/>
    <w:rsid w:val="009D38AE"/>
    <w:rsid w:val="009D6E77"/>
    <w:rsid w:val="009E3297"/>
    <w:rsid w:val="009E3609"/>
    <w:rsid w:val="009F5355"/>
    <w:rsid w:val="009F734F"/>
    <w:rsid w:val="00A03654"/>
    <w:rsid w:val="00A1055C"/>
    <w:rsid w:val="00A10E39"/>
    <w:rsid w:val="00A246B6"/>
    <w:rsid w:val="00A2554A"/>
    <w:rsid w:val="00A33448"/>
    <w:rsid w:val="00A340BE"/>
    <w:rsid w:val="00A37C31"/>
    <w:rsid w:val="00A47E70"/>
    <w:rsid w:val="00A50CF0"/>
    <w:rsid w:val="00A514FF"/>
    <w:rsid w:val="00A52A2B"/>
    <w:rsid w:val="00A54E19"/>
    <w:rsid w:val="00A7671C"/>
    <w:rsid w:val="00AA2CBC"/>
    <w:rsid w:val="00AB38CB"/>
    <w:rsid w:val="00AB65B9"/>
    <w:rsid w:val="00AC23BD"/>
    <w:rsid w:val="00AC5820"/>
    <w:rsid w:val="00AD1CD8"/>
    <w:rsid w:val="00AD62D3"/>
    <w:rsid w:val="00AF5814"/>
    <w:rsid w:val="00AF6C48"/>
    <w:rsid w:val="00B1349F"/>
    <w:rsid w:val="00B2034D"/>
    <w:rsid w:val="00B22104"/>
    <w:rsid w:val="00B258BB"/>
    <w:rsid w:val="00B51510"/>
    <w:rsid w:val="00B53132"/>
    <w:rsid w:val="00B67B97"/>
    <w:rsid w:val="00B70576"/>
    <w:rsid w:val="00B77890"/>
    <w:rsid w:val="00B80300"/>
    <w:rsid w:val="00B80627"/>
    <w:rsid w:val="00B968C8"/>
    <w:rsid w:val="00BA3EC5"/>
    <w:rsid w:val="00BA51D9"/>
    <w:rsid w:val="00BB083E"/>
    <w:rsid w:val="00BB5DFC"/>
    <w:rsid w:val="00BB6E67"/>
    <w:rsid w:val="00BC3116"/>
    <w:rsid w:val="00BC3121"/>
    <w:rsid w:val="00BD2208"/>
    <w:rsid w:val="00BD279D"/>
    <w:rsid w:val="00BD6BB8"/>
    <w:rsid w:val="00BE179D"/>
    <w:rsid w:val="00BE3383"/>
    <w:rsid w:val="00BE6F27"/>
    <w:rsid w:val="00C01F92"/>
    <w:rsid w:val="00C11887"/>
    <w:rsid w:val="00C17B8B"/>
    <w:rsid w:val="00C243F7"/>
    <w:rsid w:val="00C244BA"/>
    <w:rsid w:val="00C32DEB"/>
    <w:rsid w:val="00C33E7F"/>
    <w:rsid w:val="00C462F9"/>
    <w:rsid w:val="00C63CDB"/>
    <w:rsid w:val="00C64A0A"/>
    <w:rsid w:val="00C66BA2"/>
    <w:rsid w:val="00C83A6B"/>
    <w:rsid w:val="00C85DD5"/>
    <w:rsid w:val="00C902CB"/>
    <w:rsid w:val="00C95985"/>
    <w:rsid w:val="00CA44A0"/>
    <w:rsid w:val="00CA621A"/>
    <w:rsid w:val="00CA742A"/>
    <w:rsid w:val="00CB3198"/>
    <w:rsid w:val="00CB36F7"/>
    <w:rsid w:val="00CB4586"/>
    <w:rsid w:val="00CB5F17"/>
    <w:rsid w:val="00CC5026"/>
    <w:rsid w:val="00CC68D0"/>
    <w:rsid w:val="00CD441F"/>
    <w:rsid w:val="00CE24B2"/>
    <w:rsid w:val="00CE6D50"/>
    <w:rsid w:val="00CE7F3D"/>
    <w:rsid w:val="00CF5766"/>
    <w:rsid w:val="00D00793"/>
    <w:rsid w:val="00D03794"/>
    <w:rsid w:val="00D03F9A"/>
    <w:rsid w:val="00D06D51"/>
    <w:rsid w:val="00D24991"/>
    <w:rsid w:val="00D26084"/>
    <w:rsid w:val="00D330A6"/>
    <w:rsid w:val="00D3537B"/>
    <w:rsid w:val="00D44D27"/>
    <w:rsid w:val="00D50255"/>
    <w:rsid w:val="00D52135"/>
    <w:rsid w:val="00D66520"/>
    <w:rsid w:val="00D75D19"/>
    <w:rsid w:val="00D83373"/>
    <w:rsid w:val="00D83C48"/>
    <w:rsid w:val="00D85F97"/>
    <w:rsid w:val="00D878CE"/>
    <w:rsid w:val="00D9742A"/>
    <w:rsid w:val="00D97FDC"/>
    <w:rsid w:val="00DA15C5"/>
    <w:rsid w:val="00DB4A5D"/>
    <w:rsid w:val="00DC2D3D"/>
    <w:rsid w:val="00DC76DE"/>
    <w:rsid w:val="00DD3057"/>
    <w:rsid w:val="00DD3BF4"/>
    <w:rsid w:val="00DE160C"/>
    <w:rsid w:val="00DE196D"/>
    <w:rsid w:val="00DE34CF"/>
    <w:rsid w:val="00DE7626"/>
    <w:rsid w:val="00DF0CD3"/>
    <w:rsid w:val="00E05751"/>
    <w:rsid w:val="00E057A7"/>
    <w:rsid w:val="00E13F3D"/>
    <w:rsid w:val="00E15F85"/>
    <w:rsid w:val="00E21987"/>
    <w:rsid w:val="00E259B2"/>
    <w:rsid w:val="00E32FF3"/>
    <w:rsid w:val="00E34898"/>
    <w:rsid w:val="00E43581"/>
    <w:rsid w:val="00E45355"/>
    <w:rsid w:val="00E667B7"/>
    <w:rsid w:val="00E7727D"/>
    <w:rsid w:val="00E77D77"/>
    <w:rsid w:val="00E81ED2"/>
    <w:rsid w:val="00E85415"/>
    <w:rsid w:val="00E857DE"/>
    <w:rsid w:val="00EB09B7"/>
    <w:rsid w:val="00EB6182"/>
    <w:rsid w:val="00EE044B"/>
    <w:rsid w:val="00EE7C77"/>
    <w:rsid w:val="00EE7D7C"/>
    <w:rsid w:val="00EF7D03"/>
    <w:rsid w:val="00F104CE"/>
    <w:rsid w:val="00F121F0"/>
    <w:rsid w:val="00F25D98"/>
    <w:rsid w:val="00F300FB"/>
    <w:rsid w:val="00F60954"/>
    <w:rsid w:val="00F7019E"/>
    <w:rsid w:val="00F708B7"/>
    <w:rsid w:val="00F720A4"/>
    <w:rsid w:val="00F723E3"/>
    <w:rsid w:val="00F751B6"/>
    <w:rsid w:val="00F761B2"/>
    <w:rsid w:val="00F93B4E"/>
    <w:rsid w:val="00F97C82"/>
    <w:rsid w:val="00FB3BB5"/>
    <w:rsid w:val="00FB6386"/>
    <w:rsid w:val="00FC4B13"/>
    <w:rsid w:val="00FC79FD"/>
    <w:rsid w:val="00FD0C4C"/>
    <w:rsid w:val="00FD5F4A"/>
    <w:rsid w:val="00FE3F15"/>
    <w:rsid w:val="00FF5874"/>
    <w:rsid w:val="00FF7F38"/>
    <w:rsid w:val="63BF0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39" w:semiHidden="0" w:name="toc 1"/>
    <w:lsdException w:unhideWhenUsed="0" w:uiPriority="39" w:semiHidden="0" w:name="toc 2"/>
    <w:lsdException w:unhideWhenUsed="0" w:uiPriority="0" w:name="toc 3"/>
    <w:lsdException w:unhideWhenUsed="0" w:uiPriority="0" w:name="toc 4"/>
    <w:lsdException w:unhideWhenUsed="0" w:uiPriority="0" w:name="toc 5"/>
    <w:lsdException w:unhideWhenUsed="0" w:uiPriority="0" w:name="toc 6"/>
    <w:lsdException w:unhideWhenUsed="0" w:uiPriority="0" w:name="toc 7"/>
    <w:lsdException w:unhideWhenUsed="0" w:uiPriority="0" w:name="toc 8"/>
    <w:lsdException w:unhideWhenUsed="0" w:uiPriority="0" w:name="toc 9"/>
    <w:lsdException w:uiPriority="0" w:name="Normal Indent"/>
    <w:lsdException w:qFormat="1" w:unhideWhenUsed="0" w:uiPriority="0" w:name="footnote text"/>
    <w:lsdException w:unhideWhenUsed="0" w:uiPriority="0" w:name="annotation text"/>
    <w:lsdException w:qFormat="1"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nhideWhenUsed="0" w:uiPriority="0" w:name="footnote reference"/>
    <w:lsdException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99" w:semiHidden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9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toc 7"/>
    <w:basedOn w:val="16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uiPriority w:val="0"/>
  </w:style>
  <w:style w:type="paragraph" w:styleId="24">
    <w:name w:val="List Bullet 4"/>
    <w:basedOn w:val="25"/>
    <w:uiPriority w:val="0"/>
    <w:pPr>
      <w:ind w:left="1418"/>
    </w:pPr>
  </w:style>
  <w:style w:type="paragraph" w:styleId="25">
    <w:name w:val="List Bullet 3"/>
    <w:basedOn w:val="26"/>
    <w:uiPriority w:val="0"/>
    <w:pPr>
      <w:ind w:left="1135"/>
    </w:pPr>
  </w:style>
  <w:style w:type="paragraph" w:styleId="26">
    <w:name w:val="List Bullet 2"/>
    <w:basedOn w:val="27"/>
    <w:uiPriority w:val="0"/>
    <w:pPr>
      <w:ind w:left="851"/>
    </w:pPr>
  </w:style>
  <w:style w:type="paragraph" w:styleId="27">
    <w:name w:val="List Bullet"/>
    <w:basedOn w:val="14"/>
    <w:uiPriority w:val="0"/>
  </w:style>
  <w:style w:type="paragraph" w:styleId="28">
    <w:name w:val="Document Map"/>
    <w:basedOn w:val="1"/>
    <w:semiHidden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uiPriority w:val="0"/>
  </w:style>
  <w:style w:type="paragraph" w:styleId="30">
    <w:name w:val="List Bullet 5"/>
    <w:basedOn w:val="24"/>
    <w:uiPriority w:val="0"/>
    <w:pPr>
      <w:ind w:left="1702"/>
    </w:pPr>
  </w:style>
  <w:style w:type="paragraph" w:styleId="31">
    <w:name w:val="toc 8"/>
    <w:basedOn w:val="21"/>
    <w:next w:val="1"/>
    <w:semiHidden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uiPriority w:val="0"/>
    <w:pPr>
      <w:ind w:left="1702"/>
    </w:pPr>
  </w:style>
  <w:style w:type="paragraph" w:styleId="37">
    <w:name w:val="List 4"/>
    <w:basedOn w:val="12"/>
    <w:uiPriority w:val="0"/>
    <w:pPr>
      <w:ind w:left="1418"/>
    </w:pPr>
  </w:style>
  <w:style w:type="paragraph" w:styleId="38">
    <w:name w:val="toc 9"/>
    <w:basedOn w:val="31"/>
    <w:next w:val="1"/>
    <w:semiHidden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Title"/>
    <w:basedOn w:val="1"/>
    <w:next w:val="1"/>
    <w:link w:val="87"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42">
    <w:name w:val="annotation subject"/>
    <w:basedOn w:val="29"/>
    <w:next w:val="29"/>
    <w:semiHidden/>
    <w:uiPriority w:val="0"/>
    <w:rPr>
      <w:b/>
      <w:bCs/>
    </w:rPr>
  </w:style>
  <w:style w:type="character" w:styleId="45">
    <w:name w:val="FollowedHyperlink"/>
    <w:uiPriority w:val="0"/>
    <w:rPr>
      <w:color w:val="800080"/>
      <w:u w:val="single"/>
    </w:rPr>
  </w:style>
  <w:style w:type="character" w:styleId="46">
    <w:name w:val="Emphasis"/>
    <w:qFormat/>
    <w:uiPriority w:val="0"/>
    <w:rPr>
      <w:i/>
      <w:iCs/>
    </w:rPr>
  </w:style>
  <w:style w:type="character" w:styleId="47">
    <w:name w:val="Hyperlink"/>
    <w:uiPriority w:val="0"/>
    <w:rPr>
      <w:color w:val="0000FF"/>
      <w:u w:val="single"/>
    </w:rPr>
  </w:style>
  <w:style w:type="character" w:styleId="48">
    <w:name w:val="HTML Code"/>
    <w:basedOn w:val="44"/>
    <w:unhideWhenUsed/>
    <w:uiPriority w:val="99"/>
    <w:rPr>
      <w:rFonts w:ascii="Courier New" w:hAnsi="Courier New" w:cs="Courier New"/>
      <w:sz w:val="20"/>
      <w:szCs w:val="20"/>
    </w:rPr>
  </w:style>
  <w:style w:type="character" w:styleId="49">
    <w:name w:val="annotation reference"/>
    <w:semiHidden/>
    <w:uiPriority w:val="0"/>
    <w:rPr>
      <w:sz w:val="16"/>
    </w:rPr>
  </w:style>
  <w:style w:type="character" w:styleId="50">
    <w:name w:val="footnote reference"/>
    <w:semiHidden/>
    <w:uiPriority w:val="0"/>
    <w:rPr>
      <w:b/>
      <w:position w:val="6"/>
      <w:sz w:val="16"/>
    </w:rPr>
  </w:style>
  <w:style w:type="paragraph" w:customStyle="1" w:styleId="5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3">
    <w:name w:val="TT"/>
    <w:basedOn w:val="2"/>
    <w:next w:val="1"/>
    <w:qFormat/>
    <w:uiPriority w:val="0"/>
    <w:pPr>
      <w:outlineLvl w:val="9"/>
    </w:pPr>
  </w:style>
  <w:style w:type="paragraph" w:customStyle="1" w:styleId="54">
    <w:name w:val="TAH"/>
    <w:basedOn w:val="55"/>
    <w:uiPriority w:val="0"/>
    <w:rPr>
      <w:b/>
    </w:rPr>
  </w:style>
  <w:style w:type="paragraph" w:customStyle="1" w:styleId="55">
    <w:name w:val="TAC"/>
    <w:basedOn w:val="56"/>
    <w:uiPriority w:val="0"/>
    <w:pPr>
      <w:jc w:val="center"/>
    </w:pPr>
  </w:style>
  <w:style w:type="paragraph" w:customStyle="1" w:styleId="56">
    <w:name w:val="TAL"/>
    <w:basedOn w:val="1"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7">
    <w:name w:val="TF"/>
    <w:basedOn w:val="58"/>
    <w:uiPriority w:val="0"/>
    <w:pPr>
      <w:keepNext w:val="0"/>
      <w:spacing w:before="0" w:after="240"/>
    </w:pPr>
  </w:style>
  <w:style w:type="paragraph" w:customStyle="1" w:styleId="58">
    <w:name w:val="TH"/>
    <w:basedOn w:val="1"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9">
    <w:name w:val="NO"/>
    <w:basedOn w:val="1"/>
    <w:uiPriority w:val="0"/>
    <w:pPr>
      <w:keepLines/>
      <w:ind w:left="1135" w:hanging="851"/>
    </w:pPr>
  </w:style>
  <w:style w:type="paragraph" w:customStyle="1" w:styleId="60">
    <w:name w:val="EX"/>
    <w:basedOn w:val="1"/>
    <w:uiPriority w:val="0"/>
    <w:pPr>
      <w:keepLines/>
      <w:ind w:left="1702" w:hanging="1418"/>
    </w:pPr>
  </w:style>
  <w:style w:type="paragraph" w:customStyle="1" w:styleId="61">
    <w:name w:val="FP"/>
    <w:basedOn w:val="1"/>
    <w:uiPriority w:val="0"/>
    <w:pPr>
      <w:spacing w:after="0"/>
    </w:pPr>
  </w:style>
  <w:style w:type="paragraph" w:customStyle="1" w:styleId="62">
    <w:name w:val="LD"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3">
    <w:name w:val="NW"/>
    <w:basedOn w:val="59"/>
    <w:uiPriority w:val="0"/>
    <w:pPr>
      <w:spacing w:after="0"/>
    </w:pPr>
  </w:style>
  <w:style w:type="paragraph" w:customStyle="1" w:styleId="64">
    <w:name w:val="EW"/>
    <w:basedOn w:val="60"/>
    <w:uiPriority w:val="0"/>
    <w:pPr>
      <w:spacing w:after="0"/>
    </w:pPr>
  </w:style>
  <w:style w:type="paragraph" w:customStyle="1" w:styleId="65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66">
    <w:name w:val="NF"/>
    <w:basedOn w:val="59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8">
    <w:name w:val="TAR"/>
    <w:basedOn w:val="56"/>
    <w:uiPriority w:val="0"/>
    <w:pPr>
      <w:jc w:val="right"/>
    </w:pPr>
  </w:style>
  <w:style w:type="paragraph" w:customStyle="1" w:styleId="69">
    <w:name w:val="TAN"/>
    <w:basedOn w:val="56"/>
    <w:uiPriority w:val="0"/>
    <w:pPr>
      <w:ind w:left="851" w:hanging="851"/>
    </w:pPr>
  </w:style>
  <w:style w:type="paragraph" w:customStyle="1" w:styleId="70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1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2">
    <w:name w:val="ZD"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3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ZV"/>
    <w:basedOn w:val="73"/>
    <w:uiPriority w:val="0"/>
    <w:pPr>
      <w:framePr w:y="16161"/>
    </w:pPr>
  </w:style>
  <w:style w:type="character" w:customStyle="1" w:styleId="75">
    <w:name w:val="ZGSM"/>
    <w:uiPriority w:val="0"/>
  </w:style>
  <w:style w:type="paragraph" w:customStyle="1" w:styleId="76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7">
    <w:name w:val="Editor's Note"/>
    <w:basedOn w:val="59"/>
    <w:uiPriority w:val="0"/>
    <w:rPr>
      <w:color w:val="FF0000"/>
    </w:rPr>
  </w:style>
  <w:style w:type="paragraph" w:customStyle="1" w:styleId="78">
    <w:name w:val="B1"/>
    <w:basedOn w:val="14"/>
    <w:link w:val="89"/>
    <w:qFormat/>
    <w:uiPriority w:val="0"/>
  </w:style>
  <w:style w:type="paragraph" w:customStyle="1" w:styleId="79">
    <w:name w:val="B2"/>
    <w:basedOn w:val="13"/>
    <w:link w:val="90"/>
    <w:uiPriority w:val="0"/>
  </w:style>
  <w:style w:type="paragraph" w:customStyle="1" w:styleId="80">
    <w:name w:val="B3"/>
    <w:basedOn w:val="12"/>
    <w:uiPriority w:val="0"/>
  </w:style>
  <w:style w:type="paragraph" w:customStyle="1" w:styleId="81">
    <w:name w:val="B4"/>
    <w:basedOn w:val="37"/>
    <w:uiPriority w:val="0"/>
  </w:style>
  <w:style w:type="paragraph" w:customStyle="1" w:styleId="82">
    <w:name w:val="B5"/>
    <w:basedOn w:val="36"/>
    <w:uiPriority w:val="0"/>
  </w:style>
  <w:style w:type="paragraph" w:customStyle="1" w:styleId="83">
    <w:name w:val="ZTD"/>
    <w:basedOn w:val="71"/>
    <w:uiPriority w:val="0"/>
    <w:pPr>
      <w:framePr w:hRule="auto" w:y="852"/>
    </w:pPr>
    <w:rPr>
      <w:i w:val="0"/>
      <w:sz w:val="40"/>
    </w:rPr>
  </w:style>
  <w:style w:type="paragraph" w:customStyle="1" w:styleId="84">
    <w:name w:val="CR Cover Page"/>
    <w:link w:val="86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5">
    <w:name w:val="tdoc-header"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6">
    <w:name w:val="CR Cover Page Char"/>
    <w:link w:val="84"/>
    <w:qFormat/>
    <w:locked/>
    <w:uiPriority w:val="0"/>
    <w:rPr>
      <w:rFonts w:ascii="Arial" w:hAnsi="Arial"/>
      <w:lang w:val="en-GB" w:eastAsia="en-US"/>
    </w:rPr>
  </w:style>
  <w:style w:type="character" w:customStyle="1" w:styleId="87">
    <w:name w:val="Title Char"/>
    <w:link w:val="41"/>
    <w:uiPriority w:val="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88">
    <w:name w:val="List Paragraph"/>
    <w:basedOn w:val="1"/>
    <w:qFormat/>
    <w:uiPriority w:val="34"/>
    <w:pPr>
      <w:ind w:left="720"/>
      <w:contextualSpacing/>
    </w:pPr>
  </w:style>
  <w:style w:type="character" w:customStyle="1" w:styleId="89">
    <w:name w:val="B1 Char"/>
    <w:link w:val="78"/>
    <w:qFormat/>
    <w:locked/>
    <w:uiPriority w:val="0"/>
    <w:rPr>
      <w:rFonts w:ascii="Times New Roman" w:hAnsi="Times New Roman"/>
      <w:lang w:eastAsia="en-US"/>
    </w:rPr>
  </w:style>
  <w:style w:type="character" w:customStyle="1" w:styleId="90">
    <w:name w:val="B2 Char"/>
    <w:link w:val="79"/>
    <w:qFormat/>
    <w:uiPriority w:val="0"/>
    <w:rPr>
      <w:rFonts w:ascii="Times New Roman" w:hAnsi="Times New Roman"/>
      <w:lang w:eastAsia="en-US"/>
    </w:rPr>
  </w:style>
  <w:style w:type="character" w:customStyle="1" w:styleId="91">
    <w:name w:val="Heading 2 Char"/>
    <w:basedOn w:val="44"/>
    <w:link w:val="3"/>
    <w:uiPriority w:val="0"/>
    <w:rPr>
      <w:rFonts w:ascii="Arial" w:hAnsi="Arial"/>
      <w:sz w:val="32"/>
      <w:lang w:eastAsia="en-US"/>
    </w:rPr>
  </w:style>
  <w:style w:type="paragraph" w:customStyle="1" w:styleId="92">
    <w:name w:val="x_x_xxxxxxxxxxxxxmsonormal"/>
    <w:basedOn w:val="1"/>
    <w:uiPriority w:val="0"/>
    <w:pPr>
      <w:spacing w:after="0"/>
    </w:pPr>
    <w:rPr>
      <w:rFonts w:ascii="Calibri" w:hAnsi="Calibri" w:cs="Calibri" w:eastAsiaTheme="minorHAnsi"/>
      <w:sz w:val="22"/>
      <w:szCs w:val="22"/>
      <w:lang w:val="en-US"/>
    </w:rPr>
  </w:style>
  <w:style w:type="character" w:customStyle="1" w:styleId="93">
    <w:name w:val="B1 Char1"/>
    <w:qFormat/>
    <w:uiPriority w:val="0"/>
    <w:rPr>
      <w:rFonts w:eastAsia="Times New Roman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6C97581-AB51-46E9-9D1C-8B3A3895F39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5</Pages>
  <Words>804</Words>
  <Characters>4589</Characters>
  <Lines>38</Lines>
  <Paragraphs>10</Paragraphs>
  <TotalTime>0</TotalTime>
  <ScaleCrop>false</ScaleCrop>
  <LinksUpToDate>false</LinksUpToDate>
  <CharactersWithSpaces>5383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2021-06-29T12:40:00Z</dcterms:created>
  <dc:creator>Michael Sanders, John M Meredith</dc:creator>
  <cp:lastModifiedBy>wangy</cp:lastModifiedBy>
  <cp:lastPrinted>1899-12-31T00:00:00Z</cp:lastPrinted>
  <dcterms:modified xsi:type="dcterms:W3CDTF">2021-10-14T01:38:26Z</dcterms:modified>
  <dc:title>MTG_TITLE</dc:title>
  <cp:revision>52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2052-11.1.0.10938</vt:lpwstr>
  </property>
  <property fmtid="{D5CDD505-2E9C-101B-9397-08002B2CF9AE}" pid="22" name="ICV">
    <vt:lpwstr>8932506D666B49E88AFD63546594B358</vt:lpwstr>
  </property>
</Properties>
</file>