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9</w:t>
            </w:r>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4</w:t>
            </w:r>
            <w:r>
              <w:rPr>
                <w:sz w:val="32"/>
                <w:lang w:val="sv-SE"/>
              </w:rPr>
              <w:t>-</w:t>
            </w:r>
            <w:bookmarkEnd w:id="3"/>
            <w:r>
              <w:rPr>
                <w:rFonts w:hint="eastAsia" w:eastAsia="宋体"/>
                <w:sz w:val="32"/>
                <w:lang w:val="en-US" w:eastAsia="zh-CN"/>
              </w:rPr>
              <w:t>6</w:t>
            </w:r>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r>
        <w:fldChar w:fldCharType="end"/>
      </w:r>
    </w:p>
    <w:p>
      <w:pPr>
        <w:pStyle w:val="66"/>
        <w:rPr>
          <w:color w:val="auto"/>
        </w:rPr>
      </w:pPr>
      <w:r>
        <w:rPr>
          <w:color w:val="auto"/>
        </w:rPr>
        <w:br w:type="page"/>
      </w:r>
    </w:p>
    <w:p>
      <w:pPr>
        <w:pStyle w:val="2"/>
      </w:pPr>
      <w:bookmarkStart w:id="14" w:name="foreword"/>
      <w:bookmarkEnd w:id="14"/>
      <w:bookmarkStart w:id="15" w:name="_Toc25283"/>
      <w:bookmarkStart w:id="16" w:name="_Toc130372985"/>
      <w:bookmarkStart w:id="17" w:name="_Toc17388"/>
      <w:bookmarkStart w:id="18" w:name="_Toc95140694"/>
      <w:bookmarkStart w:id="19" w:name="_Toc3007"/>
      <w:bookmarkStart w:id="20" w:name="_Toc2144"/>
      <w:r>
        <w:t>Foreword</w:t>
      </w:r>
      <w:bookmarkEnd w:id="15"/>
      <w:bookmarkEnd w:id="16"/>
      <w:bookmarkEnd w:id="17"/>
      <w:bookmarkEnd w:id="18"/>
      <w:bookmarkEnd w:id="19"/>
      <w:bookmarkEnd w:id="20"/>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1" w:name="introduction"/>
      <w:bookmarkEnd w:id="21"/>
      <w:r>
        <w:br w:type="page"/>
      </w:r>
      <w:bookmarkStart w:id="22" w:name="scope"/>
      <w:bookmarkEnd w:id="22"/>
      <w:bookmarkStart w:id="23" w:name="_Toc3078"/>
      <w:bookmarkStart w:id="24" w:name="_Toc95140695"/>
      <w:bookmarkStart w:id="25" w:name="_Toc13382"/>
      <w:bookmarkStart w:id="26" w:name="_Toc28032"/>
      <w:bookmarkStart w:id="27" w:name="_Toc4880"/>
      <w:bookmarkStart w:id="28" w:name="_Toc130372986"/>
      <w:bookmarkStart w:id="29" w:name="_Toc2086434"/>
      <w:r>
        <w:t>Introduction</w:t>
      </w:r>
      <w:bookmarkEnd w:id="23"/>
      <w:bookmarkEnd w:id="24"/>
      <w:bookmarkEnd w:id="25"/>
      <w:bookmarkEnd w:id="26"/>
      <w:bookmarkEnd w:id="27"/>
      <w:bookmarkEnd w:id="28"/>
      <w:bookmarkEnd w:id="29"/>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or Interested Deployer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30" w:name="_Toc16510"/>
      <w:bookmarkStart w:id="31" w:name="_Toc10628"/>
      <w:bookmarkStart w:id="32" w:name="_Toc130372987"/>
      <w:bookmarkStart w:id="33" w:name="_Toc29790"/>
      <w:bookmarkStart w:id="34" w:name="_Toc23028"/>
      <w:bookmarkStart w:id="35" w:name="_Toc95140696"/>
      <w:r>
        <w:t>1</w:t>
      </w:r>
      <w:r>
        <w:tab/>
      </w:r>
      <w:r>
        <w:t>Scope</w:t>
      </w:r>
      <w:bookmarkEnd w:id="30"/>
      <w:bookmarkEnd w:id="31"/>
      <w:bookmarkEnd w:id="32"/>
      <w:bookmarkEnd w:id="33"/>
      <w:bookmarkEnd w:id="34"/>
      <w:bookmarkEnd w:id="35"/>
    </w:p>
    <w:p>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Further RF requirements enhancement for NR and EN-DC in frequency range 1</w:t>
            </w:r>
          </w:p>
          <w:p>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Simultaneous Rx/Tx band combinations for NR CA/DC, NR SUL and LTE/NR DC in Rel-18</w:t>
            </w:r>
          </w:p>
          <w:p>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4"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bl>
    <w:p/>
    <w:p>
      <w:pPr>
        <w:pStyle w:val="2"/>
      </w:pPr>
      <w:bookmarkStart w:id="39" w:name="_Toc130372988"/>
      <w:bookmarkStart w:id="40" w:name="_Toc6196"/>
      <w:bookmarkStart w:id="41" w:name="_Toc95140697"/>
      <w:bookmarkStart w:id="42" w:name="_Toc22008"/>
      <w:bookmarkStart w:id="43" w:name="_Toc8822"/>
      <w:bookmarkStart w:id="44" w:name="_Toc676"/>
      <w:r>
        <w:t>2</w:t>
      </w:r>
      <w:r>
        <w:tab/>
      </w:r>
      <w:r>
        <w:t>References</w:t>
      </w:r>
      <w:bookmarkEnd w:id="39"/>
      <w:bookmarkEnd w:id="40"/>
      <w:bookmarkEnd w:id="41"/>
      <w:bookmarkEnd w:id="42"/>
      <w:bookmarkEnd w:id="43"/>
      <w:bookmarkEnd w:id="44"/>
    </w:p>
    <w:p>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pPr>
      <w:r>
        <w:t>[17]</w:t>
      </w:r>
      <w:r>
        <w:tab/>
      </w:r>
      <w:r>
        <w:t>3GPP TS 38.508-2: "5GS; User Equipment (UE) conformance specification; Part 2: Common Implementation Conformance Statement (ICS) proforma"</w:t>
      </w:r>
    </w:p>
    <w:p>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pPr>
        <w:pStyle w:val="44"/>
        <w:rPr>
          <w:lang w:val="en-US"/>
        </w:rPr>
      </w:pPr>
    </w:p>
    <w:p>
      <w:pPr>
        <w:pStyle w:val="2"/>
      </w:pPr>
      <w:bookmarkStart w:id="48" w:name="definitions"/>
      <w:bookmarkEnd w:id="48"/>
      <w:bookmarkStart w:id="49" w:name="_Toc95140698"/>
      <w:bookmarkStart w:id="50" w:name="_Toc10133"/>
      <w:bookmarkStart w:id="51" w:name="_Toc130372989"/>
      <w:bookmarkStart w:id="52" w:name="_Toc7992"/>
      <w:bookmarkStart w:id="53" w:name="_Toc10796"/>
      <w:bookmarkStart w:id="54" w:name="_Toc12974"/>
      <w:r>
        <w:t>3</w:t>
      </w:r>
      <w:r>
        <w:tab/>
      </w:r>
      <w:r>
        <w:t>Definitions of terms, symbols and abbreviations</w:t>
      </w:r>
      <w:bookmarkEnd w:id="49"/>
      <w:bookmarkEnd w:id="50"/>
      <w:bookmarkEnd w:id="51"/>
      <w:bookmarkEnd w:id="52"/>
      <w:bookmarkEnd w:id="53"/>
      <w:bookmarkEnd w:id="54"/>
    </w:p>
    <w:p>
      <w:pPr>
        <w:pStyle w:val="3"/>
        <w:rPr>
          <w:bCs/>
        </w:rPr>
      </w:pPr>
      <w:bookmarkStart w:id="55" w:name="_Toc32643"/>
      <w:bookmarkStart w:id="56" w:name="_Toc17040"/>
      <w:bookmarkStart w:id="57" w:name="_Toc130372990"/>
      <w:bookmarkStart w:id="58" w:name="_Toc95140699"/>
      <w:bookmarkStart w:id="59" w:name="_Toc860"/>
      <w:bookmarkStart w:id="60" w:name="_Toc6577"/>
      <w:r>
        <w:t>3.1</w:t>
      </w:r>
      <w:r>
        <w:tab/>
      </w:r>
      <w:r>
        <w:t>Terms</w:t>
      </w:r>
      <w:bookmarkEnd w:id="55"/>
      <w:bookmarkEnd w:id="56"/>
      <w:bookmarkEnd w:id="57"/>
      <w:bookmarkEnd w:id="58"/>
      <w:bookmarkEnd w:id="59"/>
      <w:bookmarkEnd w:id="60"/>
    </w:p>
    <w:p>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pPr>
        <w:rPr>
          <w:bCs/>
        </w:rPr>
      </w:pPr>
    </w:p>
    <w:p>
      <w:pPr>
        <w:pStyle w:val="3"/>
      </w:pPr>
      <w:bookmarkStart w:id="62" w:name="_Toc3760"/>
      <w:bookmarkStart w:id="63" w:name="_Toc25137"/>
      <w:bookmarkStart w:id="64" w:name="_Toc28647"/>
      <w:bookmarkStart w:id="65" w:name="_Toc130372991"/>
      <w:bookmarkStart w:id="66" w:name="_Toc95140700"/>
      <w:bookmarkStart w:id="67" w:name="_Toc5466"/>
      <w:r>
        <w:t>3.2</w:t>
      </w:r>
      <w:r>
        <w:tab/>
      </w:r>
      <w:r>
        <w:t>Symbols</w:t>
      </w:r>
      <w:bookmarkEnd w:id="62"/>
      <w:bookmarkEnd w:id="63"/>
      <w:bookmarkEnd w:id="64"/>
      <w:bookmarkEnd w:id="65"/>
      <w:bookmarkEnd w:id="66"/>
      <w:bookmarkEnd w:id="67"/>
    </w:p>
    <w:p>
      <w:pPr>
        <w:keepNext/>
      </w:pPr>
      <w:r>
        <w:t>None</w:t>
      </w:r>
    </w:p>
    <w:p>
      <w:pPr>
        <w:pStyle w:val="3"/>
      </w:pPr>
      <w:bookmarkStart w:id="68" w:name="_Toc95140701"/>
      <w:bookmarkStart w:id="69" w:name="_Toc32642"/>
      <w:bookmarkStart w:id="70" w:name="_Toc25711"/>
      <w:bookmarkStart w:id="71" w:name="_Toc130372992"/>
      <w:bookmarkStart w:id="72" w:name="_Toc5335"/>
      <w:bookmarkStart w:id="73" w:name="_Toc11846"/>
      <w:r>
        <w:t>3.3</w:t>
      </w:r>
      <w:r>
        <w:tab/>
      </w:r>
      <w:r>
        <w:t>Abbreviations</w:t>
      </w:r>
      <w:bookmarkEnd w:id="68"/>
      <w:bookmarkEnd w:id="69"/>
      <w:bookmarkEnd w:id="70"/>
      <w:bookmarkEnd w:id="71"/>
      <w:bookmarkEnd w:id="72"/>
      <w:bookmarkEnd w:id="73"/>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74" w:name="_Toc13521"/>
      <w:bookmarkStart w:id="75" w:name="_Toc26559"/>
      <w:bookmarkStart w:id="76" w:name="_Toc16405"/>
      <w:bookmarkStart w:id="77" w:name="_Toc130372993"/>
      <w:bookmarkStart w:id="78" w:name="_Toc95140702"/>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pPr>
        <w:pStyle w:val="3"/>
        <w:rPr>
          <w:lang w:val="en-US"/>
        </w:rPr>
      </w:pPr>
      <w:bookmarkStart w:id="79" w:name="_Toc925"/>
      <w:bookmarkStart w:id="80" w:name="_Toc16532"/>
      <w:bookmarkStart w:id="81" w:name="_Toc130372994"/>
      <w:bookmarkStart w:id="82" w:name="_Toc95140703"/>
      <w:bookmarkStart w:id="83" w:name="_Toc32012"/>
      <w:r>
        <w:rPr>
          <w:lang w:val="en-US"/>
        </w:rPr>
        <w:t>4.1</w:t>
      </w:r>
      <w:r>
        <w:rPr>
          <w:lang w:val="en-US"/>
        </w:rPr>
        <w:tab/>
      </w:r>
      <w:r>
        <w:rPr>
          <w:lang w:val="en-US"/>
        </w:rPr>
        <w:t>Guidelines to handle the 5G NR configuration specific WIs</w:t>
      </w:r>
      <w:bookmarkEnd w:id="79"/>
      <w:bookmarkEnd w:id="80"/>
      <w:bookmarkEnd w:id="81"/>
      <w:bookmarkEnd w:id="82"/>
      <w:bookmarkEnd w:id="83"/>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pPr>
        <w:pStyle w:val="48"/>
        <w:numPr>
          <w:ilvl w:val="0"/>
          <w:numId w:val="1"/>
        </w:numPr>
        <w:rPr>
          <w:lang w:val="en-US"/>
        </w:rPr>
      </w:pPr>
      <w:r>
        <w:t>No contributions shall be submitted for configurations tagged as "Pending" in the draft PRD21 5G NR CADC configuration list</w:t>
      </w:r>
      <w:r>
        <w:rPr>
          <w:lang w:val="en-US"/>
        </w:rPr>
        <w:t>.</w:t>
      </w:r>
    </w:p>
    <w:p>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4" w:name="OLE_LINK1"/>
      <w:r>
        <w:rPr>
          <w:lang w:val="en-US"/>
        </w:rPr>
        <w:t>TEIx</w:t>
      </w:r>
      <w:bookmarkEnd w:id="84"/>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5" w:name="OLE_LINK8"/>
      <w:r>
        <w:rPr>
          <w:rFonts w:hint="eastAsia" w:eastAsia="宋体"/>
          <w:lang w:val="en-US" w:eastAsia="zh-CN"/>
        </w:rPr>
        <w:t>corresponding</w:t>
      </w:r>
      <w:bookmarkEnd w:id="85"/>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6" w:name="OLE_LINK7"/>
      <w:r>
        <w:rPr>
          <w:lang w:val="en-US"/>
        </w:rPr>
        <w:t>Tx/Rx</w:t>
      </w:r>
      <w:bookmarkEnd w:id="86"/>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7" w:name="OLE_LINK6"/>
      <w:r>
        <w:rPr>
          <w:lang w:val="en-US"/>
        </w:rPr>
        <w:t>NR CA</w:t>
      </w:r>
      <w:bookmarkEnd w:id="87"/>
      <w:r>
        <w:rPr>
          <w:lang w:val="en-US"/>
        </w:rPr>
        <w:t xml:space="preserve">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88" w:name="_Toc130372995"/>
      <w:bookmarkStart w:id="89" w:name="_Toc31768"/>
      <w:bookmarkStart w:id="90" w:name="_Toc25113"/>
      <w:bookmarkStart w:id="91" w:name="_Toc15705"/>
      <w:bookmarkStart w:id="92" w:name="_Toc95140704"/>
      <w:r>
        <w:rPr>
          <w:lang w:val="en-US"/>
        </w:rPr>
        <w:t>4.2</w:t>
      </w:r>
      <w:r>
        <w:tab/>
      </w:r>
      <w:r>
        <w:rPr>
          <w:lang w:val="en-US"/>
        </w:rPr>
        <w:t>Guidelines to handle the New NR bands and extension of existing NR bands WIs impacting</w:t>
      </w:r>
      <w:r>
        <w:t xml:space="preserve"> 5G NR CADC configurations</w:t>
      </w:r>
      <w:bookmarkEnd w:id="88"/>
      <w:bookmarkEnd w:id="89"/>
      <w:bookmarkEnd w:id="90"/>
      <w:bookmarkEnd w:id="91"/>
      <w:bookmarkEnd w:id="92"/>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bookmarkStart w:id="93" w:name="OLE_LINK2"/>
            <w:r>
              <w:rPr>
                <w:rFonts w:ascii="Calibri" w:hAnsi="Calibri" w:cs="Calibri"/>
                <w:color w:val="000000"/>
                <w:sz w:val="16"/>
                <w:szCs w:val="16"/>
                <w:lang w:eastAsia="en-GB"/>
              </w:rPr>
              <w:t>NR_bands_BW_R16-UEConTest</w:t>
            </w:r>
            <w:bookmarkEnd w:id="9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bookmarkStart w:id="94" w:name="OLE_LINK3"/>
            <w:r>
              <w:rPr>
                <w:rFonts w:ascii="Calibri" w:hAnsi="Calibri" w:cs="Calibri"/>
                <w:color w:val="000000"/>
                <w:sz w:val="16"/>
                <w:szCs w:val="16"/>
                <w:lang w:eastAsia="en-GB"/>
              </w:rPr>
              <w:t>900055</w:t>
            </w:r>
            <w:bookmarkEnd w:id="94"/>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pPr>
        <w:rPr>
          <w:lang w:val="en-US"/>
        </w:rPr>
      </w:pPr>
      <w:r>
        <w:rPr>
          <w:lang w:val="en-US"/>
        </w:rPr>
        <w:t>For the newly introduced CBW extension of the "Completed" or “Ongoing” NR bands, its status shall be set as “Ongoing (CBW)” in the PRD21 5G NR CADC list even if without “Interested Operator”.</w:t>
      </w:r>
    </w:p>
    <w:p>
      <w:pPr>
        <w:pStyle w:val="3"/>
        <w:rPr>
          <w:rFonts w:hint="default" w:eastAsia="宋体"/>
          <w:lang w:val="en-US" w:eastAsia="zh-CN"/>
        </w:rPr>
      </w:pPr>
      <w:bookmarkStart w:id="95" w:name="_Toc32107"/>
      <w:bookmarkStart w:id="96" w:name="_Toc20379"/>
      <w:bookmarkStart w:id="97" w:name="_Toc1838"/>
      <w:bookmarkStart w:id="98" w:name="_Toc95140705"/>
      <w:bookmarkStart w:id="99" w:name="_Toc130372996"/>
      <w:r>
        <w:rPr>
          <w:lang w:val="en-US"/>
        </w:rPr>
        <w:t>4.3</w:t>
      </w:r>
      <w:r>
        <w:tab/>
      </w:r>
      <w:r>
        <w:rPr>
          <w:lang w:val="en-US"/>
        </w:rPr>
        <w:t>Guidelines to handle the 5G NR feature specific WI</w:t>
      </w:r>
      <w:r>
        <w:t>s impacting 5G NR configurations</w:t>
      </w:r>
      <w:bookmarkEnd w:id="95"/>
      <w:bookmarkEnd w:id="96"/>
      <w:bookmarkEnd w:id="97"/>
      <w:bookmarkEnd w:id="98"/>
      <w:bookmarkEnd w:id="99"/>
      <w:r>
        <w:rPr>
          <w:rFonts w:hint="eastAsia" w:eastAsia="宋体"/>
          <w:lang w:val="en-US" w:eastAsia="zh-CN"/>
        </w:rPr>
        <w:t xml:space="preserve"> or bands</w:t>
      </w:r>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Further RF requirements enhancement for NR and EN-DC in frequency range 1</w:t>
            </w:r>
          </w:p>
          <w:p>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Simultaneous Rx/Tx band combinations for NR CA/DC, NR SUL and LTE/NR DC in Rel-18</w:t>
            </w:r>
          </w:p>
          <w:p>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NR support for dedicated spectrum less than 5MHz for FR1 </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NR MIMO evolution for downlink and uplink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NR RF requirements enhancement for frequency range 2 (FR2), Phase 3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Further NR coverage enhancements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bookmarkStart w:id="281" w:name="_GoBack"/>
            <w:bookmarkEnd w:id="281"/>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Multi-carrier enhancements for NR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XR (eXtended Reality) enhancements for NR plus CT1 aspects</w:t>
            </w:r>
          </w:p>
        </w:tc>
        <w:tc>
          <w:tcPr>
            <w:tcW w:w="1063"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100" w:name="_Toc95140706"/>
      <w:bookmarkStart w:id="101" w:name="_Toc24305"/>
      <w:bookmarkStart w:id="102" w:name="_Toc8100"/>
      <w:bookmarkStart w:id="103" w:name="_Toc130372997"/>
      <w:bookmarkStart w:id="104" w:name="_Toc30083"/>
      <w:r>
        <w:rPr>
          <w:lang w:val="en-US"/>
        </w:rPr>
        <w:t>4.4</w:t>
      </w:r>
      <w:r>
        <w:tab/>
      </w:r>
      <w:r>
        <w:rPr>
          <w:lang w:val="en-US"/>
        </w:rPr>
        <w:t>Guidelines to handle the 5G NR High Power WI</w:t>
      </w:r>
      <w:r>
        <w:t>s impacting 5G NR bands or CADC configurations</w:t>
      </w:r>
      <w:bookmarkEnd w:id="100"/>
      <w:bookmarkEnd w:id="101"/>
      <w:bookmarkEnd w:id="102"/>
      <w:bookmarkEnd w:id="103"/>
      <w:bookmarkEnd w:id="104"/>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105" w:name="_Toc95140707"/>
      <w:bookmarkStart w:id="106" w:name="_Toc2960"/>
      <w:bookmarkStart w:id="107" w:name="_Toc4605"/>
      <w:bookmarkStart w:id="108" w:name="_Toc30597"/>
      <w:bookmarkStart w:id="109" w:name="_Toc130372998"/>
      <w:r>
        <w:rPr>
          <w:lang w:val="en-US"/>
        </w:rPr>
        <w:t>4.5</w:t>
      </w:r>
      <w:r>
        <w:tab/>
      </w:r>
      <w:r>
        <w:rPr>
          <w:lang w:val="en-US"/>
        </w:rPr>
        <w:t>Guidelines to handle the 5G NR CADC fallback configurations without Interested Operator</w:t>
      </w:r>
      <w:bookmarkEnd w:id="105"/>
      <w:bookmarkEnd w:id="106"/>
      <w:bookmarkEnd w:id="107"/>
      <w:bookmarkEnd w:id="108"/>
      <w:r>
        <w:rPr>
          <w:lang w:val="en-US"/>
        </w:rPr>
        <w:t xml:space="preserve"> or Interested Deployer</w:t>
      </w:r>
      <w:bookmarkEnd w:id="109"/>
    </w:p>
    <w:p>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110" w:name="_Toc27999"/>
      <w:bookmarkStart w:id="111" w:name="_Toc679"/>
      <w:bookmarkStart w:id="112" w:name="_Toc130372999"/>
      <w:bookmarkStart w:id="113" w:name="_Toc95140708"/>
      <w:bookmarkStart w:id="114" w:name="_Toc25918"/>
      <w:bookmarkStart w:id="115" w:name="_Toc6123"/>
      <w:r>
        <w:t>5</w:t>
      </w:r>
      <w:r>
        <w:tab/>
      </w:r>
      <w:r>
        <w:rPr>
          <w:lang w:val="en-US"/>
        </w:rPr>
        <w:t>5G NR bands and CADC</w:t>
      </w:r>
      <w:r>
        <w:t xml:space="preserve"> </w:t>
      </w:r>
      <w:r>
        <w:rPr>
          <w:lang w:val="en-US"/>
        </w:rPr>
        <w:t xml:space="preserve">configurations </w:t>
      </w:r>
      <w:r>
        <w:t>list</w:t>
      </w:r>
      <w:bookmarkEnd w:id="110"/>
      <w:bookmarkEnd w:id="111"/>
      <w:bookmarkEnd w:id="112"/>
      <w:bookmarkEnd w:id="113"/>
      <w:bookmarkEnd w:id="114"/>
      <w:r>
        <w:t xml:space="preserve"> </w:t>
      </w:r>
    </w:p>
    <w:p>
      <w:pPr>
        <w:pStyle w:val="3"/>
      </w:pPr>
      <w:bookmarkStart w:id="116" w:name="_Toc12159"/>
      <w:bookmarkStart w:id="117" w:name="_Toc95140709"/>
      <w:bookmarkStart w:id="118" w:name="_Toc3235"/>
      <w:bookmarkStart w:id="119" w:name="_Toc16385"/>
      <w:bookmarkStart w:id="120" w:name="_Toc130373000"/>
      <w:r>
        <w:t>5.1</w:t>
      </w:r>
      <w:r>
        <w:tab/>
      </w:r>
      <w:r>
        <w:t>General</w:t>
      </w:r>
      <w:bookmarkEnd w:id="116"/>
      <w:bookmarkEnd w:id="117"/>
      <w:bookmarkEnd w:id="118"/>
      <w:bookmarkEnd w:id="119"/>
      <w:bookmarkEnd w:id="120"/>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 xml:space="preserve">List of 5G NR CADC </w:t>
            </w:r>
            <w:r>
              <w:rPr>
                <w:lang w:val="en-US"/>
              </w:rPr>
              <w:t xml:space="preserve">specific </w:t>
            </w:r>
            <w:r>
              <w:t>configurations including NR CA, NR-DC, NR SUL, NE-DC, EN-DC configurations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bookmarkStart w:id="121" w:name="_Toc26247"/>
            <w:bookmarkStart w:id="122" w:name="_Toc95140710"/>
            <w:r>
              <w:rPr>
                <w:rFonts w:hint="eastAsia" w:eastAsiaTheme="minorEastAsia"/>
                <w:lang w:val="en-US" w:eastAsia="zh-CN"/>
              </w:rPr>
              <w:t>V</w:t>
            </w:r>
            <w:r>
              <w:rPr>
                <w:rFonts w:eastAsiaTheme="minorEastAsia"/>
                <w:lang w:val="en-US" w:eastAsia="zh-CN"/>
              </w:rPr>
              <w:t>2X bands</w:t>
            </w:r>
          </w:p>
        </w:tc>
        <w:tc>
          <w:tcPr>
            <w:tcW w:w="6942" w:type="dxa"/>
          </w:tcPr>
          <w:p>
            <w:pPr>
              <w:pStyle w:val="40"/>
            </w:pPr>
            <w:r>
              <w:t>List of NR V2X bands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pPr>
              <w:pStyle w:val="40"/>
            </w:pPr>
            <w:r>
              <w:rPr>
                <w:rFonts w:hint="eastAsia" w:eastAsiaTheme="minorEastAsia"/>
                <w:lang w:eastAsia="zh-CN"/>
              </w:rPr>
              <w:t>L</w:t>
            </w:r>
            <w:r>
              <w:rPr>
                <w:rFonts w:eastAsiaTheme="minorEastAsia"/>
                <w:lang w:eastAsia="zh-CN"/>
              </w:rPr>
              <w:t>ist of NR V2X configurations and their status in RAN5.</w:t>
            </w:r>
          </w:p>
        </w:tc>
      </w:tr>
    </w:tbl>
    <w:p/>
    <w:p>
      <w:pPr>
        <w:pStyle w:val="3"/>
      </w:pPr>
      <w:bookmarkStart w:id="123" w:name="_Toc130373001"/>
      <w:bookmarkStart w:id="124" w:name="_Toc5829"/>
      <w:bookmarkStart w:id="125" w:name="_Toc8552"/>
      <w:r>
        <w:t>5.2</w:t>
      </w:r>
      <w:r>
        <w:tab/>
      </w:r>
      <w:r>
        <w:t>Introduction worksheet</w:t>
      </w:r>
      <w:bookmarkEnd w:id="121"/>
      <w:bookmarkEnd w:id="122"/>
      <w:bookmarkEnd w:id="123"/>
      <w:bookmarkEnd w:id="124"/>
      <w:bookmarkEnd w:id="125"/>
      <w:r>
        <w:t xml:space="preserve"> </w:t>
      </w:r>
    </w:p>
    <w:p>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jc w:val="both"/>
      </w:pPr>
    </w:p>
    <w:p>
      <w:pPr>
        <w:pStyle w:val="3"/>
      </w:pPr>
      <w:bookmarkStart w:id="126" w:name="_Toc17387"/>
      <w:bookmarkStart w:id="127" w:name="_Toc14057"/>
      <w:bookmarkStart w:id="128" w:name="_Toc95140711"/>
      <w:bookmarkStart w:id="129" w:name="_Toc19955"/>
      <w:bookmarkStart w:id="130" w:name="_Toc130373002"/>
      <w:r>
        <w:t>5.3</w:t>
      </w:r>
      <w:r>
        <w:tab/>
      </w:r>
      <w:r>
        <w:t>NR bands worksheet</w:t>
      </w:r>
      <w:bookmarkEnd w:id="126"/>
      <w:bookmarkEnd w:id="127"/>
      <w:bookmarkEnd w:id="128"/>
      <w:bookmarkEnd w:id="129"/>
      <w:bookmarkEnd w:id="130"/>
    </w:p>
    <w:p>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31" w:name="_Toc130373003"/>
      <w:bookmarkStart w:id="132" w:name="_Toc16278"/>
      <w:bookmarkStart w:id="133" w:name="_Toc13005"/>
      <w:bookmarkStart w:id="134" w:name="_Toc23783"/>
      <w:bookmarkStart w:id="135" w:name="_Toc95140712"/>
      <w:r>
        <w:t>5.3.1</w:t>
      </w:r>
      <w:r>
        <w:tab/>
      </w:r>
      <w:r>
        <w:t>Overview</w:t>
      </w:r>
      <w:bookmarkEnd w:id="131"/>
      <w:bookmarkEnd w:id="132"/>
      <w:bookmarkEnd w:id="133"/>
      <w:bookmarkEnd w:id="134"/>
      <w:bookmarkEnd w:id="135"/>
    </w:p>
    <w:p>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p>
            <w:pPr>
              <w:pStyle w:val="40"/>
            </w:pPr>
            <w:r>
              <w:t>For power classes beyond PC3 a power class suffix is used. E.g. for the NR band n1 the NR band column will show "n1" for PC3 and "n1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p>
            <w:pPr>
              <w:pStyle w:val="40"/>
            </w:pPr>
            <w:r>
              <w:t xml:space="preserve">CBW details is only shown for PC3.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band/CBW extension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band/CBW extension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Interested deployer</w:t>
            </w:r>
          </w:p>
        </w:tc>
        <w:tc>
          <w:tcPr>
            <w:tcW w:w="5667" w:type="dxa"/>
          </w:tcPr>
          <w:p>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band/CBW extension for PC3 was assigned to interested operator or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36" w:name="_Toc20892"/>
      <w:bookmarkStart w:id="137" w:name="_Toc95140713"/>
      <w:bookmarkStart w:id="138" w:name="_Toc19101"/>
      <w:bookmarkStart w:id="139" w:name="_Toc9000"/>
      <w:bookmarkStart w:id="140" w:name="_Toc130373004"/>
      <w:r>
        <w:t>5.3.2</w:t>
      </w:r>
      <w:r>
        <w:tab/>
      </w:r>
      <w:r>
        <w:t>Requesting assignment of NR bands and NR band CBW extensions</w:t>
      </w:r>
      <w:bookmarkEnd w:id="136"/>
      <w:bookmarkEnd w:id="137"/>
      <w:bookmarkEnd w:id="138"/>
      <w:bookmarkEnd w:id="139"/>
      <w:bookmarkEnd w:id="140"/>
    </w:p>
    <w:p>
      <w:pPr>
        <w:pStyle w:val="48"/>
        <w:ind w:left="0" w:firstLine="0"/>
      </w:pPr>
      <w:r>
        <w:t>See picture 5.3-2 showing location of the different buttons referenced in the text below.</w:t>
      </w:r>
    </w:p>
    <w:p>
      <w:pPr>
        <w:pStyle w:val="48"/>
        <w:ind w:left="0" w:firstLine="0"/>
      </w:pPr>
      <w:r>
        <w:t>To submit an assignment request for "Interested Operator" or "Interested Deployer",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1" w:name="_Hlk102982976"/>
      <w:bookmarkStart w:id="142"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1"/>
    </w:p>
    <w:bookmarkEnd w:id="142"/>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p>
      <w:pPr>
        <w:pStyle w:val="3"/>
      </w:pPr>
      <w:bookmarkStart w:id="143" w:name="_Toc22887"/>
      <w:bookmarkStart w:id="144" w:name="_Toc95140714"/>
      <w:bookmarkStart w:id="145" w:name="_Toc130373005"/>
      <w:bookmarkStart w:id="146" w:name="_Toc12514"/>
      <w:bookmarkStart w:id="147" w:name="_Toc25724"/>
      <w:r>
        <w:t>5.4</w:t>
      </w:r>
      <w:r>
        <w:tab/>
      </w:r>
      <w:r>
        <w:rPr>
          <w:lang w:val="en-US"/>
        </w:rPr>
        <w:t>5G NR</w:t>
      </w:r>
      <w:r>
        <w:t xml:space="preserve"> CA</w:t>
      </w:r>
      <w:r>
        <w:rPr>
          <w:lang w:val="en-US"/>
        </w:rPr>
        <w:t>DC</w:t>
      </w:r>
      <w:r>
        <w:t xml:space="preserve"> Configurations worksheet</w:t>
      </w:r>
      <w:bookmarkEnd w:id="143"/>
      <w:bookmarkEnd w:id="144"/>
      <w:bookmarkEnd w:id="145"/>
      <w:bookmarkEnd w:id="146"/>
      <w:bookmarkEnd w:id="147"/>
      <w:r>
        <w:t xml:space="preserve"> </w:t>
      </w:r>
    </w:p>
    <w:p>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48" w:name="_Toc18060"/>
      <w:bookmarkStart w:id="149" w:name="_Toc130373006"/>
      <w:bookmarkStart w:id="150" w:name="_Toc28250"/>
      <w:bookmarkStart w:id="151" w:name="_Toc19713"/>
      <w:bookmarkStart w:id="152" w:name="_Toc95140715"/>
      <w:r>
        <w:t>5.4.1</w:t>
      </w:r>
      <w:r>
        <w:tab/>
      </w:r>
      <w:r>
        <w:t>Overview</w:t>
      </w:r>
      <w:bookmarkEnd w:id="148"/>
      <w:bookmarkEnd w:id="149"/>
      <w:bookmarkEnd w:id="150"/>
      <w:bookmarkEnd w:id="151"/>
      <w:bookmarkEnd w:id="152"/>
    </w:p>
    <w:p>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p>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Status</w:t>
            </w:r>
          </w:p>
        </w:tc>
        <w:tc>
          <w:tcPr>
            <w:tcW w:w="5525" w:type="dxa"/>
          </w:tcPr>
          <w:p>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Applicable Power Class.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Interested deployer</w:t>
            </w:r>
          </w:p>
        </w:tc>
        <w:tc>
          <w:tcPr>
            <w:tcW w:w="5525" w:type="dxa"/>
          </w:tcPr>
          <w:p>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Indicates the RAN5 meeting the configuration was assigned to interested operator or deployer,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in Picture 5.4-1 shows controls for marking configurations to request assignments as "Interested Operator" and "Responsible Company". See clause 6.1 for more details.</w:t>
      </w:r>
    </w:p>
    <w:p>
      <w:pPr>
        <w:pStyle w:val="48"/>
        <w:ind w:left="0" w:firstLine="0"/>
      </w:pPr>
      <w:r>
        <w:t>Item 3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p>
    <w:p>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53" w:name="_Toc26637"/>
      <w:bookmarkStart w:id="154" w:name="_Toc14524"/>
      <w:bookmarkStart w:id="155" w:name="_Toc8929"/>
      <w:bookmarkStart w:id="156" w:name="_Toc95140716"/>
      <w:bookmarkStart w:id="157" w:name="_Toc130373007"/>
      <w:r>
        <w:t>5.4.2</w:t>
      </w:r>
      <w:r>
        <w:tab/>
      </w:r>
      <w:r>
        <w:t>Requesting assignment of 5G NR CADC configurations</w:t>
      </w:r>
      <w:bookmarkEnd w:id="153"/>
      <w:bookmarkEnd w:id="154"/>
      <w:bookmarkEnd w:id="155"/>
      <w:bookmarkEnd w:id="156"/>
      <w:bookmarkEnd w:id="157"/>
    </w:p>
    <w:p>
      <w:pPr>
        <w:pStyle w:val="48"/>
        <w:ind w:left="0" w:firstLine="0"/>
      </w:pPr>
      <w:r>
        <w:t>See picture 5.4.2-1 showing location of the different buttons referenced in the text below.</w:t>
      </w:r>
    </w:p>
    <w:p>
      <w:pPr>
        <w:pStyle w:val="48"/>
        <w:ind w:left="0" w:firstLine="0"/>
      </w:pPr>
      <w:r>
        <w:t>To submit an assignment request for "Interested Operator" or "Interested Deployer"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58"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8"/>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pPr>
        <w:pStyle w:val="41"/>
      </w:pPr>
      <w:r>
        <w:t>Picture 5.4.2-3: Example assignment request email.</w:t>
      </w:r>
    </w:p>
    <w:p>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p>
      <w:pPr>
        <w:pStyle w:val="3"/>
      </w:pPr>
      <w:bookmarkStart w:id="159" w:name="_Toc130373008"/>
      <w:bookmarkStart w:id="160" w:name="_Toc9530"/>
      <w:bookmarkStart w:id="161" w:name="_Toc5715"/>
      <w:r>
        <w:t>5.5</w:t>
      </w:r>
      <w:r>
        <w:tab/>
      </w:r>
      <w:r>
        <w:t>5G NR V2X bands worksheet</w:t>
      </w:r>
      <w:bookmarkEnd w:id="159"/>
      <w:bookmarkEnd w:id="160"/>
      <w:bookmarkEnd w:id="161"/>
    </w:p>
    <w:p>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pPr>
        <w:pStyle w:val="41"/>
        <w:jc w:val="left"/>
      </w:pPr>
    </w:p>
    <w:p>
      <w:pPr>
        <w:pStyle w:val="4"/>
      </w:pPr>
      <w:bookmarkStart w:id="162" w:name="_Toc32261"/>
      <w:bookmarkStart w:id="163" w:name="_Toc130373009"/>
      <w:bookmarkStart w:id="164" w:name="_Toc27928"/>
      <w:r>
        <w:t>5.5.1</w:t>
      </w:r>
      <w:r>
        <w:tab/>
      </w:r>
      <w:r>
        <w:t>Overview</w:t>
      </w:r>
      <w:bookmarkEnd w:id="162"/>
      <w:bookmarkEnd w:id="163"/>
      <w:bookmarkEnd w:id="164"/>
    </w:p>
    <w:p>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pPr>
              <w:pStyle w:val="42"/>
              <w:rPr>
                <w:lang w:val="en-US"/>
              </w:rPr>
            </w:pPr>
            <w:r>
              <w:rPr>
                <w:lang w:val="en-US"/>
              </w:rPr>
              <w:t>E</w:t>
            </w:r>
          </w:p>
        </w:tc>
        <w:tc>
          <w:tcPr>
            <w:tcW w:w="3402" w:type="dxa"/>
          </w:tcPr>
          <w:p>
            <w:pPr>
              <w:pStyle w:val="40"/>
              <w:rPr>
                <w:lang w:val="en-US"/>
              </w:rPr>
            </w:pPr>
            <w:r>
              <w:t>NR V2X band</w:t>
            </w:r>
          </w:p>
        </w:tc>
        <w:tc>
          <w:tcPr>
            <w:tcW w:w="5667" w:type="dxa"/>
          </w:tcPr>
          <w:p>
            <w:pPr>
              <w:pStyle w:val="40"/>
            </w:pPr>
            <w:r>
              <w:t>NR V2X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V2X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V2X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Indicate the interested deployer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V2X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V2X band. </w:t>
      </w:r>
    </w:p>
    <w:p>
      <w:pPr>
        <w:pStyle w:val="41"/>
      </w:pPr>
    </w:p>
    <w:p>
      <w:pPr>
        <w:pStyle w:val="48"/>
        <w:ind w:left="0" w:firstLine="0"/>
      </w:pPr>
    </w:p>
    <w:p>
      <w:pPr>
        <w:pStyle w:val="4"/>
      </w:pPr>
      <w:bookmarkStart w:id="165" w:name="_Toc130373010"/>
      <w:bookmarkStart w:id="166" w:name="_Toc10750"/>
      <w:bookmarkStart w:id="167" w:name="_Toc24957"/>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65"/>
      <w:bookmarkEnd w:id="166"/>
      <w:bookmarkEnd w:id="167"/>
    </w:p>
    <w:p>
      <w:pPr>
        <w:pStyle w:val="48"/>
        <w:ind w:left="0" w:firstLine="0"/>
      </w:pPr>
      <w:r>
        <w:t>Same as 5.3.2.</w:t>
      </w:r>
    </w:p>
    <w:p/>
    <w:p>
      <w:pPr>
        <w:pStyle w:val="3"/>
      </w:pPr>
      <w:bookmarkStart w:id="168" w:name="_Toc15800"/>
      <w:bookmarkStart w:id="169" w:name="_Toc130373011"/>
      <w:bookmarkStart w:id="170" w:name="_Toc21405"/>
      <w:r>
        <w:t>5.6</w:t>
      </w:r>
      <w:r>
        <w:tab/>
      </w:r>
      <w:r>
        <w:rPr>
          <w:lang w:val="en-US"/>
        </w:rPr>
        <w:t>5G NR</w:t>
      </w:r>
      <w:r>
        <w:t xml:space="preserve"> V2X Configurations worksheet</w:t>
      </w:r>
      <w:bookmarkEnd w:id="168"/>
      <w:bookmarkEnd w:id="169"/>
      <w:bookmarkEnd w:id="170"/>
      <w:r>
        <w:t xml:space="preserve"> </w:t>
      </w:r>
    </w:p>
    <w:p>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pPr>
        <w:pStyle w:val="41"/>
        <w:jc w:val="left"/>
      </w:pPr>
    </w:p>
    <w:p>
      <w:pPr>
        <w:pStyle w:val="4"/>
      </w:pPr>
      <w:bookmarkStart w:id="171" w:name="_Toc8980"/>
      <w:bookmarkStart w:id="172" w:name="_Toc19318"/>
      <w:bookmarkStart w:id="173" w:name="_Toc130373012"/>
      <w:r>
        <w:t>5.6.1</w:t>
      </w:r>
      <w:r>
        <w:tab/>
      </w:r>
      <w:r>
        <w:t>Overview</w:t>
      </w:r>
      <w:bookmarkEnd w:id="171"/>
      <w:bookmarkEnd w:id="172"/>
      <w:bookmarkEnd w:id="173"/>
    </w:p>
    <w:p>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V2X configurations. For power classes beyond PC3 a power class suffix is used to indicate the power class (e.g.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Working mode</w:t>
            </w:r>
          </w:p>
        </w:tc>
        <w:tc>
          <w:tcPr>
            <w:tcW w:w="5525" w:type="dxa"/>
          </w:tcPr>
          <w:p>
            <w:pPr>
              <w:pStyle w:val="40"/>
            </w:pPr>
            <w: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Indicate the power class of the UL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525" w:type="dxa"/>
          </w:tcPr>
          <w:p>
            <w:pPr>
              <w:pStyle w:val="40"/>
            </w:pPr>
            <w:r>
              <w:t xml:space="preserve">Indicate the Interested </w:t>
            </w:r>
            <w:r>
              <w:rPr>
                <w:lang w:val="en-US"/>
              </w:rPr>
              <w:t>D</w:t>
            </w:r>
            <w:r>
              <w:t>eployer(s)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 xml:space="preserve">Indicates the RAN5 meeting the configuration was assigned to Interested </w:t>
            </w:r>
            <w:r>
              <w:rPr>
                <w:lang w:val="en-US"/>
              </w:rPr>
              <w:t>D</w:t>
            </w:r>
            <w:r>
              <w:t>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
      </w:pPr>
      <w:bookmarkStart w:id="174" w:name="_Toc4313"/>
      <w:bookmarkStart w:id="175" w:name="_Toc3818"/>
      <w:bookmarkStart w:id="176" w:name="_Toc130373013"/>
      <w:r>
        <w:t>5.6.2</w:t>
      </w:r>
      <w:r>
        <w:tab/>
      </w:r>
      <w:r>
        <w:t>Requesting assignment of 5G NR V2X configurations</w:t>
      </w:r>
      <w:bookmarkEnd w:id="174"/>
      <w:bookmarkEnd w:id="175"/>
      <w:bookmarkEnd w:id="176"/>
    </w:p>
    <w:p>
      <w:pPr>
        <w:pStyle w:val="48"/>
        <w:ind w:left="0" w:firstLine="0"/>
      </w:pPr>
      <w:r>
        <w:t>Same as 5.4.2.</w:t>
      </w:r>
    </w:p>
    <w:p>
      <w:pPr>
        <w:pStyle w:val="3"/>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p>
    <w:p>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pPr>
        <w:pStyle w:val="41"/>
        <w:jc w:val="left"/>
      </w:pPr>
    </w:p>
    <w:p>
      <w:pPr>
        <w:pStyle w:val="4"/>
      </w:pPr>
      <w:r>
        <w:t>5.</w:t>
      </w:r>
      <w:r>
        <w:rPr>
          <w:rFonts w:hint="eastAsia" w:eastAsia="宋体"/>
          <w:lang w:val="en-US" w:eastAsia="zh-CN"/>
        </w:rPr>
        <w:t>7</w:t>
      </w:r>
      <w:r>
        <w:t>.1</w:t>
      </w:r>
      <w:r>
        <w:tab/>
      </w:r>
      <w:r>
        <w:t>Overview</w:t>
      </w:r>
    </w:p>
    <w:p>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w:t>
            </w:r>
            <w:r>
              <w:rPr>
                <w:rFonts w:hint="eastAsia" w:eastAsia="宋体"/>
                <w:lang w:val="en-US" w:eastAsia="zh-CN"/>
              </w:rPr>
              <w:t>NTN</w:t>
            </w:r>
            <w:r>
              <w:t xml:space="preserve">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 xml:space="preserve">NR </w:t>
            </w:r>
            <w:r>
              <w:rPr>
                <w:rFonts w:hint="eastAsia" w:eastAsia="宋体"/>
                <w:lang w:val="en-US" w:eastAsia="zh-CN"/>
              </w:rPr>
              <w:t>NTN</w:t>
            </w:r>
            <w:r>
              <w:t xml:space="preserve"> band</w:t>
            </w:r>
          </w:p>
        </w:tc>
        <w:tc>
          <w:tcPr>
            <w:tcW w:w="5667" w:type="dxa"/>
          </w:tcPr>
          <w:p>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 xml:space="preserve">Indicate the interested deployer of the NR </w:t>
            </w:r>
            <w:r>
              <w:rPr>
                <w:rFonts w:hint="eastAsia" w:eastAsia="宋体"/>
                <w:lang w:val="en-US" w:eastAsia="zh-CN"/>
              </w:rPr>
              <w:t>NTN</w:t>
            </w:r>
            <w:r>
              <w:t xml:space="preserve">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pPr>
        <w:pStyle w:val="41"/>
      </w:pPr>
    </w:p>
    <w:p>
      <w:pPr>
        <w:pStyle w:val="48"/>
        <w:ind w:left="0" w:firstLine="0"/>
      </w:pPr>
    </w:p>
    <w:p>
      <w:pPr>
        <w:pStyle w:val="4"/>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p>
    <w:p>
      <w:pPr>
        <w:pStyle w:val="48"/>
        <w:ind w:left="0" w:firstLine="0"/>
      </w:pPr>
      <w:r>
        <w:t>Same as 5.3.2.</w:t>
      </w:r>
    </w:p>
    <w:p/>
    <w:p/>
    <w:p>
      <w:pPr>
        <w:pStyle w:val="48"/>
        <w:ind w:left="0" w:firstLine="0"/>
      </w:pPr>
    </w:p>
    <w:p>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5"/>
    <w:p>
      <w:pPr>
        <w:pStyle w:val="2"/>
      </w:pPr>
      <w:bookmarkStart w:id="177" w:name="_Toc95140718"/>
      <w:bookmarkStart w:id="178" w:name="_Toc26674"/>
      <w:bookmarkStart w:id="179" w:name="_Toc2559"/>
      <w:bookmarkStart w:id="180" w:name="_Toc29735"/>
      <w:bookmarkStart w:id="181" w:name="_Toc130373014"/>
      <w:bookmarkStart w:id="182" w:name="_Toc12062"/>
      <w:r>
        <w:t>6</w:t>
      </w:r>
      <w:r>
        <w:tab/>
      </w:r>
      <w:r>
        <w:t>Responsible Company guidelines</w:t>
      </w:r>
      <w:bookmarkEnd w:id="177"/>
      <w:bookmarkEnd w:id="178"/>
      <w:bookmarkEnd w:id="179"/>
      <w:bookmarkEnd w:id="180"/>
      <w:bookmarkEnd w:id="181"/>
    </w:p>
    <w:p>
      <w:pPr>
        <w:pStyle w:val="3"/>
      </w:pPr>
      <w:bookmarkStart w:id="183" w:name="_Toc95140719"/>
      <w:bookmarkStart w:id="184" w:name="_Toc17431"/>
      <w:bookmarkStart w:id="185" w:name="_Toc130373015"/>
      <w:bookmarkStart w:id="186" w:name="_Toc29792"/>
      <w:bookmarkStart w:id="187" w:name="_Toc4703"/>
      <w:r>
        <w:t>6.1</w:t>
      </w:r>
      <w:r>
        <w:tab/>
      </w:r>
      <w:bookmarkEnd w:id="182"/>
      <w:bookmarkEnd w:id="183"/>
      <w:bookmarkStart w:id="188" w:name="_Toc95140728"/>
      <w:bookmarkStart w:id="189" w:name="_Toc3646"/>
      <w:r>
        <w:t>General</w:t>
      </w:r>
      <w:bookmarkEnd w:id="184"/>
      <w:bookmarkEnd w:id="185"/>
      <w:bookmarkEnd w:id="186"/>
      <w:bookmarkEnd w:id="187"/>
      <w:bookmarkEnd w:id="188"/>
      <w:bookmarkEnd w:id="189"/>
      <w:r>
        <w:t xml:space="preserve"> </w:t>
      </w:r>
    </w:p>
    <w:p>
      <w:pPr>
        <w:pStyle w:val="49"/>
      </w:pPr>
      <w:r>
        <w:t>Editor's note: Not all WP templates as listed in Table 6.1-1 are included in this version of PRD21. See the attached zip file named "WP templates" for available WP templates in this version of PRD21.</w:t>
      </w:r>
    </w:p>
    <w:p>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90" w:name="_Toc5039"/>
      <w:bookmarkStart w:id="191" w:name="_Toc11324"/>
      <w:bookmarkStart w:id="192" w:name="_Toc16121"/>
      <w:bookmarkStart w:id="193" w:name="_Toc130373016"/>
      <w:bookmarkStart w:id="194" w:name="_Toc966"/>
      <w:r>
        <w:rPr>
          <w:lang w:val="en-US"/>
        </w:rPr>
        <w:t>6.2</w:t>
      </w:r>
      <w:r>
        <w:tab/>
      </w:r>
      <w:r>
        <w:t>Creating a WP/Checklist</w:t>
      </w:r>
      <w:bookmarkEnd w:id="190"/>
      <w:bookmarkEnd w:id="191"/>
      <w:bookmarkEnd w:id="192"/>
      <w:bookmarkEnd w:id="193"/>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95"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5"/>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6" w:name="_Toc95140729"/>
      <w:bookmarkStart w:id="197" w:name="_Toc1698"/>
    </w:p>
    <w:p>
      <w:pPr>
        <w:pStyle w:val="3"/>
      </w:pPr>
      <w:bookmarkStart w:id="198" w:name="_Toc23131"/>
      <w:bookmarkStart w:id="199" w:name="_Toc11315"/>
      <w:bookmarkStart w:id="200" w:name="_Toc130373017"/>
      <w:r>
        <w:rPr>
          <w:lang w:val="en-US"/>
        </w:rPr>
        <w:t>6.3</w:t>
      </w:r>
      <w:r>
        <w:tab/>
      </w:r>
      <w:r>
        <w:t>Maintaining the WP</w:t>
      </w:r>
      <w:bookmarkEnd w:id="194"/>
      <w:bookmarkEnd w:id="196"/>
      <w:bookmarkEnd w:id="197"/>
      <w:bookmarkEnd w:id="198"/>
      <w:bookmarkEnd w:id="199"/>
      <w:bookmarkEnd w:id="200"/>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201"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1"/>
    <w:p>
      <w:pPr>
        <w:pStyle w:val="3"/>
        <w:rPr>
          <w:lang w:val="en-US"/>
        </w:rPr>
      </w:pPr>
      <w:bookmarkStart w:id="202" w:name="_Toc26825"/>
      <w:bookmarkStart w:id="203" w:name="_Toc28199"/>
      <w:bookmarkStart w:id="204" w:name="_Toc14032"/>
      <w:bookmarkStart w:id="205" w:name="_Toc24264"/>
      <w:bookmarkStart w:id="206" w:name="_Toc95140730"/>
      <w:bookmarkStart w:id="207" w:name="_Toc130373018"/>
      <w:r>
        <w:rPr>
          <w:lang w:val="en-US"/>
        </w:rPr>
        <w:t>6.4</w:t>
      </w:r>
      <w:r>
        <w:rPr>
          <w:lang w:val="en-US"/>
        </w:rPr>
        <w:tab/>
      </w:r>
      <w:r>
        <w:rPr>
          <w:lang w:val="en-US"/>
        </w:rPr>
        <w:t>Reporting a NR bands, NR band CBW extensions and 5G NR CADC configuration as completed</w:t>
      </w:r>
      <w:bookmarkEnd w:id="202"/>
      <w:bookmarkEnd w:id="203"/>
      <w:bookmarkEnd w:id="204"/>
      <w:bookmarkEnd w:id="205"/>
      <w:bookmarkEnd w:id="206"/>
      <w:bookmarkEnd w:id="207"/>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t>introduced release</w:t>
      </w:r>
      <w:r>
        <w:rPr>
          <w:lang w:val="en-US"/>
        </w:rPr>
        <w:t>;</w:t>
      </w:r>
    </w:p>
    <w:p>
      <w:pPr>
        <w:pStyle w:val="48"/>
        <w:rPr>
          <w:lang w:val="en-US"/>
        </w:rPr>
      </w:pPr>
      <w:r>
        <w:t>-</w:t>
      </w:r>
      <w:r>
        <w:tab/>
      </w:r>
      <w:r>
        <w:rPr>
          <w:lang w:val="en-US"/>
        </w:rPr>
        <w:t xml:space="preserve">affected bands/configurations covered by the declaration. </w:t>
      </w:r>
    </w:p>
    <w:p>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pPr>
        <w:pStyle w:val="2"/>
      </w:pPr>
      <w:bookmarkStart w:id="208" w:name="_Toc31058"/>
      <w:bookmarkStart w:id="209" w:name="_Toc24407"/>
      <w:bookmarkStart w:id="210" w:name="_Toc130373019"/>
      <w:bookmarkStart w:id="211" w:name="_Toc12480"/>
      <w:bookmarkStart w:id="212" w:name="_Toc95140731"/>
      <w:bookmarkStart w:id="213" w:name="_Hlk93667731"/>
      <w:r>
        <w:rPr>
          <w:lang w:val="en-US"/>
        </w:rPr>
        <w:t>7</w:t>
      </w:r>
      <w:r>
        <w:tab/>
      </w:r>
      <w:r>
        <w:t>CR author guideline for selecting WI code for CRs</w:t>
      </w:r>
      <w:bookmarkEnd w:id="208"/>
      <w:bookmarkEnd w:id="209"/>
      <w:bookmarkEnd w:id="210"/>
      <w:bookmarkEnd w:id="211"/>
      <w:bookmarkEnd w:id="212"/>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3"/>
    <w:p/>
    <w:p>
      <w:pPr>
        <w:pStyle w:val="2"/>
      </w:pPr>
      <w:bookmarkStart w:id="214" w:name="_Toc95140732"/>
      <w:bookmarkStart w:id="215" w:name="_Toc17817"/>
      <w:bookmarkStart w:id="216" w:name="_Toc28487"/>
      <w:bookmarkStart w:id="217" w:name="_Toc130373020"/>
      <w:bookmarkStart w:id="218" w:name="_Toc20982"/>
      <w:bookmarkStart w:id="219" w:name="_Toc23273"/>
      <w:r>
        <w:rPr>
          <w:lang w:val="en-US"/>
        </w:rPr>
        <w:t>8</w:t>
      </w:r>
      <w:r>
        <w:tab/>
      </w:r>
      <w:r>
        <w:t>PRD rapporteur guidelines</w:t>
      </w:r>
      <w:bookmarkEnd w:id="214"/>
      <w:bookmarkEnd w:id="215"/>
      <w:bookmarkEnd w:id="216"/>
      <w:bookmarkEnd w:id="217"/>
      <w:bookmarkEnd w:id="218"/>
      <w:bookmarkEnd w:id="219"/>
    </w:p>
    <w:p>
      <w:pPr>
        <w:pStyle w:val="3"/>
      </w:pPr>
      <w:bookmarkStart w:id="220" w:name="_Toc95140733"/>
      <w:bookmarkStart w:id="221" w:name="_Toc2915"/>
      <w:bookmarkStart w:id="222" w:name="_Toc26293"/>
      <w:bookmarkStart w:id="223" w:name="_Toc2635"/>
      <w:bookmarkStart w:id="224" w:name="_Toc130373021"/>
      <w:bookmarkStart w:id="225" w:name="_Toc20638"/>
      <w:r>
        <w:rPr>
          <w:lang w:val="en-US"/>
        </w:rPr>
        <w:t>8</w:t>
      </w:r>
      <w:r>
        <w:t>.1</w:t>
      </w:r>
      <w:r>
        <w:tab/>
      </w:r>
      <w:r>
        <w:t xml:space="preserve">PRD21 rapporteur and WI rapporteur </w:t>
      </w:r>
      <w:bookmarkEnd w:id="220"/>
      <w:r>
        <w:t>respons</w:t>
      </w:r>
      <w:r>
        <w:rPr>
          <w:lang w:val="en-US"/>
        </w:rPr>
        <w:t>i</w:t>
      </w:r>
      <w:r>
        <w:t>bilities</w:t>
      </w:r>
      <w:bookmarkEnd w:id="221"/>
      <w:bookmarkEnd w:id="222"/>
      <w:bookmarkEnd w:id="223"/>
      <w:bookmarkEnd w:id="224"/>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Operator/Deployer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226" w:name="_Toc7976"/>
      <w:bookmarkStart w:id="227" w:name="_Toc95140734"/>
      <w:bookmarkStart w:id="228" w:name="_Toc10082"/>
      <w:bookmarkStart w:id="229" w:name="_Toc130373022"/>
      <w:bookmarkStart w:id="230" w:name="_Toc9386"/>
      <w:r>
        <w:rPr>
          <w:lang w:val="en-US"/>
        </w:rPr>
        <w:t>8</w:t>
      </w:r>
      <w:r>
        <w:t>.2</w:t>
      </w:r>
      <w:r>
        <w:tab/>
      </w:r>
      <w:r>
        <w:t>Handling assignment requests</w:t>
      </w:r>
      <w:bookmarkEnd w:id="225"/>
      <w:bookmarkEnd w:id="226"/>
      <w:bookmarkEnd w:id="227"/>
      <w:bookmarkEnd w:id="228"/>
      <w:bookmarkEnd w:id="229"/>
      <w:bookmarkEnd w:id="230"/>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231" w:name="_Toc130373023"/>
      <w:bookmarkStart w:id="232" w:name="_Toc95140735"/>
      <w:bookmarkStart w:id="233" w:name="_Toc28705"/>
      <w:bookmarkStart w:id="234" w:name="_Toc5974"/>
      <w:bookmarkStart w:id="235" w:name="_Toc25546"/>
      <w:bookmarkStart w:id="236" w:name="_Toc7675"/>
      <w:r>
        <w:rPr>
          <w:lang w:val="en-US"/>
        </w:rPr>
        <w:t>8</w:t>
      </w:r>
      <w:r>
        <w:t>.3</w:t>
      </w:r>
      <w:r>
        <w:tab/>
      </w:r>
      <w:r>
        <w:t>Update the PRD2</w:t>
      </w:r>
      <w:r>
        <w:rPr>
          <w:lang w:val="en-US"/>
        </w:rPr>
        <w:t>1</w:t>
      </w:r>
      <w:r>
        <w:t xml:space="preserve"> 5G NR CADC list when new version of TS 38.101-x is published</w:t>
      </w:r>
      <w:bookmarkEnd w:id="231"/>
      <w:bookmarkEnd w:id="232"/>
      <w:bookmarkEnd w:id="233"/>
      <w:bookmarkEnd w:id="234"/>
      <w:bookmarkEnd w:id="235"/>
      <w:bookmarkEnd w:id="236"/>
    </w:p>
    <w:p>
      <w:pPr>
        <w:pStyle w:val="4"/>
      </w:pPr>
      <w:bookmarkStart w:id="237" w:name="_Toc16009"/>
      <w:bookmarkStart w:id="238" w:name="_Toc23501"/>
      <w:bookmarkStart w:id="239" w:name="_Toc95140736"/>
      <w:bookmarkStart w:id="240" w:name="_Toc130373024"/>
      <w:bookmarkStart w:id="241" w:name="_Toc22275"/>
      <w:bookmarkStart w:id="242" w:name="_Toc554"/>
      <w:r>
        <w:rPr>
          <w:lang w:val="en-US"/>
        </w:rPr>
        <w:t>8</w:t>
      </w:r>
      <w:r>
        <w:t>.3.1</w:t>
      </w:r>
      <w:r>
        <w:tab/>
      </w:r>
      <w:r>
        <w:t xml:space="preserve">Update of the "NR bands" and "5G NR CADC Configurations" </w:t>
      </w:r>
      <w:bookmarkEnd w:id="237"/>
      <w:r>
        <w:t>worksheet</w:t>
      </w:r>
      <w:bookmarkEnd w:id="238"/>
      <w:bookmarkEnd w:id="239"/>
      <w:r>
        <w:t>s</w:t>
      </w:r>
      <w:bookmarkEnd w:id="240"/>
      <w:bookmarkEnd w:id="241"/>
      <w:bookmarkEnd w:id="242"/>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243" w:name="_Hlk88050158"/>
      <w:r>
        <w:rPr>
          <w:b/>
          <w:bCs/>
        </w:rPr>
        <w:t>CA_1A-n3A</w:t>
      </w:r>
      <w:bookmarkEnd w:id="243"/>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pPr>
        <w:rPr>
          <w:b/>
          <w:bCs/>
        </w:rPr>
      </w:pPr>
    </w:p>
    <w:p>
      <w:pPr>
        <w:pStyle w:val="3"/>
      </w:pPr>
      <w:bookmarkStart w:id="244" w:name="_Toc30558"/>
      <w:bookmarkStart w:id="245" w:name="_Toc18814"/>
      <w:bookmarkStart w:id="246" w:name="_Toc31387"/>
      <w:bookmarkStart w:id="247" w:name="_Toc95140738"/>
      <w:bookmarkStart w:id="248" w:name="_Toc27460"/>
      <w:bookmarkStart w:id="249" w:name="_Toc130373025"/>
      <w:r>
        <w:rPr>
          <w:lang w:val="en-US"/>
        </w:rPr>
        <w:t>8</w:t>
      </w:r>
      <w:r>
        <w:t>.4</w:t>
      </w:r>
      <w:r>
        <w:tab/>
      </w:r>
      <w:r>
        <w:t>Update the PRD21 after end of RAN5 meetings</w:t>
      </w:r>
      <w:bookmarkEnd w:id="244"/>
      <w:bookmarkEnd w:id="245"/>
      <w:bookmarkEnd w:id="246"/>
      <w:bookmarkEnd w:id="247"/>
      <w:bookmarkEnd w:id="248"/>
      <w:bookmarkEnd w:id="249"/>
    </w:p>
    <w:p>
      <w:pPr>
        <w:pStyle w:val="4"/>
      </w:pPr>
      <w:bookmarkStart w:id="250" w:name="_Toc24303"/>
      <w:bookmarkStart w:id="251" w:name="_Toc5100"/>
      <w:bookmarkStart w:id="252" w:name="_Toc20623"/>
      <w:bookmarkStart w:id="253" w:name="_Toc27396"/>
      <w:bookmarkStart w:id="254" w:name="_Toc95140739"/>
      <w:bookmarkStart w:id="255" w:name="_Toc130373026"/>
      <w:r>
        <w:rPr>
          <w:lang w:val="en-US"/>
        </w:rPr>
        <w:t>8</w:t>
      </w:r>
      <w:r>
        <w:t>.</w:t>
      </w:r>
      <w:r>
        <w:rPr>
          <w:lang w:val="en-US"/>
        </w:rPr>
        <w:t>4</w:t>
      </w:r>
      <w:r>
        <w:t>.1</w:t>
      </w:r>
      <w:r>
        <w:tab/>
      </w:r>
      <w:r>
        <w:t>Update status of NR bands, NR band CBW Extensions and 5G NR CADC Configurations</w:t>
      </w:r>
      <w:bookmarkEnd w:id="250"/>
      <w:bookmarkEnd w:id="251"/>
      <w:bookmarkEnd w:id="252"/>
      <w:bookmarkEnd w:id="253"/>
      <w:bookmarkEnd w:id="254"/>
      <w:bookmarkEnd w:id="255"/>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56" w:name="_Toc9318"/>
      <w:bookmarkStart w:id="257" w:name="_Toc7089"/>
      <w:bookmarkStart w:id="258" w:name="_Toc130373027"/>
      <w:bookmarkStart w:id="259" w:name="_Toc30758"/>
      <w:bookmarkStart w:id="260" w:name="_Toc95140740"/>
      <w:bookmarkStart w:id="261" w:name="_Toc18922"/>
      <w:r>
        <w:rPr>
          <w:lang w:val="en-US"/>
        </w:rPr>
        <w:t>8</w:t>
      </w:r>
      <w:r>
        <w:t>.</w:t>
      </w:r>
      <w:r>
        <w:rPr>
          <w:lang w:val="en-US"/>
        </w:rPr>
        <w:t>4</w:t>
      </w:r>
      <w:r>
        <w:t>.</w:t>
      </w:r>
      <w:r>
        <w:rPr>
          <w:lang w:val="en-US"/>
        </w:rPr>
        <w:t>2</w:t>
      </w:r>
      <w:r>
        <w:tab/>
      </w:r>
      <w:r>
        <w:t>Update when a RAN5 NR bands, NR band CBW Extensions or 5G NR CADC basket WI is closed</w:t>
      </w:r>
      <w:bookmarkEnd w:id="256"/>
      <w:bookmarkEnd w:id="257"/>
      <w:bookmarkEnd w:id="258"/>
      <w:bookmarkEnd w:id="259"/>
      <w:bookmarkEnd w:id="260"/>
      <w:bookmarkEnd w:id="261"/>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62" w:name="_Toc32426"/>
      <w:bookmarkStart w:id="263" w:name="_Toc22924"/>
      <w:bookmarkStart w:id="264" w:name="_Toc130373028"/>
      <w:bookmarkStart w:id="265" w:name="_Toc8103"/>
      <w:bookmarkStart w:id="266" w:name="_Toc95140741"/>
      <w:bookmarkStart w:id="267" w:name="_Toc1181"/>
      <w:r>
        <w:rPr>
          <w:lang w:val="en-US"/>
        </w:rPr>
        <w:t>8</w:t>
      </w:r>
      <w:r>
        <w:t>.5</w:t>
      </w:r>
      <w:r>
        <w:tab/>
      </w:r>
      <w:r>
        <w:t>Update the WP template</w:t>
      </w:r>
      <w:bookmarkEnd w:id="262"/>
      <w:r>
        <w:t>s</w:t>
      </w:r>
      <w:bookmarkEnd w:id="263"/>
      <w:bookmarkEnd w:id="264"/>
      <w:bookmarkEnd w:id="265"/>
      <w:bookmarkEnd w:id="266"/>
      <w:bookmarkEnd w:id="267"/>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68" w:name="_Toc12081"/>
      <w:bookmarkStart w:id="269" w:name="_Toc130373029"/>
      <w:bookmarkStart w:id="270" w:name="_Toc19511"/>
      <w:bookmarkStart w:id="271" w:name="_Toc95140742"/>
      <w:bookmarkStart w:id="272" w:name="_Toc32439"/>
      <w:bookmarkStart w:id="273" w:name="_Toc20775"/>
      <w:r>
        <w:rPr>
          <w:lang w:val="en-US"/>
        </w:rPr>
        <w:t>8</w:t>
      </w:r>
      <w:r>
        <w:t>.6</w:t>
      </w:r>
      <w:r>
        <w:tab/>
      </w:r>
      <w:r>
        <w:t>Update when PRD21 rapporteur is changed</w:t>
      </w:r>
      <w:bookmarkEnd w:id="268"/>
      <w:bookmarkEnd w:id="269"/>
      <w:bookmarkEnd w:id="270"/>
      <w:bookmarkEnd w:id="271"/>
      <w:bookmarkEnd w:id="272"/>
      <w:bookmarkEnd w:id="273"/>
    </w:p>
    <w:p>
      <w:r>
        <w:t>When a new rapporteur is assigned to PRD21 do:</w:t>
      </w:r>
    </w:p>
    <w:p>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10"/>
      </w:pPr>
      <w:bookmarkStart w:id="274" w:name="_Toc9498"/>
      <w:bookmarkStart w:id="275" w:name="_Toc22683"/>
      <w:bookmarkStart w:id="276" w:name="_Toc28193"/>
      <w:bookmarkStart w:id="277" w:name="_Toc4002"/>
      <w:r>
        <w:br w:type="column"/>
      </w:r>
      <w:bookmarkStart w:id="278" w:name="_Toc130373030"/>
      <w:bookmarkStart w:id="279" w:name="_Toc95140743"/>
      <w:r>
        <w:t>Annex A (informative):</w:t>
      </w:r>
      <w:r>
        <w:br w:type="textWrapping"/>
      </w:r>
      <w:r>
        <w:t>Change history</w:t>
      </w:r>
      <w:bookmarkEnd w:id="274"/>
      <w:bookmarkEnd w:id="275"/>
      <w:bookmarkEnd w:id="276"/>
      <w:bookmarkEnd w:id="277"/>
      <w:bookmarkEnd w:id="278"/>
      <w:bookmarkEnd w:id="279"/>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280" w:name="historyclause"/>
            <w:bookmarkEnd w:id="280"/>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sz w:val="16"/>
                <w:lang w:val="en-US"/>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0"/>
              <w:rPr>
                <w:sz w:val="16"/>
              </w:rPr>
            </w:pPr>
            <w:r>
              <w:rPr>
                <w:sz w:val="16"/>
              </w:rPr>
              <w:t>2022-6</w:t>
            </w:r>
          </w:p>
        </w:tc>
        <w:tc>
          <w:tcPr>
            <w:tcW w:w="1137" w:type="dxa"/>
            <w:shd w:val="solid" w:color="FFFFFF" w:fill="auto"/>
          </w:tcPr>
          <w:p>
            <w:pPr>
              <w:pStyle w:val="40"/>
              <w:rPr>
                <w:sz w:val="16"/>
              </w:rPr>
            </w:pPr>
            <w:r>
              <w:rPr>
                <w:sz w:val="16"/>
              </w:rPr>
              <w:t>RAN5#95-e</w:t>
            </w:r>
          </w:p>
        </w:tc>
        <w:tc>
          <w:tcPr>
            <w:tcW w:w="1094" w:type="dxa"/>
            <w:shd w:val="solid" w:color="FFFFFF" w:fill="auto"/>
          </w:tcPr>
          <w:p>
            <w:pPr>
              <w:pStyle w:val="40"/>
              <w:rPr>
                <w:sz w:val="16"/>
              </w:rPr>
            </w:pPr>
            <w:r>
              <w:rPr>
                <w:sz w:val="16"/>
              </w:rPr>
              <w:t>R5-222224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RAN5#95-e</w:t>
            </w:r>
          </w:p>
        </w:tc>
        <w:tc>
          <w:tcPr>
            <w:tcW w:w="708" w:type="dxa"/>
            <w:shd w:val="solid" w:color="FFFFFF" w:fill="auto"/>
          </w:tcPr>
          <w:p>
            <w:pPr>
              <w:pStyle w:val="42"/>
              <w:rPr>
                <w:sz w:val="16"/>
                <w:szCs w:val="16"/>
              </w:rPr>
            </w:pPr>
            <w:r>
              <w:rPr>
                <w:sz w:val="16"/>
                <w:szCs w:val="16"/>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2022-8</w:t>
            </w:r>
          </w:p>
        </w:tc>
        <w:tc>
          <w:tcPr>
            <w:tcW w:w="1137" w:type="dxa"/>
            <w:shd w:val="solid" w:color="FFFFFF" w:fill="auto"/>
          </w:tcPr>
          <w:p>
            <w:pPr>
              <w:pStyle w:val="40"/>
              <w:rPr>
                <w:sz w:val="16"/>
              </w:rPr>
            </w:pPr>
            <w:r>
              <w:rPr>
                <w:sz w:val="16"/>
              </w:rPr>
              <w:t>RAN5#96-e</w:t>
            </w:r>
          </w:p>
        </w:tc>
        <w:tc>
          <w:tcPr>
            <w:tcW w:w="1094" w:type="dxa"/>
            <w:shd w:val="solid" w:color="FFFFFF" w:fill="auto"/>
          </w:tcPr>
          <w:p>
            <w:pPr>
              <w:pStyle w:val="40"/>
              <w:rPr>
                <w:sz w:val="16"/>
              </w:rPr>
            </w:pPr>
            <w:r>
              <w:rPr>
                <w:rFonts w:hint="eastAsia"/>
                <w:sz w:val="16"/>
              </w:rPr>
              <w:t>R5-224228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6</w:t>
            </w:r>
            <w:r>
              <w:rPr>
                <w:sz w:val="16"/>
              </w:rPr>
              <w:t>-e</w:t>
            </w:r>
          </w:p>
        </w:tc>
        <w:tc>
          <w:tcPr>
            <w:tcW w:w="708" w:type="dxa"/>
            <w:shd w:val="solid" w:color="FFFFFF" w:fill="auto"/>
          </w:tcPr>
          <w:p>
            <w:pPr>
              <w:pStyle w:val="42"/>
              <w:rPr>
                <w:sz w:val="16"/>
                <w:szCs w:val="16"/>
              </w:rPr>
            </w:pPr>
            <w:r>
              <w:rPr>
                <w:sz w:val="16"/>
                <w:szCs w:val="16"/>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2022-11</w:t>
            </w:r>
          </w:p>
        </w:tc>
        <w:tc>
          <w:tcPr>
            <w:tcW w:w="1137" w:type="dxa"/>
            <w:shd w:val="solid" w:color="FFFFFF" w:fill="auto"/>
          </w:tcPr>
          <w:p>
            <w:pPr>
              <w:pStyle w:val="40"/>
              <w:rPr>
                <w:sz w:val="16"/>
              </w:rPr>
            </w:pPr>
            <w:r>
              <w:rPr>
                <w:sz w:val="16"/>
              </w:rPr>
              <w:t>RAN5#97</w:t>
            </w:r>
          </w:p>
        </w:tc>
        <w:tc>
          <w:tcPr>
            <w:tcW w:w="1094" w:type="dxa"/>
            <w:shd w:val="solid" w:color="FFFFFF" w:fill="auto"/>
          </w:tcPr>
          <w:p>
            <w:pPr>
              <w:pStyle w:val="40"/>
              <w:rPr>
                <w:sz w:val="16"/>
                <w:lang w:val="en-US"/>
              </w:rPr>
            </w:pPr>
            <w:r>
              <w:rPr>
                <w:sz w:val="16"/>
              </w:rPr>
              <w:t>R5-22</w:t>
            </w:r>
            <w:r>
              <w:rPr>
                <w:sz w:val="16"/>
                <w:lang w:val="en-US"/>
              </w:rPr>
              <w:t>6330</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7</w:t>
            </w:r>
          </w:p>
        </w:tc>
        <w:tc>
          <w:tcPr>
            <w:tcW w:w="708" w:type="dxa"/>
            <w:shd w:val="solid" w:color="FFFFFF" w:fill="auto"/>
          </w:tcPr>
          <w:p>
            <w:pPr>
              <w:pStyle w:val="42"/>
              <w:rPr>
                <w:sz w:val="16"/>
                <w:szCs w:val="16"/>
              </w:rPr>
            </w:pPr>
            <w:r>
              <w:rPr>
                <w:sz w:val="16"/>
                <w:szCs w:val="16"/>
              </w:rPr>
              <w:t>1.3.0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RAN5#98</w:t>
            </w:r>
          </w:p>
        </w:tc>
        <w:tc>
          <w:tcPr>
            <w:tcW w:w="1094" w:type="dxa"/>
            <w:shd w:val="solid" w:color="FFFFFF" w:fill="auto"/>
          </w:tcPr>
          <w:p>
            <w:pPr>
              <w:pStyle w:val="40"/>
              <w:rPr>
                <w:sz w:val="16"/>
                <w:lang w:val="en-US"/>
              </w:rPr>
            </w:pPr>
            <w:r>
              <w:rPr>
                <w:sz w:val="16"/>
                <w:lang w:val="en-US"/>
              </w:rPr>
              <w:t>R5-230417</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lang w:val="en-US"/>
              </w:rPr>
            </w:pPr>
            <w:r>
              <w:rPr>
                <w:sz w:val="16"/>
              </w:rPr>
              <w:t>Updates at RAN5#9</w:t>
            </w:r>
            <w:r>
              <w:rPr>
                <w:sz w:val="16"/>
                <w:lang w:val="en-US"/>
              </w:rPr>
              <w:t>8</w:t>
            </w:r>
          </w:p>
        </w:tc>
        <w:tc>
          <w:tcPr>
            <w:tcW w:w="708" w:type="dxa"/>
            <w:shd w:val="solid" w:color="FFFFFF" w:fill="auto"/>
          </w:tcPr>
          <w:p>
            <w:pPr>
              <w:pStyle w:val="42"/>
              <w:rPr>
                <w:sz w:val="16"/>
                <w:szCs w:val="16"/>
                <w:lang w:val="en-US"/>
              </w:rPr>
            </w:pPr>
            <w:r>
              <w:rPr>
                <w:sz w:val="16"/>
                <w:szCs w:val="16"/>
                <w:lang w:val="en-US"/>
              </w:rPr>
              <w:t>1.4.0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Post RAN5#98</w:t>
            </w:r>
          </w:p>
        </w:tc>
        <w:tc>
          <w:tcPr>
            <w:tcW w:w="1094" w:type="dxa"/>
            <w:shd w:val="solid" w:color="FFFFFF" w:fill="auto"/>
          </w:tcPr>
          <w:p>
            <w:pPr>
              <w:pStyle w:val="40"/>
              <w:rPr>
                <w:sz w:val="16"/>
                <w:lang w:val="en-US"/>
              </w:rPr>
            </w:pPr>
            <w:r>
              <w:rPr>
                <w:sz w:val="16"/>
                <w:lang w:val="en-US"/>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pPr>
              <w:pStyle w:val="42"/>
              <w:rPr>
                <w:sz w:val="16"/>
                <w:szCs w:val="16"/>
                <w:lang w:val="en-US"/>
              </w:rPr>
            </w:pPr>
            <w:r>
              <w:rPr>
                <w:sz w:val="16"/>
                <w:szCs w:val="16"/>
                <w:lang w:val="en-US"/>
              </w:rPr>
              <w:t>1.4.1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pPr>
              <w:pStyle w:val="40"/>
              <w:rPr>
                <w:sz w:val="16"/>
                <w:lang w:val="en-US"/>
              </w:rPr>
            </w:pPr>
            <w:r>
              <w:rPr>
                <w:sz w:val="16"/>
                <w:lang w:val="en-US"/>
              </w:rPr>
              <w:t>RAN5#99</w:t>
            </w:r>
          </w:p>
        </w:tc>
        <w:tc>
          <w:tcPr>
            <w:tcW w:w="1094" w:type="dxa"/>
            <w:shd w:val="solid" w:color="FFFFFF" w:fill="auto"/>
          </w:tcPr>
          <w:p>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9</w:t>
            </w:r>
          </w:p>
        </w:tc>
        <w:tc>
          <w:tcPr>
            <w:tcW w:w="708" w:type="dxa"/>
            <w:shd w:val="solid" w:color="FFFFFF" w:fill="auto"/>
          </w:tcPr>
          <w:p>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pPr>
              <w:pStyle w:val="40"/>
              <w:rPr>
                <w:sz w:val="16"/>
                <w:lang w:val="en-US"/>
              </w:rPr>
            </w:pPr>
            <w:r>
              <w:rPr>
                <w:rFonts w:hint="eastAsia" w:eastAsia="宋体"/>
                <w:sz w:val="16"/>
                <w:lang w:val="en-US" w:eastAsia="zh-CN"/>
              </w:rPr>
              <w:t>RAN5#100</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1.7.0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1.8.0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pPr>
              <w:pStyle w:val="42"/>
              <w:rPr>
                <w:rFonts w:hint="default" w:eastAsia="等线"/>
                <w:sz w:val="16"/>
                <w:szCs w:val="16"/>
                <w:lang w:val="en-US" w:eastAsia="zh-CN"/>
              </w:rPr>
            </w:pPr>
            <w:r>
              <w:rPr>
                <w:rFonts w:hint="eastAsia" w:eastAsia="等线"/>
                <w:sz w:val="16"/>
                <w:szCs w:val="16"/>
                <w:lang w:val="en-US" w:eastAsia="zh-CN"/>
              </w:rPr>
              <w:t>1.9.0</w:t>
            </w:r>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10"/>
  <w:displayBackgroundShape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E61ED"/>
    <w:rsid w:val="03125432"/>
    <w:rsid w:val="03802ADF"/>
    <w:rsid w:val="04442C65"/>
    <w:rsid w:val="048A24AC"/>
    <w:rsid w:val="0490526F"/>
    <w:rsid w:val="05000804"/>
    <w:rsid w:val="051D4C79"/>
    <w:rsid w:val="053775A5"/>
    <w:rsid w:val="053F1686"/>
    <w:rsid w:val="05C14693"/>
    <w:rsid w:val="05EB063A"/>
    <w:rsid w:val="06013688"/>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C151892"/>
    <w:rsid w:val="0C1D6D77"/>
    <w:rsid w:val="0C697668"/>
    <w:rsid w:val="0CBB7FF3"/>
    <w:rsid w:val="0CBD20B5"/>
    <w:rsid w:val="0CFB2401"/>
    <w:rsid w:val="0D0F06B7"/>
    <w:rsid w:val="0D7612ED"/>
    <w:rsid w:val="0D7630A2"/>
    <w:rsid w:val="0DCA2D77"/>
    <w:rsid w:val="0DE5364A"/>
    <w:rsid w:val="0DEF4B25"/>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411A1F"/>
    <w:rsid w:val="16475192"/>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91323E"/>
    <w:rsid w:val="1D9E1B7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E8336C"/>
    <w:rsid w:val="1FFF2CE2"/>
    <w:rsid w:val="20001F1E"/>
    <w:rsid w:val="20144A64"/>
    <w:rsid w:val="20526CD1"/>
    <w:rsid w:val="20911F2E"/>
    <w:rsid w:val="209649F0"/>
    <w:rsid w:val="20AD01BC"/>
    <w:rsid w:val="20E1067A"/>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62E04"/>
    <w:rsid w:val="25A100EB"/>
    <w:rsid w:val="25D73E71"/>
    <w:rsid w:val="25E43BE3"/>
    <w:rsid w:val="25FD2E5E"/>
    <w:rsid w:val="260B324F"/>
    <w:rsid w:val="265E6638"/>
    <w:rsid w:val="26752D47"/>
    <w:rsid w:val="26954EE2"/>
    <w:rsid w:val="26C611F9"/>
    <w:rsid w:val="27A64F14"/>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E8471E"/>
    <w:rsid w:val="31127E62"/>
    <w:rsid w:val="315852B6"/>
    <w:rsid w:val="3179251F"/>
    <w:rsid w:val="319A609D"/>
    <w:rsid w:val="31AF6E78"/>
    <w:rsid w:val="32493B86"/>
    <w:rsid w:val="325B3ECE"/>
    <w:rsid w:val="326047D2"/>
    <w:rsid w:val="326341F4"/>
    <w:rsid w:val="32EE6403"/>
    <w:rsid w:val="33046CF6"/>
    <w:rsid w:val="33417CBE"/>
    <w:rsid w:val="33B473A2"/>
    <w:rsid w:val="340756D7"/>
    <w:rsid w:val="343044D1"/>
    <w:rsid w:val="34D527BD"/>
    <w:rsid w:val="356E32EB"/>
    <w:rsid w:val="35857500"/>
    <w:rsid w:val="35A16FAA"/>
    <w:rsid w:val="35BE17E0"/>
    <w:rsid w:val="362D0172"/>
    <w:rsid w:val="36451444"/>
    <w:rsid w:val="365A17DF"/>
    <w:rsid w:val="36663735"/>
    <w:rsid w:val="366C01E6"/>
    <w:rsid w:val="36D70DE7"/>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DA779E"/>
    <w:rsid w:val="3AFD65BF"/>
    <w:rsid w:val="3AFF7929"/>
    <w:rsid w:val="3B142D2C"/>
    <w:rsid w:val="3B6750FB"/>
    <w:rsid w:val="3BF4087D"/>
    <w:rsid w:val="3C0E5995"/>
    <w:rsid w:val="3C100419"/>
    <w:rsid w:val="3C2D0510"/>
    <w:rsid w:val="3C651AB5"/>
    <w:rsid w:val="3C860552"/>
    <w:rsid w:val="3CA91EED"/>
    <w:rsid w:val="3CE30483"/>
    <w:rsid w:val="3CF25EB2"/>
    <w:rsid w:val="3D043A80"/>
    <w:rsid w:val="3D1D703E"/>
    <w:rsid w:val="3D66206C"/>
    <w:rsid w:val="3D7F621B"/>
    <w:rsid w:val="3D8B1285"/>
    <w:rsid w:val="3DB10E5A"/>
    <w:rsid w:val="3DD10A73"/>
    <w:rsid w:val="3E1C2251"/>
    <w:rsid w:val="3E5A1553"/>
    <w:rsid w:val="3E5F0DA3"/>
    <w:rsid w:val="3EB30540"/>
    <w:rsid w:val="3EE70497"/>
    <w:rsid w:val="3F4C3465"/>
    <w:rsid w:val="3FB36901"/>
    <w:rsid w:val="3FF159E0"/>
    <w:rsid w:val="40034BBE"/>
    <w:rsid w:val="400F2411"/>
    <w:rsid w:val="400F7258"/>
    <w:rsid w:val="401D428C"/>
    <w:rsid w:val="40346BE3"/>
    <w:rsid w:val="403D0CD5"/>
    <w:rsid w:val="40693372"/>
    <w:rsid w:val="407737DE"/>
    <w:rsid w:val="409E2E12"/>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971C9"/>
    <w:rsid w:val="469535E5"/>
    <w:rsid w:val="469559DB"/>
    <w:rsid w:val="46D71318"/>
    <w:rsid w:val="46FC0AA6"/>
    <w:rsid w:val="470855B8"/>
    <w:rsid w:val="47087C86"/>
    <w:rsid w:val="470D0490"/>
    <w:rsid w:val="474254FF"/>
    <w:rsid w:val="475049EE"/>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4FF31226"/>
    <w:rsid w:val="500046FE"/>
    <w:rsid w:val="5027330E"/>
    <w:rsid w:val="504F4040"/>
    <w:rsid w:val="50A3377C"/>
    <w:rsid w:val="512532F9"/>
    <w:rsid w:val="517652A5"/>
    <w:rsid w:val="519711B2"/>
    <w:rsid w:val="51BF3B98"/>
    <w:rsid w:val="52004A9D"/>
    <w:rsid w:val="522F073E"/>
    <w:rsid w:val="526B1C05"/>
    <w:rsid w:val="52A870EB"/>
    <w:rsid w:val="530338FB"/>
    <w:rsid w:val="53A063F4"/>
    <w:rsid w:val="53C707D2"/>
    <w:rsid w:val="53F73637"/>
    <w:rsid w:val="541C12BF"/>
    <w:rsid w:val="541C2DE4"/>
    <w:rsid w:val="541F62BB"/>
    <w:rsid w:val="542D0DAE"/>
    <w:rsid w:val="545A1A98"/>
    <w:rsid w:val="547F1681"/>
    <w:rsid w:val="54AF6350"/>
    <w:rsid w:val="54B55E3E"/>
    <w:rsid w:val="55127C43"/>
    <w:rsid w:val="55151C53"/>
    <w:rsid w:val="552C04C7"/>
    <w:rsid w:val="55382397"/>
    <w:rsid w:val="55490AA6"/>
    <w:rsid w:val="557B5983"/>
    <w:rsid w:val="55E1417E"/>
    <w:rsid w:val="5618097E"/>
    <w:rsid w:val="56344B9B"/>
    <w:rsid w:val="563A7D56"/>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DF6880"/>
    <w:rsid w:val="5EEB5984"/>
    <w:rsid w:val="5EFA0C2F"/>
    <w:rsid w:val="5F013C24"/>
    <w:rsid w:val="5F1E3231"/>
    <w:rsid w:val="5F3269E8"/>
    <w:rsid w:val="5F36210A"/>
    <w:rsid w:val="5F725E4C"/>
    <w:rsid w:val="5F936963"/>
    <w:rsid w:val="5FBF4FED"/>
    <w:rsid w:val="5FD26675"/>
    <w:rsid w:val="5FF6609B"/>
    <w:rsid w:val="6028541F"/>
    <w:rsid w:val="605912BD"/>
    <w:rsid w:val="606C5D27"/>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307A2A"/>
    <w:rsid w:val="664C7607"/>
    <w:rsid w:val="667C0F70"/>
    <w:rsid w:val="6699432B"/>
    <w:rsid w:val="66D245DF"/>
    <w:rsid w:val="67140B44"/>
    <w:rsid w:val="672D189C"/>
    <w:rsid w:val="6760531B"/>
    <w:rsid w:val="67A51714"/>
    <w:rsid w:val="67BF19E4"/>
    <w:rsid w:val="67BF2A2C"/>
    <w:rsid w:val="67C155F3"/>
    <w:rsid w:val="68115BFA"/>
    <w:rsid w:val="682044B7"/>
    <w:rsid w:val="68524A61"/>
    <w:rsid w:val="68747231"/>
    <w:rsid w:val="688468F5"/>
    <w:rsid w:val="689F3C2F"/>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A160E4"/>
    <w:rsid w:val="6CA4565C"/>
    <w:rsid w:val="6CD05926"/>
    <w:rsid w:val="6CFC7CF3"/>
    <w:rsid w:val="6D270B93"/>
    <w:rsid w:val="6D42261C"/>
    <w:rsid w:val="6D910D4A"/>
    <w:rsid w:val="6D9505CC"/>
    <w:rsid w:val="6DAE0672"/>
    <w:rsid w:val="6DC7543C"/>
    <w:rsid w:val="6DD45875"/>
    <w:rsid w:val="6DFC4526"/>
    <w:rsid w:val="6E417324"/>
    <w:rsid w:val="6E5170FF"/>
    <w:rsid w:val="6E6D4B6B"/>
    <w:rsid w:val="6ED00E77"/>
    <w:rsid w:val="6EF93F82"/>
    <w:rsid w:val="6F3A163F"/>
    <w:rsid w:val="6F4150FC"/>
    <w:rsid w:val="6FB80CF9"/>
    <w:rsid w:val="6FE54A08"/>
    <w:rsid w:val="704F1D34"/>
    <w:rsid w:val="706759B3"/>
    <w:rsid w:val="707A3742"/>
    <w:rsid w:val="708E29BA"/>
    <w:rsid w:val="70BF4A80"/>
    <w:rsid w:val="70D35373"/>
    <w:rsid w:val="7166517F"/>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6253B4"/>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41</Pages>
  <Words>11377</Words>
  <Characters>64853</Characters>
  <Lines>540</Lines>
  <Paragraphs>152</Paragraphs>
  <TotalTime>0</TotalTime>
  <ScaleCrop>false</ScaleCrop>
  <LinksUpToDate>false</LinksUpToDate>
  <CharactersWithSpaces>76078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2024-06-21T04:51:05Z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1264F91228864024A01A98A8030CE7F2</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